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EB187" w14:textId="77777777" w:rsidR="0028596E" w:rsidRPr="0060025C" w:rsidRDefault="00EB5031" w:rsidP="003524AC">
      <w:pPr>
        <w:spacing w:after="0" w:line="240" w:lineRule="auto"/>
        <w:jc w:val="center"/>
        <w:rPr>
          <w:rFonts w:ascii="Times New Roman" w:hAnsi="Times New Roman"/>
          <w:b/>
          <w:color w:val="000000"/>
          <w:sz w:val="24"/>
          <w:szCs w:val="24"/>
        </w:rPr>
      </w:pPr>
      <w:r w:rsidRPr="0060025C">
        <w:rPr>
          <w:rFonts w:ascii="Times New Roman" w:hAnsi="Times New Roman"/>
          <w:b/>
          <w:color w:val="000000"/>
          <w:sz w:val="24"/>
          <w:szCs w:val="24"/>
        </w:rPr>
        <w:t>INCORPORAÇÃO D</w:t>
      </w:r>
      <w:r w:rsidR="0060025C" w:rsidRPr="0060025C">
        <w:rPr>
          <w:rFonts w:ascii="Times New Roman" w:hAnsi="Times New Roman"/>
          <w:b/>
          <w:color w:val="000000"/>
          <w:sz w:val="24"/>
          <w:szCs w:val="24"/>
        </w:rPr>
        <w:t xml:space="preserve">A </w:t>
      </w:r>
      <w:r w:rsidRPr="0060025C">
        <w:rPr>
          <w:rFonts w:ascii="Times New Roman" w:hAnsi="Times New Roman"/>
          <w:b/>
          <w:color w:val="000000"/>
          <w:sz w:val="24"/>
          <w:szCs w:val="24"/>
        </w:rPr>
        <w:t>CINZA D</w:t>
      </w:r>
      <w:r w:rsidR="0060025C" w:rsidRPr="0060025C">
        <w:rPr>
          <w:rFonts w:ascii="Times New Roman" w:hAnsi="Times New Roman"/>
          <w:b/>
          <w:color w:val="000000"/>
          <w:sz w:val="24"/>
          <w:szCs w:val="24"/>
        </w:rPr>
        <w:t>O</w:t>
      </w:r>
      <w:r w:rsidRPr="0060025C">
        <w:rPr>
          <w:rFonts w:ascii="Times New Roman" w:hAnsi="Times New Roman"/>
          <w:b/>
          <w:color w:val="000000"/>
          <w:sz w:val="24"/>
          <w:szCs w:val="24"/>
        </w:rPr>
        <w:t xml:space="preserve"> BAGAÇO DE CANA-DE-AÇÚCAR</w:t>
      </w:r>
      <w:r w:rsidR="0060025C" w:rsidRPr="0060025C">
        <w:rPr>
          <w:rFonts w:ascii="Times New Roman" w:hAnsi="Times New Roman"/>
          <w:b/>
          <w:color w:val="000000"/>
          <w:sz w:val="24"/>
          <w:szCs w:val="24"/>
        </w:rPr>
        <w:t xml:space="preserve"> SEM MOAGEM</w:t>
      </w:r>
      <w:r w:rsidRPr="0060025C">
        <w:rPr>
          <w:rFonts w:ascii="Times New Roman" w:hAnsi="Times New Roman"/>
          <w:b/>
          <w:color w:val="000000"/>
          <w:sz w:val="24"/>
          <w:szCs w:val="24"/>
        </w:rPr>
        <w:t xml:space="preserve"> NO CONCRETO EM DIFERENTES DOSAGENS</w:t>
      </w:r>
    </w:p>
    <w:p w14:paraId="2BAD5B37" w14:textId="77777777" w:rsidR="00EB5031" w:rsidRPr="0060025C" w:rsidRDefault="00EB5031" w:rsidP="003524AC">
      <w:pPr>
        <w:spacing w:after="0" w:line="240" w:lineRule="auto"/>
        <w:rPr>
          <w:rFonts w:ascii="Times New Roman" w:hAnsi="Times New Roman"/>
          <w:b/>
          <w:color w:val="000000"/>
          <w:sz w:val="24"/>
          <w:szCs w:val="24"/>
        </w:rPr>
      </w:pPr>
    </w:p>
    <w:p w14:paraId="34911849" w14:textId="77777777" w:rsidR="002323B5" w:rsidRPr="002323B5" w:rsidRDefault="002323B5" w:rsidP="003524AC">
      <w:pPr>
        <w:shd w:val="clear" w:color="auto" w:fill="FFFFFF"/>
        <w:spacing w:after="0" w:line="240" w:lineRule="auto"/>
        <w:rPr>
          <w:rFonts w:ascii="Times New Roman" w:hAnsi="Times New Roman"/>
          <w:color w:val="111111"/>
          <w:sz w:val="24"/>
          <w:shd w:val="clear" w:color="auto" w:fill="CFCEAA"/>
        </w:rPr>
      </w:pPr>
    </w:p>
    <w:p w14:paraId="3D5D710D" w14:textId="3A2A09A3" w:rsidR="00EB5031" w:rsidRPr="002323B5" w:rsidRDefault="00EB5031" w:rsidP="003524AC">
      <w:pPr>
        <w:spacing w:after="0" w:line="240" w:lineRule="auto"/>
        <w:jc w:val="both"/>
        <w:rPr>
          <w:rFonts w:ascii="Times New Roman" w:hAnsi="Times New Roman"/>
          <w:sz w:val="24"/>
          <w:szCs w:val="24"/>
        </w:rPr>
      </w:pPr>
      <w:r w:rsidRPr="002323B5">
        <w:rPr>
          <w:rFonts w:ascii="Times New Roman" w:hAnsi="Times New Roman"/>
          <w:b/>
          <w:sz w:val="24"/>
          <w:szCs w:val="24"/>
        </w:rPr>
        <w:t>R</w:t>
      </w:r>
      <w:r w:rsidR="0060025C" w:rsidRPr="002323B5">
        <w:rPr>
          <w:rFonts w:ascii="Times New Roman" w:hAnsi="Times New Roman"/>
          <w:b/>
          <w:sz w:val="24"/>
          <w:szCs w:val="24"/>
        </w:rPr>
        <w:t xml:space="preserve">esumo: </w:t>
      </w:r>
      <w:r w:rsidRPr="002323B5">
        <w:rPr>
          <w:rFonts w:ascii="Times New Roman" w:hAnsi="Times New Roman"/>
          <w:sz w:val="24"/>
          <w:szCs w:val="24"/>
        </w:rPr>
        <w:t>No processo de queima do bagaço da cana-de-açúcar, ocorre a geração de cinzas, que posteriormente são alocadas em grandes pátios</w:t>
      </w:r>
      <w:r w:rsidR="000D4337">
        <w:rPr>
          <w:rFonts w:ascii="Times New Roman" w:hAnsi="Times New Roman"/>
          <w:sz w:val="24"/>
          <w:szCs w:val="24"/>
        </w:rPr>
        <w:t>. A destinação correta deste resíduo é de grande importância ambiental</w:t>
      </w:r>
      <w:r w:rsidRPr="002323B5">
        <w:rPr>
          <w:rFonts w:ascii="Times New Roman" w:hAnsi="Times New Roman"/>
          <w:sz w:val="24"/>
          <w:szCs w:val="24"/>
        </w:rPr>
        <w:t xml:space="preserve">. A cinza do bagaço da cana-de-açúcar (CBCA) é composta predominantemente de dióxido de silício, no qual devido as </w:t>
      </w:r>
      <w:r w:rsidR="0070444D">
        <w:rPr>
          <w:rFonts w:ascii="Times New Roman" w:hAnsi="Times New Roman"/>
          <w:sz w:val="24"/>
          <w:szCs w:val="24"/>
        </w:rPr>
        <w:t xml:space="preserve">suas </w:t>
      </w:r>
      <w:r w:rsidRPr="002323B5">
        <w:rPr>
          <w:rFonts w:ascii="Times New Roman" w:hAnsi="Times New Roman"/>
          <w:sz w:val="24"/>
          <w:szCs w:val="24"/>
        </w:rPr>
        <w:t xml:space="preserve">características </w:t>
      </w:r>
      <w:r w:rsidR="0070444D">
        <w:rPr>
          <w:rFonts w:ascii="Times New Roman" w:hAnsi="Times New Roman"/>
          <w:sz w:val="24"/>
          <w:szCs w:val="24"/>
        </w:rPr>
        <w:t>físico-químicas</w:t>
      </w:r>
      <w:r w:rsidR="00E65219">
        <w:rPr>
          <w:rFonts w:ascii="Times New Roman" w:hAnsi="Times New Roman"/>
          <w:sz w:val="24"/>
          <w:szCs w:val="24"/>
        </w:rPr>
        <w:t xml:space="preserve">, </w:t>
      </w:r>
      <w:r w:rsidRPr="002323B5">
        <w:rPr>
          <w:rFonts w:ascii="Times New Roman" w:hAnsi="Times New Roman"/>
          <w:sz w:val="24"/>
          <w:szCs w:val="24"/>
        </w:rPr>
        <w:t xml:space="preserve">proporciona ao material </w:t>
      </w:r>
      <w:r w:rsidR="002323B5">
        <w:rPr>
          <w:rFonts w:ascii="Times New Roman" w:hAnsi="Times New Roman"/>
          <w:sz w:val="24"/>
          <w:szCs w:val="24"/>
        </w:rPr>
        <w:t xml:space="preserve">uma </w:t>
      </w:r>
      <w:r w:rsidRPr="002323B5">
        <w:rPr>
          <w:rFonts w:ascii="Times New Roman" w:hAnsi="Times New Roman"/>
          <w:sz w:val="24"/>
          <w:szCs w:val="24"/>
        </w:rPr>
        <w:t>atividade</w:t>
      </w:r>
      <w:r w:rsidR="00CC117F" w:rsidRPr="002323B5">
        <w:rPr>
          <w:rFonts w:ascii="Times New Roman" w:hAnsi="Times New Roman"/>
          <w:sz w:val="24"/>
          <w:szCs w:val="24"/>
        </w:rPr>
        <w:t xml:space="preserve"> </w:t>
      </w:r>
      <w:proofErr w:type="spellStart"/>
      <w:r w:rsidRPr="002323B5">
        <w:rPr>
          <w:rFonts w:ascii="Times New Roman" w:hAnsi="Times New Roman"/>
          <w:sz w:val="24"/>
          <w:szCs w:val="24"/>
        </w:rPr>
        <w:t>pozolânica</w:t>
      </w:r>
      <w:proofErr w:type="spellEnd"/>
      <w:r w:rsidR="000D4337">
        <w:rPr>
          <w:rFonts w:ascii="Times New Roman" w:hAnsi="Times New Roman"/>
          <w:sz w:val="24"/>
          <w:szCs w:val="24"/>
        </w:rPr>
        <w:t>.</w:t>
      </w:r>
      <w:r w:rsidRPr="002323B5">
        <w:rPr>
          <w:rFonts w:ascii="Times New Roman" w:hAnsi="Times New Roman"/>
          <w:sz w:val="24"/>
          <w:szCs w:val="24"/>
        </w:rPr>
        <w:t xml:space="preserve"> </w:t>
      </w:r>
      <w:r w:rsidR="000D4337">
        <w:rPr>
          <w:rFonts w:ascii="Times New Roman" w:hAnsi="Times New Roman"/>
          <w:sz w:val="24"/>
          <w:szCs w:val="24"/>
        </w:rPr>
        <w:t>D</w:t>
      </w:r>
      <w:r w:rsidRPr="002323B5">
        <w:rPr>
          <w:rFonts w:ascii="Times New Roman" w:hAnsi="Times New Roman"/>
          <w:sz w:val="24"/>
          <w:szCs w:val="24"/>
        </w:rPr>
        <w:t xml:space="preserve">essa forma, </w:t>
      </w:r>
      <w:r w:rsidR="00C26EFD">
        <w:rPr>
          <w:rFonts w:ascii="Times New Roman" w:hAnsi="Times New Roman"/>
          <w:sz w:val="24"/>
          <w:szCs w:val="24"/>
        </w:rPr>
        <w:t>surge a hipótese</w:t>
      </w:r>
      <w:r w:rsidR="002323B5">
        <w:rPr>
          <w:rFonts w:ascii="Times New Roman" w:hAnsi="Times New Roman"/>
          <w:sz w:val="24"/>
          <w:szCs w:val="24"/>
        </w:rPr>
        <w:t xml:space="preserve"> </w:t>
      </w:r>
      <w:r w:rsidR="001D036E">
        <w:rPr>
          <w:rFonts w:ascii="Times New Roman" w:hAnsi="Times New Roman"/>
          <w:sz w:val="24"/>
          <w:szCs w:val="24"/>
        </w:rPr>
        <w:t xml:space="preserve">de </w:t>
      </w:r>
      <w:r w:rsidR="002323B5">
        <w:rPr>
          <w:rFonts w:ascii="Times New Roman" w:hAnsi="Times New Roman"/>
          <w:sz w:val="24"/>
          <w:szCs w:val="24"/>
        </w:rPr>
        <w:t>que possa</w:t>
      </w:r>
      <w:r w:rsidRPr="002323B5">
        <w:rPr>
          <w:rFonts w:ascii="Times New Roman" w:hAnsi="Times New Roman"/>
          <w:sz w:val="24"/>
          <w:szCs w:val="24"/>
        </w:rPr>
        <w:t xml:space="preserve"> ser utilizada como matéria-prima na substituição parcial do cimento Portland para a produção de argamassas e concreto</w:t>
      </w:r>
      <w:r w:rsidR="002323B5">
        <w:rPr>
          <w:rFonts w:ascii="Times New Roman" w:hAnsi="Times New Roman"/>
          <w:sz w:val="24"/>
          <w:szCs w:val="24"/>
        </w:rPr>
        <w:t>s</w:t>
      </w:r>
      <w:r w:rsidRPr="002323B5">
        <w:rPr>
          <w:rFonts w:ascii="Times New Roman" w:hAnsi="Times New Roman"/>
          <w:sz w:val="24"/>
          <w:szCs w:val="24"/>
        </w:rPr>
        <w:t xml:space="preserve">. O presente estudo teve por objetivo avaliar as características do concreto em um traço definido com adição de CBCA na substituição parcial do cimento Portland em diferentes dosagens. Foram realizados ensaios sem adição e com substituição de 10, 20 e 50% de massa de cimento por CBCA. </w:t>
      </w:r>
      <w:r w:rsidR="00E01F2E">
        <w:rPr>
          <w:rFonts w:ascii="Times New Roman" w:hAnsi="Times New Roman"/>
          <w:sz w:val="24"/>
          <w:szCs w:val="24"/>
        </w:rPr>
        <w:t>Os resultados indicam</w:t>
      </w:r>
      <w:r w:rsidR="000D4337">
        <w:rPr>
          <w:rFonts w:ascii="Times New Roman" w:hAnsi="Times New Roman"/>
          <w:sz w:val="24"/>
          <w:szCs w:val="24"/>
        </w:rPr>
        <w:t xml:space="preserve"> que a</w:t>
      </w:r>
      <w:r w:rsidRPr="002323B5">
        <w:rPr>
          <w:rFonts w:ascii="Times New Roman" w:hAnsi="Times New Roman"/>
          <w:sz w:val="24"/>
          <w:szCs w:val="24"/>
        </w:rPr>
        <w:t xml:space="preserve"> resistência à compressão simples é diretamente alterada quando comparados os tratamentos com </w:t>
      </w:r>
      <w:r w:rsidR="000D4337">
        <w:rPr>
          <w:rFonts w:ascii="Times New Roman" w:hAnsi="Times New Roman"/>
          <w:sz w:val="24"/>
          <w:szCs w:val="24"/>
        </w:rPr>
        <w:t xml:space="preserve">as </w:t>
      </w:r>
      <w:r w:rsidRPr="002323B5">
        <w:rPr>
          <w:rFonts w:ascii="Times New Roman" w:hAnsi="Times New Roman"/>
          <w:sz w:val="24"/>
          <w:szCs w:val="24"/>
        </w:rPr>
        <w:t xml:space="preserve">diferentes dosagens. As substituições 10 e 20% da massa de cimento por CBCA, apresentaram valores de resistência a compressão simples acima </w:t>
      </w:r>
      <w:r w:rsidR="000D4337">
        <w:rPr>
          <w:rFonts w:ascii="Times New Roman" w:hAnsi="Times New Roman"/>
          <w:sz w:val="24"/>
          <w:szCs w:val="24"/>
        </w:rPr>
        <w:t xml:space="preserve">de </w:t>
      </w:r>
      <w:r w:rsidRPr="002323B5">
        <w:rPr>
          <w:rFonts w:ascii="Times New Roman" w:hAnsi="Times New Roman"/>
          <w:sz w:val="24"/>
          <w:szCs w:val="24"/>
        </w:rPr>
        <w:t>14 MPa</w:t>
      </w:r>
      <w:r w:rsidR="002323B5">
        <w:rPr>
          <w:rFonts w:ascii="Times New Roman" w:hAnsi="Times New Roman"/>
          <w:sz w:val="24"/>
          <w:szCs w:val="24"/>
        </w:rPr>
        <w:t xml:space="preserve">, </w:t>
      </w:r>
      <w:r w:rsidR="000D4337">
        <w:rPr>
          <w:rFonts w:ascii="Times New Roman" w:hAnsi="Times New Roman"/>
          <w:sz w:val="24"/>
          <w:szCs w:val="24"/>
        </w:rPr>
        <w:t>sendo</w:t>
      </w:r>
      <w:r w:rsidR="002323B5">
        <w:rPr>
          <w:rFonts w:ascii="Times New Roman" w:hAnsi="Times New Roman"/>
          <w:sz w:val="24"/>
          <w:szCs w:val="24"/>
        </w:rPr>
        <w:t xml:space="preserve"> estatisticamente iguais</w:t>
      </w:r>
      <w:r w:rsidR="008441A8">
        <w:rPr>
          <w:rFonts w:ascii="Times New Roman" w:hAnsi="Times New Roman"/>
          <w:sz w:val="24"/>
          <w:szCs w:val="24"/>
        </w:rPr>
        <w:t xml:space="preserve">, </w:t>
      </w:r>
      <w:r w:rsidR="009C13B2">
        <w:rPr>
          <w:rFonts w:ascii="Times New Roman" w:hAnsi="Times New Roman"/>
          <w:sz w:val="24"/>
          <w:szCs w:val="24"/>
        </w:rPr>
        <w:t>indicando-se assim o uso da maior porcentagem</w:t>
      </w:r>
      <w:r w:rsidRPr="002323B5">
        <w:rPr>
          <w:rFonts w:ascii="Times New Roman" w:hAnsi="Times New Roman"/>
          <w:sz w:val="24"/>
          <w:szCs w:val="24"/>
        </w:rPr>
        <w:t xml:space="preserve">. </w:t>
      </w:r>
      <w:r w:rsidR="003D6E59">
        <w:rPr>
          <w:rFonts w:ascii="Times New Roman" w:hAnsi="Times New Roman"/>
          <w:sz w:val="24"/>
          <w:szCs w:val="24"/>
        </w:rPr>
        <w:t>Assim, c</w:t>
      </w:r>
      <w:r w:rsidRPr="002323B5">
        <w:rPr>
          <w:rFonts w:ascii="Times New Roman" w:hAnsi="Times New Roman"/>
          <w:sz w:val="24"/>
          <w:szCs w:val="24"/>
        </w:rPr>
        <w:t>onclui-se que existe viabil</w:t>
      </w:r>
      <w:r w:rsidR="00E01F2E">
        <w:rPr>
          <w:rFonts w:ascii="Times New Roman" w:hAnsi="Times New Roman"/>
          <w:sz w:val="24"/>
          <w:szCs w:val="24"/>
        </w:rPr>
        <w:t xml:space="preserve">idade técnica para substituição </w:t>
      </w:r>
      <w:r w:rsidRPr="002323B5">
        <w:rPr>
          <w:rFonts w:ascii="Times New Roman" w:hAnsi="Times New Roman"/>
          <w:sz w:val="24"/>
          <w:szCs w:val="24"/>
        </w:rPr>
        <w:t>de cimento por CBCA no concreto.</w:t>
      </w:r>
    </w:p>
    <w:p w14:paraId="44C6D2F8" w14:textId="77777777" w:rsidR="00BD3584" w:rsidRPr="002323B5" w:rsidRDefault="00BD3584" w:rsidP="003524AC">
      <w:pPr>
        <w:spacing w:after="0" w:line="240" w:lineRule="auto"/>
        <w:jc w:val="both"/>
        <w:rPr>
          <w:rFonts w:ascii="Times New Roman" w:hAnsi="Times New Roman"/>
          <w:sz w:val="24"/>
          <w:szCs w:val="24"/>
        </w:rPr>
      </w:pPr>
    </w:p>
    <w:p w14:paraId="1A98465E" w14:textId="77777777" w:rsidR="00BD3584" w:rsidRPr="002323B5" w:rsidRDefault="00BD3584" w:rsidP="003524AC">
      <w:pPr>
        <w:spacing w:after="0" w:line="240" w:lineRule="auto"/>
        <w:jc w:val="both"/>
        <w:rPr>
          <w:rFonts w:ascii="Times New Roman" w:hAnsi="Times New Roman"/>
          <w:b/>
          <w:sz w:val="24"/>
          <w:szCs w:val="24"/>
        </w:rPr>
      </w:pPr>
      <w:r w:rsidRPr="002323B5">
        <w:rPr>
          <w:rFonts w:ascii="Times New Roman" w:hAnsi="Times New Roman"/>
          <w:b/>
          <w:sz w:val="24"/>
          <w:szCs w:val="24"/>
        </w:rPr>
        <w:t xml:space="preserve">Palavras-chave: </w:t>
      </w:r>
      <w:r w:rsidRPr="002323B5">
        <w:rPr>
          <w:rFonts w:ascii="Times New Roman" w:hAnsi="Times New Roman"/>
          <w:sz w:val="24"/>
          <w:szCs w:val="24"/>
        </w:rPr>
        <w:t xml:space="preserve">resistência à compressão; concreto ecológico; </w:t>
      </w:r>
      <w:r w:rsidR="002C6C86">
        <w:rPr>
          <w:rFonts w:ascii="Times New Roman" w:hAnsi="Times New Roman"/>
          <w:sz w:val="24"/>
          <w:szCs w:val="24"/>
        </w:rPr>
        <w:t>cimento Portland.</w:t>
      </w:r>
    </w:p>
    <w:p w14:paraId="5ED0488E" w14:textId="77777777" w:rsidR="00BD3584" w:rsidRDefault="00BD3584" w:rsidP="003524AC">
      <w:pPr>
        <w:spacing w:after="0" w:line="240" w:lineRule="auto"/>
        <w:jc w:val="both"/>
        <w:rPr>
          <w:rFonts w:ascii="Times New Roman" w:hAnsi="Times New Roman"/>
          <w:sz w:val="24"/>
          <w:szCs w:val="24"/>
        </w:rPr>
      </w:pPr>
    </w:p>
    <w:p w14:paraId="777C6991" w14:textId="77777777" w:rsidR="003524AC" w:rsidRDefault="003524AC" w:rsidP="003524AC">
      <w:pPr>
        <w:spacing w:after="0" w:line="240" w:lineRule="auto"/>
        <w:jc w:val="both"/>
        <w:rPr>
          <w:rFonts w:ascii="Times New Roman" w:hAnsi="Times New Roman"/>
          <w:sz w:val="24"/>
          <w:szCs w:val="24"/>
        </w:rPr>
      </w:pPr>
    </w:p>
    <w:p w14:paraId="7AEAD4C9" w14:textId="77777777" w:rsidR="003524AC" w:rsidRDefault="003524AC" w:rsidP="003524AC">
      <w:pPr>
        <w:spacing w:after="0" w:line="240" w:lineRule="auto"/>
        <w:jc w:val="center"/>
        <w:rPr>
          <w:rFonts w:ascii="Times New Roman" w:hAnsi="Times New Roman"/>
          <w:b/>
          <w:color w:val="000000"/>
          <w:sz w:val="24"/>
          <w:szCs w:val="24"/>
          <w:lang w:val="en-US"/>
        </w:rPr>
      </w:pPr>
      <w:r w:rsidRPr="003524AC">
        <w:rPr>
          <w:rFonts w:ascii="Times New Roman" w:hAnsi="Times New Roman"/>
          <w:b/>
          <w:color w:val="000000"/>
          <w:sz w:val="24"/>
          <w:szCs w:val="24"/>
          <w:lang w:val="en-US"/>
        </w:rPr>
        <w:t>INCORPORATION OF SUGARCANE BAGASSE ASH WITHOUT MILLING IN CONCRETE IN DIFFERENT DOSAGE</w:t>
      </w:r>
      <w:r w:rsidR="00937BDE">
        <w:rPr>
          <w:rFonts w:ascii="Times New Roman" w:hAnsi="Times New Roman"/>
          <w:b/>
          <w:color w:val="000000"/>
          <w:sz w:val="24"/>
          <w:szCs w:val="24"/>
          <w:lang w:val="en-US"/>
        </w:rPr>
        <w:t>S</w:t>
      </w:r>
    </w:p>
    <w:p w14:paraId="1DF21FA1" w14:textId="77777777" w:rsidR="003524AC" w:rsidRPr="003524AC" w:rsidRDefault="003524AC" w:rsidP="003524AC">
      <w:pPr>
        <w:spacing w:after="0" w:line="240" w:lineRule="auto"/>
        <w:jc w:val="both"/>
        <w:rPr>
          <w:rFonts w:ascii="Times New Roman" w:hAnsi="Times New Roman"/>
          <w:sz w:val="24"/>
          <w:szCs w:val="24"/>
          <w:lang w:val="en-US"/>
        </w:rPr>
      </w:pPr>
    </w:p>
    <w:p w14:paraId="6CB419A9" w14:textId="0FCECA58" w:rsidR="00BD3584" w:rsidRPr="00BE5CAA" w:rsidRDefault="00BD3584" w:rsidP="003524AC">
      <w:pPr>
        <w:spacing w:after="0" w:line="240" w:lineRule="auto"/>
        <w:jc w:val="both"/>
        <w:rPr>
          <w:rFonts w:ascii="Times New Roman" w:hAnsi="Times New Roman"/>
          <w:sz w:val="24"/>
          <w:szCs w:val="24"/>
          <w:lang w:val="en-US"/>
        </w:rPr>
      </w:pPr>
      <w:r w:rsidRPr="00BE5CAA">
        <w:rPr>
          <w:rFonts w:ascii="Times New Roman" w:hAnsi="Times New Roman"/>
          <w:b/>
          <w:sz w:val="24"/>
          <w:szCs w:val="24"/>
          <w:lang w:val="en-US"/>
        </w:rPr>
        <w:t>A</w:t>
      </w:r>
      <w:r w:rsidR="0060025C" w:rsidRPr="00BE5CAA">
        <w:rPr>
          <w:rFonts w:ascii="Times New Roman" w:hAnsi="Times New Roman"/>
          <w:b/>
          <w:sz w:val="24"/>
          <w:szCs w:val="24"/>
          <w:lang w:val="en-US"/>
        </w:rPr>
        <w:t>bstract:</w:t>
      </w:r>
      <w:r w:rsidR="002C6C86" w:rsidRPr="00BE5CAA">
        <w:rPr>
          <w:rFonts w:ascii="Times New Roman" w:hAnsi="Times New Roman"/>
          <w:sz w:val="24"/>
          <w:szCs w:val="24"/>
          <w:lang w:val="en-US"/>
        </w:rPr>
        <w:t xml:space="preserve"> </w:t>
      </w:r>
      <w:r w:rsidR="003524AC" w:rsidRPr="003524AC">
        <w:rPr>
          <w:rFonts w:ascii="Times New Roman" w:hAnsi="Times New Roman"/>
          <w:sz w:val="24"/>
          <w:szCs w:val="24"/>
          <w:lang w:val="en-US"/>
        </w:rPr>
        <w:t>In the burning process of sugarcane bagasse, the creation of ashes occurs, which are later allocated in large courtyards. The correct destination of this residue is of great environmental importance. Sugarcane bagasse ash (SCBA) is predominantly composed of silicon dioxide, that due to their physical-chemical characteristics provide pozzolanic properties to the material. Thus, it is hypothesized that it can be used as a raw material in the partial replacement of Portland cement for the mortars and concretes production. The present study aimed to evaluate the concrete characteristics with addition of SCBA in partial replacement of Portland cement in different dosages. Tests were carried out without addition and with replacement of 10, 20 and 50% of cement mass by SCBA. The results indicate that the resistance to simple compression is modified when the treatments with different dosages are compared. The 10 and 20% replacement of the cement mass by SCBA, presented resistance values to compression above 14 MPa, being statistically equal</w:t>
      </w:r>
      <w:r w:rsidR="00E614FD">
        <w:rPr>
          <w:rFonts w:ascii="Times New Roman" w:hAnsi="Times New Roman"/>
          <w:sz w:val="24"/>
          <w:szCs w:val="24"/>
          <w:lang w:val="en-US"/>
        </w:rPr>
        <w:t xml:space="preserve">, </w:t>
      </w:r>
      <w:r w:rsidR="00E614FD" w:rsidRPr="00E614FD">
        <w:rPr>
          <w:rFonts w:ascii="Times New Roman" w:hAnsi="Times New Roman"/>
          <w:sz w:val="24"/>
          <w:szCs w:val="24"/>
          <w:lang w:val="en-US"/>
        </w:rPr>
        <w:t>indicating the use of the highest percentage</w:t>
      </w:r>
      <w:bookmarkStart w:id="0" w:name="_GoBack"/>
      <w:bookmarkEnd w:id="0"/>
      <w:r w:rsidR="003524AC" w:rsidRPr="003524AC">
        <w:rPr>
          <w:rFonts w:ascii="Times New Roman" w:hAnsi="Times New Roman"/>
          <w:sz w:val="24"/>
          <w:szCs w:val="24"/>
          <w:lang w:val="en-US"/>
        </w:rPr>
        <w:t>. Therefore, it is concluded that there is technical feasibility for cement replacement by SCBA in concrete.</w:t>
      </w:r>
    </w:p>
    <w:p w14:paraId="54494EBF" w14:textId="77777777" w:rsidR="00BD3584" w:rsidRPr="003D6E59" w:rsidRDefault="00BD3584" w:rsidP="002323B5">
      <w:pPr>
        <w:spacing w:after="0" w:line="240" w:lineRule="auto"/>
        <w:jc w:val="both"/>
        <w:rPr>
          <w:rFonts w:ascii="Times New Roman" w:hAnsi="Times New Roman"/>
          <w:sz w:val="24"/>
          <w:szCs w:val="24"/>
          <w:lang w:val="en-US"/>
        </w:rPr>
      </w:pPr>
    </w:p>
    <w:p w14:paraId="1B5ED406" w14:textId="77777777" w:rsidR="00BD3584" w:rsidRPr="002C6C86" w:rsidRDefault="00BD3584" w:rsidP="002323B5">
      <w:pPr>
        <w:spacing w:after="0" w:line="240" w:lineRule="auto"/>
        <w:jc w:val="both"/>
        <w:rPr>
          <w:rFonts w:ascii="Times New Roman" w:hAnsi="Times New Roman"/>
          <w:b/>
          <w:sz w:val="24"/>
          <w:szCs w:val="24"/>
          <w:lang w:val="en-US"/>
        </w:rPr>
      </w:pPr>
      <w:r w:rsidRPr="002C6C86">
        <w:rPr>
          <w:rFonts w:ascii="Times New Roman" w:hAnsi="Times New Roman"/>
          <w:b/>
          <w:sz w:val="24"/>
          <w:szCs w:val="24"/>
          <w:lang w:val="en-US"/>
        </w:rPr>
        <w:t>Keywords:</w:t>
      </w:r>
      <w:r w:rsidR="00701848">
        <w:rPr>
          <w:rFonts w:ascii="Times New Roman" w:hAnsi="Times New Roman"/>
          <w:sz w:val="24"/>
          <w:szCs w:val="24"/>
          <w:lang w:val="en-US"/>
        </w:rPr>
        <w:t xml:space="preserve"> compressive strength; e</w:t>
      </w:r>
      <w:r w:rsidR="002C6C86" w:rsidRPr="002C6C86">
        <w:rPr>
          <w:rFonts w:ascii="Times New Roman" w:hAnsi="Times New Roman"/>
          <w:sz w:val="24"/>
          <w:szCs w:val="24"/>
          <w:lang w:val="en-US"/>
        </w:rPr>
        <w:t>cological concrete; Portland cement.</w:t>
      </w:r>
    </w:p>
    <w:p w14:paraId="1FF8AD78" w14:textId="77777777" w:rsidR="00EB5031" w:rsidRPr="00BE5CAA" w:rsidRDefault="0060025C" w:rsidP="002323B5">
      <w:pPr>
        <w:spacing w:after="0" w:line="240" w:lineRule="auto"/>
        <w:jc w:val="center"/>
        <w:rPr>
          <w:rFonts w:ascii="Times New Roman" w:hAnsi="Times New Roman"/>
          <w:b/>
          <w:sz w:val="24"/>
          <w:szCs w:val="24"/>
        </w:rPr>
      </w:pPr>
      <w:r w:rsidRPr="00BE5CAA">
        <w:rPr>
          <w:rFonts w:ascii="Times New Roman" w:hAnsi="Times New Roman"/>
          <w:b/>
          <w:sz w:val="24"/>
          <w:szCs w:val="24"/>
        </w:rPr>
        <w:t>Introdução</w:t>
      </w:r>
    </w:p>
    <w:p w14:paraId="22238C6B" w14:textId="77777777" w:rsidR="00CC117F" w:rsidRPr="00BE5CAA" w:rsidRDefault="00CC117F" w:rsidP="002323B5">
      <w:pPr>
        <w:spacing w:after="0" w:line="240" w:lineRule="auto"/>
        <w:jc w:val="both"/>
        <w:rPr>
          <w:rFonts w:ascii="Times New Roman" w:hAnsi="Times New Roman"/>
          <w:b/>
          <w:sz w:val="24"/>
          <w:szCs w:val="24"/>
        </w:rPr>
      </w:pPr>
    </w:p>
    <w:p w14:paraId="48CEA4B6" w14:textId="091A05FE" w:rsidR="00EB5031" w:rsidRPr="002323B5" w:rsidRDefault="00EB5031" w:rsidP="002323B5">
      <w:pPr>
        <w:pStyle w:val="SemEspaamento"/>
        <w:ind w:firstLine="708"/>
        <w:jc w:val="both"/>
        <w:rPr>
          <w:rFonts w:ascii="Times New Roman" w:hAnsi="Times New Roman"/>
          <w:sz w:val="24"/>
          <w:szCs w:val="24"/>
        </w:rPr>
      </w:pPr>
      <w:r w:rsidRPr="002323B5">
        <w:rPr>
          <w:rFonts w:ascii="Times New Roman" w:hAnsi="Times New Roman"/>
          <w:sz w:val="24"/>
          <w:szCs w:val="24"/>
        </w:rPr>
        <w:t xml:space="preserve">De acordo com a </w:t>
      </w:r>
      <w:r w:rsidR="004D4D8F" w:rsidRPr="002323B5">
        <w:rPr>
          <w:rFonts w:ascii="Times New Roman" w:hAnsi="Times New Roman"/>
          <w:sz w:val="24"/>
          <w:szCs w:val="24"/>
        </w:rPr>
        <w:t>Associação Brasileira de Cimento Portland - ABCP</w:t>
      </w:r>
      <w:r w:rsidRPr="002323B5">
        <w:rPr>
          <w:rFonts w:ascii="Times New Roman" w:hAnsi="Times New Roman"/>
          <w:sz w:val="24"/>
          <w:szCs w:val="24"/>
        </w:rPr>
        <w:t>,</w:t>
      </w:r>
      <w:r w:rsidR="006350E1">
        <w:rPr>
          <w:rFonts w:ascii="Times New Roman" w:hAnsi="Times New Roman"/>
          <w:sz w:val="24"/>
          <w:szCs w:val="24"/>
        </w:rPr>
        <w:t xml:space="preserve"> </w:t>
      </w:r>
      <w:r w:rsidR="00D20CE3">
        <w:rPr>
          <w:rFonts w:ascii="Times New Roman" w:hAnsi="Times New Roman"/>
          <w:sz w:val="24"/>
          <w:szCs w:val="24"/>
        </w:rPr>
        <w:t>no Brasil houve uma queda na venda de cimento</w:t>
      </w:r>
      <w:r w:rsidR="003D79C4">
        <w:rPr>
          <w:rFonts w:ascii="Times New Roman" w:hAnsi="Times New Roman"/>
          <w:sz w:val="24"/>
          <w:szCs w:val="24"/>
        </w:rPr>
        <w:t xml:space="preserve"> desde o ano de 2015</w:t>
      </w:r>
      <w:r w:rsidR="00AD3CD3">
        <w:rPr>
          <w:rFonts w:ascii="Times New Roman" w:hAnsi="Times New Roman"/>
          <w:sz w:val="24"/>
          <w:szCs w:val="24"/>
        </w:rPr>
        <w:t>, sendo que a indústria tem operado com apenas 52% da sua capacidade anual de produção, que em sua totalidade pode chegar até 100 milhões de toneladas por ano</w:t>
      </w:r>
      <w:r w:rsidR="00BC328F">
        <w:rPr>
          <w:rFonts w:ascii="Times New Roman" w:hAnsi="Times New Roman"/>
          <w:sz w:val="24"/>
          <w:szCs w:val="24"/>
        </w:rPr>
        <w:t xml:space="preserve"> (ABCP, 2018)</w:t>
      </w:r>
      <w:r w:rsidRPr="002323B5">
        <w:rPr>
          <w:rFonts w:ascii="Times New Roman" w:hAnsi="Times New Roman"/>
          <w:sz w:val="24"/>
          <w:szCs w:val="24"/>
        </w:rPr>
        <w:t>.</w:t>
      </w:r>
    </w:p>
    <w:p w14:paraId="3A91AAAA" w14:textId="7225504D" w:rsidR="00EB5031" w:rsidRPr="002323B5" w:rsidRDefault="00551CD8" w:rsidP="002323B5">
      <w:pPr>
        <w:pStyle w:val="SemEspaamento"/>
        <w:ind w:firstLine="708"/>
        <w:jc w:val="both"/>
        <w:rPr>
          <w:rFonts w:ascii="Times New Roman" w:hAnsi="Times New Roman"/>
          <w:sz w:val="24"/>
          <w:szCs w:val="24"/>
        </w:rPr>
      </w:pPr>
      <w:r>
        <w:rPr>
          <w:rFonts w:ascii="Times New Roman" w:hAnsi="Times New Roman"/>
          <w:sz w:val="24"/>
          <w:szCs w:val="24"/>
        </w:rPr>
        <w:lastRenderedPageBreak/>
        <w:t>Em anos anteriores a</w:t>
      </w:r>
      <w:r w:rsidR="00812184">
        <w:rPr>
          <w:rFonts w:ascii="Times New Roman" w:hAnsi="Times New Roman"/>
          <w:sz w:val="24"/>
          <w:szCs w:val="24"/>
        </w:rPr>
        <w:t>o da queda de venda de cimentos, p</w:t>
      </w:r>
      <w:r w:rsidR="00EB5031" w:rsidRPr="002323B5">
        <w:rPr>
          <w:rFonts w:ascii="Times New Roman" w:hAnsi="Times New Roman"/>
          <w:sz w:val="24"/>
          <w:szCs w:val="24"/>
        </w:rPr>
        <w:t xml:space="preserve">ara suprir a </w:t>
      </w:r>
      <w:r w:rsidR="00EB5031" w:rsidRPr="003D6E59">
        <w:rPr>
          <w:rFonts w:ascii="Times New Roman" w:hAnsi="Times New Roman"/>
          <w:sz w:val="24"/>
          <w:szCs w:val="24"/>
        </w:rPr>
        <w:t>demanda</w:t>
      </w:r>
      <w:r w:rsidR="00EB5031" w:rsidRPr="002323B5">
        <w:rPr>
          <w:rFonts w:ascii="Times New Roman" w:hAnsi="Times New Roman"/>
          <w:sz w:val="24"/>
          <w:szCs w:val="24"/>
        </w:rPr>
        <w:t xml:space="preserve"> do concreto</w:t>
      </w:r>
      <w:r w:rsidR="00812184">
        <w:rPr>
          <w:rFonts w:ascii="Times New Roman" w:hAnsi="Times New Roman"/>
          <w:sz w:val="24"/>
          <w:szCs w:val="24"/>
        </w:rPr>
        <w:t>,</w:t>
      </w:r>
      <w:r w:rsidR="00EB5031" w:rsidRPr="002323B5">
        <w:rPr>
          <w:rFonts w:ascii="Times New Roman" w:hAnsi="Times New Roman"/>
          <w:sz w:val="24"/>
          <w:szCs w:val="24"/>
        </w:rPr>
        <w:t xml:space="preserve"> houve o crescimento da produção de</w:t>
      </w:r>
      <w:r w:rsidR="00812184">
        <w:rPr>
          <w:rFonts w:ascii="Times New Roman" w:hAnsi="Times New Roman"/>
          <w:sz w:val="24"/>
          <w:szCs w:val="24"/>
        </w:rPr>
        <w:t>sta matéria</w:t>
      </w:r>
      <w:r w:rsidR="00EB5031" w:rsidRPr="002323B5">
        <w:rPr>
          <w:rFonts w:ascii="Times New Roman" w:hAnsi="Times New Roman"/>
          <w:sz w:val="24"/>
          <w:szCs w:val="24"/>
        </w:rPr>
        <w:t>,</w:t>
      </w:r>
      <w:r w:rsidR="004D7107">
        <w:rPr>
          <w:rFonts w:ascii="Times New Roman" w:hAnsi="Times New Roman"/>
          <w:sz w:val="24"/>
          <w:szCs w:val="24"/>
        </w:rPr>
        <w:t xml:space="preserve"> o que levou a</w:t>
      </w:r>
      <w:r w:rsidR="008F6042">
        <w:rPr>
          <w:rFonts w:ascii="Times New Roman" w:hAnsi="Times New Roman"/>
          <w:sz w:val="24"/>
          <w:szCs w:val="24"/>
        </w:rPr>
        <w:t xml:space="preserve"> </w:t>
      </w:r>
      <w:r w:rsidR="00513DFA">
        <w:rPr>
          <w:rFonts w:ascii="Times New Roman" w:hAnsi="Times New Roman"/>
          <w:sz w:val="24"/>
          <w:szCs w:val="24"/>
        </w:rPr>
        <w:t xml:space="preserve">um aumento na </w:t>
      </w:r>
      <w:r w:rsidR="00513DFA" w:rsidRPr="002323B5">
        <w:rPr>
          <w:rFonts w:ascii="Times New Roman" w:hAnsi="Times New Roman"/>
          <w:sz w:val="24"/>
          <w:szCs w:val="24"/>
        </w:rPr>
        <w:t>extração</w:t>
      </w:r>
      <w:r w:rsidR="00BD7168">
        <w:rPr>
          <w:rFonts w:ascii="Times New Roman" w:hAnsi="Times New Roman"/>
          <w:sz w:val="24"/>
          <w:szCs w:val="24"/>
        </w:rPr>
        <w:t xml:space="preserve"> e transformação</w:t>
      </w:r>
      <w:r w:rsidR="00513DFA" w:rsidRPr="002323B5">
        <w:rPr>
          <w:rFonts w:ascii="Times New Roman" w:hAnsi="Times New Roman"/>
          <w:sz w:val="24"/>
          <w:szCs w:val="24"/>
        </w:rPr>
        <w:t xml:space="preserve"> d</w:t>
      </w:r>
      <w:r w:rsidR="00BD7168">
        <w:rPr>
          <w:rFonts w:ascii="Times New Roman" w:hAnsi="Times New Roman"/>
          <w:sz w:val="24"/>
          <w:szCs w:val="24"/>
        </w:rPr>
        <w:t>a</w:t>
      </w:r>
      <w:r w:rsidR="00513DFA" w:rsidRPr="002323B5">
        <w:rPr>
          <w:rFonts w:ascii="Times New Roman" w:hAnsi="Times New Roman"/>
          <w:sz w:val="24"/>
          <w:szCs w:val="24"/>
        </w:rPr>
        <w:t xml:space="preserve"> matéria-prima</w:t>
      </w:r>
      <w:r w:rsidR="004D7107">
        <w:rPr>
          <w:rFonts w:ascii="Times New Roman" w:hAnsi="Times New Roman"/>
          <w:sz w:val="24"/>
          <w:szCs w:val="24"/>
        </w:rPr>
        <w:t>.</w:t>
      </w:r>
      <w:r w:rsidR="00EB5031" w:rsidRPr="002323B5">
        <w:rPr>
          <w:rFonts w:ascii="Times New Roman" w:hAnsi="Times New Roman"/>
          <w:sz w:val="24"/>
          <w:szCs w:val="24"/>
        </w:rPr>
        <w:t xml:space="preserve"> </w:t>
      </w:r>
      <w:r w:rsidR="00BD7168">
        <w:rPr>
          <w:rFonts w:ascii="Times New Roman" w:hAnsi="Times New Roman"/>
          <w:sz w:val="24"/>
          <w:szCs w:val="24"/>
        </w:rPr>
        <w:t>C</w:t>
      </w:r>
      <w:r w:rsidR="004D7107">
        <w:rPr>
          <w:rFonts w:ascii="Times New Roman" w:hAnsi="Times New Roman"/>
          <w:sz w:val="24"/>
          <w:szCs w:val="24"/>
        </w:rPr>
        <w:t>omo consequência</w:t>
      </w:r>
      <w:r w:rsidR="00D119CA">
        <w:rPr>
          <w:rFonts w:ascii="Times New Roman" w:hAnsi="Times New Roman"/>
          <w:sz w:val="24"/>
          <w:szCs w:val="24"/>
        </w:rPr>
        <w:t xml:space="preserve"> disso</w:t>
      </w:r>
      <w:r w:rsidR="004D7107">
        <w:rPr>
          <w:rFonts w:ascii="Times New Roman" w:hAnsi="Times New Roman"/>
          <w:sz w:val="24"/>
          <w:szCs w:val="24"/>
        </w:rPr>
        <w:t xml:space="preserve">, </w:t>
      </w:r>
      <w:r w:rsidR="00BD7168">
        <w:rPr>
          <w:rFonts w:ascii="Times New Roman" w:hAnsi="Times New Roman"/>
          <w:sz w:val="24"/>
          <w:szCs w:val="24"/>
        </w:rPr>
        <w:t>h</w:t>
      </w:r>
      <w:r w:rsidR="00812184">
        <w:rPr>
          <w:rFonts w:ascii="Times New Roman" w:hAnsi="Times New Roman"/>
          <w:sz w:val="24"/>
          <w:szCs w:val="24"/>
        </w:rPr>
        <w:t>ouve</w:t>
      </w:r>
      <w:r w:rsidR="00BD7168">
        <w:rPr>
          <w:rFonts w:ascii="Times New Roman" w:hAnsi="Times New Roman"/>
          <w:sz w:val="24"/>
          <w:szCs w:val="24"/>
        </w:rPr>
        <w:t xml:space="preserve"> um</w:t>
      </w:r>
      <w:r w:rsidR="004D7107">
        <w:rPr>
          <w:rFonts w:ascii="Times New Roman" w:hAnsi="Times New Roman"/>
          <w:sz w:val="24"/>
          <w:szCs w:val="24"/>
        </w:rPr>
        <w:t xml:space="preserve"> acréscimo nas taxas de </w:t>
      </w:r>
      <w:r w:rsidR="004D7107" w:rsidRPr="002323B5">
        <w:rPr>
          <w:rFonts w:ascii="Times New Roman" w:hAnsi="Times New Roman"/>
          <w:sz w:val="24"/>
          <w:szCs w:val="24"/>
        </w:rPr>
        <w:t>emissão de dióxido de carbono (CO</w:t>
      </w:r>
      <w:r w:rsidR="004D7107" w:rsidRPr="002323B5">
        <w:rPr>
          <w:rFonts w:ascii="Times New Roman" w:hAnsi="Times New Roman"/>
          <w:sz w:val="24"/>
          <w:szCs w:val="24"/>
          <w:vertAlign w:val="subscript"/>
        </w:rPr>
        <w:t>2</w:t>
      </w:r>
      <w:r w:rsidR="004D7107" w:rsidRPr="002323B5">
        <w:rPr>
          <w:rFonts w:ascii="Times New Roman" w:hAnsi="Times New Roman"/>
          <w:sz w:val="24"/>
          <w:szCs w:val="24"/>
        </w:rPr>
        <w:t>)</w:t>
      </w:r>
      <w:r w:rsidR="00BD7168">
        <w:rPr>
          <w:rFonts w:ascii="Times New Roman" w:hAnsi="Times New Roman"/>
          <w:sz w:val="24"/>
          <w:szCs w:val="24"/>
        </w:rPr>
        <w:t xml:space="preserve"> e outros poluentes</w:t>
      </w:r>
      <w:r w:rsidR="00D119CA">
        <w:rPr>
          <w:rFonts w:ascii="Times New Roman" w:hAnsi="Times New Roman"/>
          <w:sz w:val="24"/>
          <w:szCs w:val="24"/>
        </w:rPr>
        <w:t xml:space="preserve"> (</w:t>
      </w:r>
      <w:r w:rsidR="00D90BCF">
        <w:rPr>
          <w:rFonts w:ascii="Times New Roman" w:hAnsi="Times New Roman"/>
          <w:sz w:val="24"/>
          <w:szCs w:val="24"/>
        </w:rPr>
        <w:t>DAVIDOVITS</w:t>
      </w:r>
      <w:r w:rsidR="00D119CA">
        <w:rPr>
          <w:rFonts w:ascii="Times New Roman" w:hAnsi="Times New Roman"/>
          <w:sz w:val="24"/>
          <w:szCs w:val="24"/>
        </w:rPr>
        <w:t>, 1994)</w:t>
      </w:r>
      <w:r w:rsidR="004D7107">
        <w:rPr>
          <w:rFonts w:ascii="Times New Roman" w:hAnsi="Times New Roman"/>
          <w:sz w:val="24"/>
          <w:szCs w:val="24"/>
        </w:rPr>
        <w:t>, produzido</w:t>
      </w:r>
      <w:r w:rsidR="00D119CA">
        <w:rPr>
          <w:rFonts w:ascii="Times New Roman" w:hAnsi="Times New Roman"/>
          <w:sz w:val="24"/>
          <w:szCs w:val="24"/>
        </w:rPr>
        <w:t>s principalmente</w:t>
      </w:r>
      <w:r w:rsidR="004D7107">
        <w:rPr>
          <w:rFonts w:ascii="Times New Roman" w:hAnsi="Times New Roman"/>
          <w:sz w:val="24"/>
          <w:szCs w:val="24"/>
        </w:rPr>
        <w:t xml:space="preserve"> na fabricação do </w:t>
      </w:r>
      <w:r w:rsidR="00D119CA">
        <w:rPr>
          <w:rFonts w:ascii="Times New Roman" w:hAnsi="Times New Roman"/>
          <w:sz w:val="24"/>
          <w:szCs w:val="24"/>
        </w:rPr>
        <w:t xml:space="preserve">clínquer, componente do </w:t>
      </w:r>
      <w:r w:rsidR="004D7107">
        <w:rPr>
          <w:rFonts w:ascii="Times New Roman" w:hAnsi="Times New Roman"/>
          <w:sz w:val="24"/>
          <w:szCs w:val="24"/>
        </w:rPr>
        <w:t>cimento.</w:t>
      </w:r>
      <w:r w:rsidR="004D7107" w:rsidRPr="002323B5">
        <w:rPr>
          <w:rFonts w:ascii="Times New Roman" w:hAnsi="Times New Roman"/>
          <w:sz w:val="24"/>
          <w:szCs w:val="24"/>
        </w:rPr>
        <w:t xml:space="preserve"> </w:t>
      </w:r>
      <w:r w:rsidR="00EB5031" w:rsidRPr="002323B5">
        <w:rPr>
          <w:rFonts w:ascii="Times New Roman" w:hAnsi="Times New Roman"/>
          <w:sz w:val="24"/>
          <w:szCs w:val="24"/>
        </w:rPr>
        <w:t xml:space="preserve">Segundo </w:t>
      </w:r>
      <w:proofErr w:type="spellStart"/>
      <w:r w:rsidR="00EB5031" w:rsidRPr="002323B5">
        <w:rPr>
          <w:rFonts w:ascii="Times New Roman" w:hAnsi="Times New Roman"/>
          <w:sz w:val="24"/>
          <w:szCs w:val="24"/>
        </w:rPr>
        <w:t>Demanboro</w:t>
      </w:r>
      <w:proofErr w:type="spellEnd"/>
      <w:r w:rsidR="00EB5031" w:rsidRPr="002323B5">
        <w:rPr>
          <w:rFonts w:ascii="Times New Roman" w:hAnsi="Times New Roman"/>
          <w:sz w:val="24"/>
          <w:szCs w:val="24"/>
        </w:rPr>
        <w:t xml:space="preserve"> et al. (2003), para uma tonelada de cimento produzida, são lançada</w:t>
      </w:r>
      <w:r w:rsidR="00D119CA">
        <w:rPr>
          <w:rFonts w:ascii="Times New Roman" w:hAnsi="Times New Roman"/>
          <w:sz w:val="24"/>
          <w:szCs w:val="24"/>
        </w:rPr>
        <w:t>s</w:t>
      </w:r>
      <w:r w:rsidR="00EB5031" w:rsidRPr="002323B5">
        <w:rPr>
          <w:rFonts w:ascii="Times New Roman" w:hAnsi="Times New Roman"/>
          <w:sz w:val="24"/>
          <w:szCs w:val="24"/>
        </w:rPr>
        <w:t xml:space="preserve"> uma tonelada de CO</w:t>
      </w:r>
      <w:r w:rsidR="00EB5031" w:rsidRPr="002323B5">
        <w:rPr>
          <w:rFonts w:ascii="Times New Roman" w:hAnsi="Times New Roman"/>
          <w:sz w:val="24"/>
          <w:szCs w:val="24"/>
          <w:vertAlign w:val="subscript"/>
        </w:rPr>
        <w:t>2</w:t>
      </w:r>
      <w:r w:rsidR="00EB5031" w:rsidRPr="002323B5">
        <w:rPr>
          <w:rFonts w:ascii="Times New Roman" w:hAnsi="Times New Roman"/>
          <w:sz w:val="24"/>
          <w:szCs w:val="24"/>
        </w:rPr>
        <w:t xml:space="preserve"> na atmosfera, correspondente a cerca de 7% da emissão anual total de CO</w:t>
      </w:r>
      <w:r w:rsidR="00EB5031" w:rsidRPr="002323B5">
        <w:rPr>
          <w:rFonts w:ascii="Times New Roman" w:hAnsi="Times New Roman"/>
          <w:sz w:val="24"/>
          <w:szCs w:val="24"/>
          <w:vertAlign w:val="subscript"/>
        </w:rPr>
        <w:t>2</w:t>
      </w:r>
      <w:r w:rsidR="00EB5031" w:rsidRPr="002323B5">
        <w:rPr>
          <w:rFonts w:ascii="Times New Roman" w:hAnsi="Times New Roman"/>
          <w:sz w:val="24"/>
          <w:szCs w:val="24"/>
        </w:rPr>
        <w:t>.</w:t>
      </w:r>
    </w:p>
    <w:p w14:paraId="014D1FB7" w14:textId="77777777" w:rsidR="00EB5031" w:rsidRPr="002323B5" w:rsidRDefault="008F6042" w:rsidP="002323B5">
      <w:pPr>
        <w:pStyle w:val="SemEspaamento"/>
        <w:ind w:firstLine="708"/>
        <w:jc w:val="both"/>
        <w:rPr>
          <w:rFonts w:ascii="Times New Roman" w:hAnsi="Times New Roman"/>
          <w:sz w:val="24"/>
          <w:szCs w:val="24"/>
        </w:rPr>
      </w:pPr>
      <w:r>
        <w:rPr>
          <w:rFonts w:ascii="Times New Roman" w:hAnsi="Times New Roman"/>
          <w:sz w:val="24"/>
          <w:szCs w:val="24"/>
        </w:rPr>
        <w:t>Por sua vez, c</w:t>
      </w:r>
      <w:r w:rsidR="00EB5031" w:rsidRPr="002323B5">
        <w:rPr>
          <w:rFonts w:ascii="Times New Roman" w:hAnsi="Times New Roman"/>
          <w:sz w:val="24"/>
          <w:szCs w:val="24"/>
        </w:rPr>
        <w:t>erca de 90% das emissões de CO</w:t>
      </w:r>
      <w:r w:rsidR="00EB5031" w:rsidRPr="002323B5">
        <w:rPr>
          <w:rFonts w:ascii="Times New Roman" w:hAnsi="Times New Roman"/>
          <w:sz w:val="24"/>
          <w:szCs w:val="24"/>
          <w:vertAlign w:val="subscript"/>
        </w:rPr>
        <w:t>2</w:t>
      </w:r>
      <w:r w:rsidR="00EB5031" w:rsidRPr="002323B5">
        <w:rPr>
          <w:rFonts w:ascii="Times New Roman" w:hAnsi="Times New Roman"/>
          <w:sz w:val="24"/>
          <w:szCs w:val="24"/>
        </w:rPr>
        <w:t xml:space="preserve"> geradas na fabricação de cimento ocorrem nos fornos que queimam o clínquer</w:t>
      </w:r>
      <w:r w:rsidR="00D119CA">
        <w:rPr>
          <w:rFonts w:ascii="Times New Roman" w:hAnsi="Times New Roman"/>
          <w:sz w:val="24"/>
          <w:szCs w:val="24"/>
        </w:rPr>
        <w:t>, sendo que</w:t>
      </w:r>
      <w:r>
        <w:rPr>
          <w:rFonts w:ascii="Times New Roman" w:hAnsi="Times New Roman"/>
          <w:sz w:val="24"/>
          <w:szCs w:val="24"/>
        </w:rPr>
        <w:t xml:space="preserve"> c</w:t>
      </w:r>
      <w:r w:rsidR="00EB5031" w:rsidRPr="002323B5">
        <w:rPr>
          <w:rFonts w:ascii="Times New Roman" w:hAnsi="Times New Roman"/>
          <w:sz w:val="24"/>
          <w:szCs w:val="24"/>
        </w:rPr>
        <w:t>erca de 50% a 70% da massa de clínquer presente no cimento Portland pode ser substituída por diversos materiais complementares, como por exemplo</w:t>
      </w:r>
      <w:r>
        <w:rPr>
          <w:rFonts w:ascii="Times New Roman" w:hAnsi="Times New Roman"/>
          <w:sz w:val="24"/>
          <w:szCs w:val="24"/>
        </w:rPr>
        <w:t>,</w:t>
      </w:r>
      <w:r w:rsidR="00EB5031" w:rsidRPr="002323B5">
        <w:rPr>
          <w:rFonts w:ascii="Times New Roman" w:hAnsi="Times New Roman"/>
          <w:sz w:val="24"/>
          <w:szCs w:val="24"/>
        </w:rPr>
        <w:t xml:space="preserve"> as cinzas volantes, </w:t>
      </w:r>
      <w:proofErr w:type="spellStart"/>
      <w:r w:rsidR="00EB5031" w:rsidRPr="002323B5">
        <w:rPr>
          <w:rFonts w:ascii="Times New Roman" w:hAnsi="Times New Roman"/>
          <w:sz w:val="24"/>
          <w:szCs w:val="24"/>
        </w:rPr>
        <w:t>pozolanas</w:t>
      </w:r>
      <w:proofErr w:type="spellEnd"/>
      <w:r w:rsidR="00EB5031" w:rsidRPr="002323B5">
        <w:rPr>
          <w:rFonts w:ascii="Times New Roman" w:hAnsi="Times New Roman"/>
          <w:sz w:val="24"/>
          <w:szCs w:val="24"/>
        </w:rPr>
        <w:t xml:space="preserve"> naturais e cinzas de casca de arroz, </w:t>
      </w:r>
      <w:r>
        <w:rPr>
          <w:rFonts w:ascii="Times New Roman" w:hAnsi="Times New Roman"/>
          <w:sz w:val="24"/>
          <w:szCs w:val="24"/>
        </w:rPr>
        <w:t xml:space="preserve">isso </w:t>
      </w:r>
      <w:r w:rsidR="00EB5031" w:rsidRPr="002323B5">
        <w:rPr>
          <w:rFonts w:ascii="Times New Roman" w:hAnsi="Times New Roman"/>
          <w:sz w:val="24"/>
          <w:szCs w:val="24"/>
        </w:rPr>
        <w:t xml:space="preserve">devido às suas atividades </w:t>
      </w:r>
      <w:proofErr w:type="spellStart"/>
      <w:r w:rsidR="00EB5031" w:rsidRPr="002323B5">
        <w:rPr>
          <w:rFonts w:ascii="Times New Roman" w:hAnsi="Times New Roman"/>
          <w:sz w:val="24"/>
          <w:szCs w:val="24"/>
        </w:rPr>
        <w:t>pozolânicas</w:t>
      </w:r>
      <w:proofErr w:type="spellEnd"/>
      <w:r w:rsidR="00EB5031" w:rsidRPr="002323B5">
        <w:rPr>
          <w:rFonts w:ascii="Times New Roman" w:hAnsi="Times New Roman"/>
          <w:sz w:val="24"/>
          <w:szCs w:val="24"/>
        </w:rPr>
        <w:t xml:space="preserve"> (FRANK, 2008).</w:t>
      </w:r>
    </w:p>
    <w:p w14:paraId="06C66ECC" w14:textId="77777777" w:rsidR="00EB5031" w:rsidRPr="002323B5" w:rsidRDefault="008F6042" w:rsidP="002323B5">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Deste modo, a</w:t>
      </w:r>
      <w:r w:rsidR="00EB5031" w:rsidRPr="002323B5">
        <w:rPr>
          <w:rFonts w:ascii="Times New Roman" w:hAnsi="Times New Roman"/>
          <w:sz w:val="24"/>
          <w:szCs w:val="24"/>
        </w:rPr>
        <w:t>s cinzas obtidas em processos agroindustriais apresentam-se como uma alternativa para o uso em concretos, substituindo parcialmente os aglomerantes (CORDEIRO</w:t>
      </w:r>
      <w:r w:rsidR="004D4D8F" w:rsidRPr="002323B5">
        <w:rPr>
          <w:rFonts w:ascii="Times New Roman" w:hAnsi="Times New Roman"/>
          <w:sz w:val="24"/>
          <w:szCs w:val="24"/>
        </w:rPr>
        <w:t xml:space="preserve"> et al.</w:t>
      </w:r>
      <w:r w:rsidR="00EB5031" w:rsidRPr="002323B5">
        <w:rPr>
          <w:rFonts w:ascii="Times New Roman" w:hAnsi="Times New Roman"/>
          <w:sz w:val="24"/>
          <w:szCs w:val="24"/>
        </w:rPr>
        <w:t xml:space="preserve">, 2010; </w:t>
      </w:r>
      <w:r w:rsidR="00724B2F" w:rsidRPr="002323B5">
        <w:rPr>
          <w:rFonts w:ascii="Times New Roman" w:hAnsi="Times New Roman"/>
          <w:sz w:val="24"/>
          <w:szCs w:val="24"/>
        </w:rPr>
        <w:t>NUNES et al., 2008</w:t>
      </w:r>
      <w:r w:rsidR="00EB5031" w:rsidRPr="002323B5">
        <w:rPr>
          <w:rFonts w:ascii="Times New Roman" w:hAnsi="Times New Roman"/>
          <w:sz w:val="24"/>
          <w:szCs w:val="24"/>
        </w:rPr>
        <w:t>).</w:t>
      </w:r>
    </w:p>
    <w:p w14:paraId="05954E3F" w14:textId="138CCF75" w:rsidR="00CD2E45" w:rsidRDefault="00EB5031" w:rsidP="002323B5">
      <w:pPr>
        <w:autoSpaceDE w:val="0"/>
        <w:autoSpaceDN w:val="0"/>
        <w:adjustRightInd w:val="0"/>
        <w:spacing w:after="0" w:line="240" w:lineRule="auto"/>
        <w:ind w:firstLine="708"/>
        <w:jc w:val="both"/>
        <w:rPr>
          <w:rFonts w:ascii="Times New Roman" w:hAnsi="Times New Roman"/>
          <w:sz w:val="24"/>
          <w:szCs w:val="24"/>
        </w:rPr>
      </w:pPr>
      <w:r w:rsidRPr="002323B5">
        <w:rPr>
          <w:rFonts w:ascii="Times New Roman" w:hAnsi="Times New Roman"/>
          <w:color w:val="000000"/>
          <w:sz w:val="24"/>
          <w:szCs w:val="24"/>
        </w:rPr>
        <w:t>A</w:t>
      </w:r>
      <w:r w:rsidR="008F6042">
        <w:rPr>
          <w:rFonts w:ascii="Times New Roman" w:hAnsi="Times New Roman"/>
          <w:color w:val="000000"/>
          <w:sz w:val="24"/>
          <w:szCs w:val="24"/>
        </w:rPr>
        <w:t xml:space="preserve"> </w:t>
      </w:r>
      <w:r w:rsidR="008F6042" w:rsidRPr="008F6042">
        <w:rPr>
          <w:rFonts w:ascii="Times New Roman" w:hAnsi="Times New Roman"/>
          <w:sz w:val="24"/>
          <w:szCs w:val="24"/>
        </w:rPr>
        <w:t>cinza do bagaço da cana-de-açúcar</w:t>
      </w:r>
      <w:r w:rsidRPr="002323B5">
        <w:rPr>
          <w:rFonts w:ascii="Times New Roman" w:hAnsi="Times New Roman"/>
          <w:color w:val="000000"/>
          <w:sz w:val="24"/>
          <w:szCs w:val="24"/>
        </w:rPr>
        <w:t xml:space="preserve"> </w:t>
      </w:r>
      <w:r w:rsidR="008F6042">
        <w:rPr>
          <w:rFonts w:ascii="Times New Roman" w:hAnsi="Times New Roman"/>
          <w:color w:val="000000"/>
          <w:sz w:val="24"/>
          <w:szCs w:val="24"/>
        </w:rPr>
        <w:t>(</w:t>
      </w:r>
      <w:r w:rsidRPr="002323B5">
        <w:rPr>
          <w:rFonts w:ascii="Times New Roman" w:hAnsi="Times New Roman"/>
          <w:color w:val="000000"/>
          <w:sz w:val="24"/>
          <w:szCs w:val="24"/>
        </w:rPr>
        <w:t>CBCA</w:t>
      </w:r>
      <w:r w:rsidR="008F6042">
        <w:rPr>
          <w:rFonts w:ascii="Times New Roman" w:hAnsi="Times New Roman"/>
          <w:color w:val="000000"/>
          <w:sz w:val="24"/>
          <w:szCs w:val="24"/>
        </w:rPr>
        <w:t>)</w:t>
      </w:r>
      <w:r w:rsidRPr="002323B5">
        <w:rPr>
          <w:rFonts w:ascii="Times New Roman" w:hAnsi="Times New Roman"/>
          <w:color w:val="000000"/>
          <w:sz w:val="24"/>
          <w:szCs w:val="24"/>
        </w:rPr>
        <w:t xml:space="preserve">, em sua composição apresenta elementos químicos que também estão presentes nos cimentos, responsáveis por parte das características </w:t>
      </w:r>
      <w:proofErr w:type="spellStart"/>
      <w:r w:rsidRPr="002323B5">
        <w:rPr>
          <w:rFonts w:ascii="Times New Roman" w:hAnsi="Times New Roman"/>
          <w:color w:val="000000"/>
          <w:sz w:val="24"/>
          <w:szCs w:val="24"/>
        </w:rPr>
        <w:t>cimentantes</w:t>
      </w:r>
      <w:proofErr w:type="spellEnd"/>
      <w:r w:rsidR="008F6042">
        <w:rPr>
          <w:rFonts w:ascii="Times New Roman" w:hAnsi="Times New Roman"/>
          <w:color w:val="000000"/>
          <w:sz w:val="24"/>
          <w:szCs w:val="24"/>
        </w:rPr>
        <w:t xml:space="preserve"> (</w:t>
      </w:r>
      <w:r w:rsidR="00D90BCF">
        <w:rPr>
          <w:rFonts w:ascii="Times New Roman" w:hAnsi="Times New Roman"/>
          <w:color w:val="000000"/>
          <w:sz w:val="24"/>
          <w:szCs w:val="24"/>
        </w:rPr>
        <w:t xml:space="preserve">NUNES </w:t>
      </w:r>
      <w:r w:rsidR="00902D50">
        <w:rPr>
          <w:rFonts w:ascii="Times New Roman" w:hAnsi="Times New Roman"/>
          <w:color w:val="000000"/>
          <w:sz w:val="24"/>
          <w:szCs w:val="24"/>
        </w:rPr>
        <w:t xml:space="preserve">et al., 2008; </w:t>
      </w:r>
      <w:r w:rsidR="00D90BCF">
        <w:rPr>
          <w:rFonts w:ascii="Times New Roman" w:hAnsi="Times New Roman"/>
          <w:color w:val="000000"/>
          <w:sz w:val="24"/>
          <w:szCs w:val="24"/>
        </w:rPr>
        <w:t xml:space="preserve">PAULA </w:t>
      </w:r>
      <w:r w:rsidR="00902D50">
        <w:rPr>
          <w:rFonts w:ascii="Times New Roman" w:hAnsi="Times New Roman"/>
          <w:color w:val="000000"/>
          <w:sz w:val="24"/>
          <w:szCs w:val="24"/>
        </w:rPr>
        <w:t>et al., 2009</w:t>
      </w:r>
      <w:r w:rsidR="008F6042">
        <w:rPr>
          <w:rFonts w:ascii="Times New Roman" w:hAnsi="Times New Roman"/>
          <w:color w:val="000000"/>
          <w:sz w:val="24"/>
          <w:szCs w:val="24"/>
        </w:rPr>
        <w:t>)</w:t>
      </w:r>
      <w:r w:rsidRPr="002323B5">
        <w:rPr>
          <w:rFonts w:ascii="Times New Roman" w:hAnsi="Times New Roman"/>
          <w:color w:val="000000"/>
          <w:sz w:val="24"/>
          <w:szCs w:val="24"/>
        </w:rPr>
        <w:t xml:space="preserve">. </w:t>
      </w:r>
      <w:r w:rsidR="00902D50">
        <w:rPr>
          <w:rFonts w:ascii="Times New Roman" w:hAnsi="Times New Roman"/>
          <w:color w:val="000000"/>
          <w:sz w:val="24"/>
          <w:szCs w:val="24"/>
        </w:rPr>
        <w:t xml:space="preserve">Os autores </w:t>
      </w:r>
      <w:r w:rsidR="00CD2E45" w:rsidRPr="002323B5">
        <w:rPr>
          <w:rFonts w:ascii="Times New Roman" w:hAnsi="Times New Roman"/>
          <w:sz w:val="24"/>
          <w:szCs w:val="24"/>
        </w:rPr>
        <w:t>Nunes et al. (2008) caracteriz</w:t>
      </w:r>
      <w:r w:rsidR="00902D50">
        <w:rPr>
          <w:rFonts w:ascii="Times New Roman" w:hAnsi="Times New Roman"/>
          <w:sz w:val="24"/>
          <w:szCs w:val="24"/>
        </w:rPr>
        <w:t>aram</w:t>
      </w:r>
      <w:r w:rsidR="00CD2E45" w:rsidRPr="002323B5">
        <w:rPr>
          <w:rFonts w:ascii="Times New Roman" w:hAnsi="Times New Roman"/>
          <w:sz w:val="24"/>
          <w:szCs w:val="24"/>
        </w:rPr>
        <w:t xml:space="preserve"> a </w:t>
      </w:r>
      <w:r w:rsidR="00CD2E45">
        <w:rPr>
          <w:rFonts w:ascii="Times New Roman" w:hAnsi="Times New Roman"/>
          <w:sz w:val="24"/>
          <w:szCs w:val="24"/>
        </w:rPr>
        <w:t>CBCA</w:t>
      </w:r>
      <w:r w:rsidR="00CD2E45" w:rsidRPr="002323B5">
        <w:rPr>
          <w:rFonts w:ascii="Times New Roman" w:hAnsi="Times New Roman"/>
          <w:sz w:val="24"/>
          <w:szCs w:val="24"/>
        </w:rPr>
        <w:t xml:space="preserve"> de diferentes municípi</w:t>
      </w:r>
      <w:r w:rsidR="00CD2E45">
        <w:rPr>
          <w:rFonts w:ascii="Times New Roman" w:hAnsi="Times New Roman"/>
          <w:sz w:val="24"/>
          <w:szCs w:val="24"/>
        </w:rPr>
        <w:t xml:space="preserve">os </w:t>
      </w:r>
      <w:r w:rsidR="00902D50">
        <w:rPr>
          <w:rFonts w:ascii="Times New Roman" w:hAnsi="Times New Roman"/>
          <w:sz w:val="24"/>
          <w:szCs w:val="24"/>
        </w:rPr>
        <w:t>n</w:t>
      </w:r>
      <w:r w:rsidR="00CD2E45">
        <w:rPr>
          <w:rFonts w:ascii="Times New Roman" w:hAnsi="Times New Roman"/>
          <w:sz w:val="24"/>
          <w:szCs w:val="24"/>
        </w:rPr>
        <w:t>o</w:t>
      </w:r>
      <w:r w:rsidR="00902D50">
        <w:rPr>
          <w:rFonts w:ascii="Times New Roman" w:hAnsi="Times New Roman"/>
          <w:sz w:val="24"/>
          <w:szCs w:val="24"/>
        </w:rPr>
        <w:t xml:space="preserve"> estado do</w:t>
      </w:r>
      <w:r w:rsidR="00CD2E45">
        <w:rPr>
          <w:rFonts w:ascii="Times New Roman" w:hAnsi="Times New Roman"/>
          <w:sz w:val="24"/>
          <w:szCs w:val="24"/>
        </w:rPr>
        <w:t xml:space="preserve"> Paraná</w:t>
      </w:r>
      <w:r w:rsidR="00902D50">
        <w:rPr>
          <w:rFonts w:ascii="Times New Roman" w:hAnsi="Times New Roman"/>
          <w:sz w:val="24"/>
          <w:szCs w:val="24"/>
        </w:rPr>
        <w:t>, d</w:t>
      </w:r>
      <w:r w:rsidR="00CD2E45">
        <w:rPr>
          <w:rFonts w:ascii="Times New Roman" w:hAnsi="Times New Roman"/>
          <w:sz w:val="24"/>
          <w:szCs w:val="24"/>
        </w:rPr>
        <w:t xml:space="preserve">entre </w:t>
      </w:r>
      <w:r w:rsidR="00902D50">
        <w:rPr>
          <w:rFonts w:ascii="Times New Roman" w:hAnsi="Times New Roman"/>
          <w:sz w:val="24"/>
          <w:szCs w:val="24"/>
        </w:rPr>
        <w:t>estes</w:t>
      </w:r>
      <w:r w:rsidR="00CD2E45" w:rsidRPr="002323B5">
        <w:rPr>
          <w:rFonts w:ascii="Times New Roman" w:hAnsi="Times New Roman"/>
          <w:sz w:val="24"/>
          <w:szCs w:val="24"/>
        </w:rPr>
        <w:t>, a cinza de Cidade Gaúcha apresent</w:t>
      </w:r>
      <w:r w:rsidR="00CD2E45">
        <w:rPr>
          <w:rFonts w:ascii="Times New Roman" w:hAnsi="Times New Roman"/>
          <w:sz w:val="24"/>
          <w:szCs w:val="24"/>
        </w:rPr>
        <w:t>ou</w:t>
      </w:r>
      <w:r w:rsidR="00CD2E45" w:rsidRPr="002323B5">
        <w:rPr>
          <w:rFonts w:ascii="Times New Roman" w:hAnsi="Times New Roman"/>
          <w:sz w:val="24"/>
          <w:szCs w:val="24"/>
        </w:rPr>
        <w:t xml:space="preserve"> maior área específica</w:t>
      </w:r>
      <w:r w:rsidR="00314F48">
        <w:rPr>
          <w:rFonts w:ascii="Times New Roman" w:hAnsi="Times New Roman"/>
          <w:sz w:val="24"/>
          <w:szCs w:val="24"/>
        </w:rPr>
        <w:t xml:space="preserve"> (18120 m²/kg)</w:t>
      </w:r>
      <w:r w:rsidR="00CD2E45" w:rsidRPr="002323B5">
        <w:rPr>
          <w:rFonts w:ascii="Times New Roman" w:hAnsi="Times New Roman"/>
          <w:sz w:val="24"/>
          <w:szCs w:val="24"/>
        </w:rPr>
        <w:t>,</w:t>
      </w:r>
      <w:r w:rsidR="00CD2E45">
        <w:rPr>
          <w:rFonts w:ascii="Times New Roman" w:hAnsi="Times New Roman"/>
          <w:sz w:val="24"/>
          <w:szCs w:val="24"/>
        </w:rPr>
        <w:t xml:space="preserve"> que juntamente com </w:t>
      </w:r>
      <w:r w:rsidR="00CD2E45" w:rsidRPr="002323B5">
        <w:rPr>
          <w:rFonts w:ascii="Times New Roman" w:hAnsi="Times New Roman"/>
          <w:sz w:val="24"/>
          <w:szCs w:val="24"/>
        </w:rPr>
        <w:t>a composição química</w:t>
      </w:r>
      <w:r w:rsidR="00CD2E45">
        <w:rPr>
          <w:rFonts w:ascii="Times New Roman" w:hAnsi="Times New Roman"/>
          <w:sz w:val="24"/>
          <w:szCs w:val="24"/>
        </w:rPr>
        <w:t xml:space="preserve"> é </w:t>
      </w:r>
      <w:r w:rsidR="00CD2E45" w:rsidRPr="002323B5">
        <w:rPr>
          <w:rFonts w:ascii="Times New Roman" w:hAnsi="Times New Roman"/>
          <w:sz w:val="24"/>
          <w:szCs w:val="24"/>
        </w:rPr>
        <w:t xml:space="preserve">responsável pela atividade </w:t>
      </w:r>
      <w:proofErr w:type="spellStart"/>
      <w:r w:rsidR="00CD2E45" w:rsidRPr="002323B5">
        <w:rPr>
          <w:rFonts w:ascii="Times New Roman" w:hAnsi="Times New Roman"/>
          <w:sz w:val="24"/>
          <w:szCs w:val="24"/>
        </w:rPr>
        <w:t>pozolânica</w:t>
      </w:r>
      <w:proofErr w:type="spellEnd"/>
      <w:r w:rsidR="00CD2E45" w:rsidRPr="002323B5">
        <w:rPr>
          <w:rFonts w:ascii="Times New Roman" w:hAnsi="Times New Roman"/>
          <w:sz w:val="24"/>
          <w:szCs w:val="24"/>
        </w:rPr>
        <w:t>.</w:t>
      </w:r>
      <w:r w:rsidR="00B01612">
        <w:rPr>
          <w:rFonts w:ascii="Times New Roman" w:hAnsi="Times New Roman"/>
          <w:sz w:val="24"/>
          <w:szCs w:val="24"/>
        </w:rPr>
        <w:t xml:space="preserve"> Entre as cinzas estudadas,</w:t>
      </w:r>
      <w:r w:rsidR="008F2551">
        <w:rPr>
          <w:rFonts w:ascii="Times New Roman" w:hAnsi="Times New Roman"/>
          <w:sz w:val="24"/>
          <w:szCs w:val="24"/>
        </w:rPr>
        <w:t xml:space="preserve"> as que são geradas em Cidade Gaúcha possuem cerca de, no mínimo, 3,3 vezes </w:t>
      </w:r>
      <w:r w:rsidR="00C83408">
        <w:rPr>
          <w:rFonts w:ascii="Times New Roman" w:hAnsi="Times New Roman"/>
          <w:sz w:val="24"/>
          <w:szCs w:val="24"/>
        </w:rPr>
        <w:t>mais área específica</w:t>
      </w:r>
      <w:r w:rsidR="007D3C46">
        <w:rPr>
          <w:rFonts w:ascii="Times New Roman" w:hAnsi="Times New Roman"/>
          <w:sz w:val="24"/>
          <w:szCs w:val="24"/>
        </w:rPr>
        <w:t xml:space="preserve">, e além disso, possui a menor massa específica, sendo de </w:t>
      </w:r>
      <w:r w:rsidR="003977FA">
        <w:rPr>
          <w:rFonts w:ascii="Times New Roman" w:hAnsi="Times New Roman"/>
          <w:sz w:val="24"/>
          <w:szCs w:val="24"/>
        </w:rPr>
        <w:t>2570 kg/m³.</w:t>
      </w:r>
      <w:r w:rsidR="00CD2E45">
        <w:rPr>
          <w:rFonts w:ascii="Times New Roman" w:hAnsi="Times New Roman"/>
          <w:sz w:val="24"/>
          <w:szCs w:val="24"/>
        </w:rPr>
        <w:t xml:space="preserve"> </w:t>
      </w:r>
    </w:p>
    <w:p w14:paraId="4BE78677" w14:textId="77777777" w:rsidR="00EB5031" w:rsidRPr="002323B5" w:rsidRDefault="00EB5031" w:rsidP="00BE5CAA">
      <w:pPr>
        <w:autoSpaceDE w:val="0"/>
        <w:autoSpaceDN w:val="0"/>
        <w:adjustRightInd w:val="0"/>
        <w:spacing w:after="0" w:line="240" w:lineRule="auto"/>
        <w:ind w:firstLine="708"/>
        <w:jc w:val="both"/>
        <w:rPr>
          <w:rFonts w:ascii="Times New Roman" w:hAnsi="Times New Roman"/>
          <w:sz w:val="24"/>
          <w:szCs w:val="24"/>
        </w:rPr>
      </w:pPr>
      <w:r w:rsidRPr="002323B5">
        <w:rPr>
          <w:rFonts w:ascii="Times New Roman" w:hAnsi="Times New Roman"/>
          <w:sz w:val="24"/>
          <w:szCs w:val="24"/>
        </w:rPr>
        <w:t xml:space="preserve">Neste sentido, este </w:t>
      </w:r>
      <w:r w:rsidR="00EF1F2E">
        <w:rPr>
          <w:rFonts w:ascii="Times New Roman" w:hAnsi="Times New Roman"/>
          <w:sz w:val="24"/>
          <w:szCs w:val="24"/>
        </w:rPr>
        <w:t>estudo</w:t>
      </w:r>
      <w:r w:rsidR="00EF1F2E" w:rsidRPr="002323B5">
        <w:rPr>
          <w:rFonts w:ascii="Times New Roman" w:hAnsi="Times New Roman"/>
          <w:sz w:val="24"/>
          <w:szCs w:val="24"/>
        </w:rPr>
        <w:t xml:space="preserve"> </w:t>
      </w:r>
      <w:r w:rsidR="00EF1F2E">
        <w:rPr>
          <w:rFonts w:ascii="Times New Roman" w:hAnsi="Times New Roman"/>
          <w:sz w:val="24"/>
          <w:szCs w:val="24"/>
        </w:rPr>
        <w:t>teve</w:t>
      </w:r>
      <w:r w:rsidR="00EF1F2E" w:rsidRPr="002323B5">
        <w:rPr>
          <w:rFonts w:ascii="Times New Roman" w:hAnsi="Times New Roman"/>
          <w:sz w:val="24"/>
          <w:szCs w:val="24"/>
        </w:rPr>
        <w:t xml:space="preserve"> </w:t>
      </w:r>
      <w:r w:rsidRPr="002323B5">
        <w:rPr>
          <w:rFonts w:ascii="Times New Roman" w:hAnsi="Times New Roman"/>
          <w:sz w:val="24"/>
          <w:szCs w:val="24"/>
        </w:rPr>
        <w:t xml:space="preserve">por objetivo avaliar o potencial de utilização da </w:t>
      </w:r>
      <w:r w:rsidR="00EF1F2E">
        <w:rPr>
          <w:rFonts w:ascii="Times New Roman" w:hAnsi="Times New Roman"/>
          <w:sz w:val="24"/>
          <w:szCs w:val="24"/>
        </w:rPr>
        <w:t>CBCA</w:t>
      </w:r>
      <w:r w:rsidR="00902D50">
        <w:rPr>
          <w:rFonts w:ascii="Times New Roman" w:hAnsi="Times New Roman"/>
          <w:sz w:val="24"/>
          <w:szCs w:val="24"/>
        </w:rPr>
        <w:t xml:space="preserve"> sem moagem prévia</w:t>
      </w:r>
      <w:r w:rsidRPr="002323B5">
        <w:rPr>
          <w:rFonts w:ascii="Times New Roman" w:hAnsi="Times New Roman"/>
          <w:sz w:val="24"/>
          <w:szCs w:val="24"/>
        </w:rPr>
        <w:t xml:space="preserve"> como </w:t>
      </w:r>
      <w:r w:rsidR="00AA6271" w:rsidRPr="002323B5">
        <w:rPr>
          <w:rFonts w:ascii="Times New Roman" w:hAnsi="Times New Roman"/>
          <w:sz w:val="24"/>
          <w:szCs w:val="24"/>
        </w:rPr>
        <w:t>substituição parcial do cimento Portland</w:t>
      </w:r>
      <w:r w:rsidRPr="002323B5">
        <w:rPr>
          <w:rFonts w:ascii="Times New Roman" w:hAnsi="Times New Roman"/>
          <w:sz w:val="24"/>
          <w:szCs w:val="24"/>
        </w:rPr>
        <w:t xml:space="preserve"> na produção de concreto, visando contribuir para a destinação adequada desse resíduo. </w:t>
      </w:r>
      <w:r w:rsidR="00EF1F2E">
        <w:rPr>
          <w:rFonts w:ascii="Times New Roman" w:hAnsi="Times New Roman"/>
          <w:sz w:val="24"/>
          <w:szCs w:val="24"/>
        </w:rPr>
        <w:t xml:space="preserve">Além de verificar a influência de diferentes </w:t>
      </w:r>
      <w:r w:rsidRPr="002323B5">
        <w:rPr>
          <w:rFonts w:ascii="Times New Roman" w:hAnsi="Times New Roman"/>
          <w:sz w:val="24"/>
          <w:szCs w:val="24"/>
        </w:rPr>
        <w:t xml:space="preserve">quantidades </w:t>
      </w:r>
      <w:r w:rsidR="00EF1F2E">
        <w:rPr>
          <w:rFonts w:ascii="Times New Roman" w:hAnsi="Times New Roman"/>
          <w:sz w:val="24"/>
          <w:szCs w:val="24"/>
        </w:rPr>
        <w:t xml:space="preserve">de CBCA </w:t>
      </w:r>
      <w:r w:rsidRPr="002323B5">
        <w:rPr>
          <w:rFonts w:ascii="Times New Roman" w:hAnsi="Times New Roman"/>
          <w:sz w:val="24"/>
          <w:szCs w:val="24"/>
        </w:rPr>
        <w:t>a serem adicionadas na mistura e também em relação ao tempo de cura</w:t>
      </w:r>
      <w:r w:rsidR="00EF1F2E">
        <w:rPr>
          <w:rFonts w:ascii="Times New Roman" w:hAnsi="Times New Roman"/>
          <w:sz w:val="24"/>
          <w:szCs w:val="24"/>
        </w:rPr>
        <w:t xml:space="preserve"> do concreto</w:t>
      </w:r>
      <w:r w:rsidR="00902D50">
        <w:rPr>
          <w:rFonts w:ascii="Times New Roman" w:hAnsi="Times New Roman"/>
          <w:sz w:val="24"/>
          <w:szCs w:val="24"/>
        </w:rPr>
        <w:t xml:space="preserve"> na sua resistência</w:t>
      </w:r>
      <w:r w:rsidRPr="002323B5">
        <w:rPr>
          <w:rFonts w:ascii="Times New Roman" w:hAnsi="Times New Roman"/>
          <w:sz w:val="24"/>
          <w:szCs w:val="24"/>
        </w:rPr>
        <w:t>.</w:t>
      </w:r>
    </w:p>
    <w:p w14:paraId="0C1E4E93" w14:textId="77777777" w:rsidR="00EB5031" w:rsidRPr="002323B5" w:rsidRDefault="00EB5031" w:rsidP="002323B5">
      <w:pPr>
        <w:spacing w:after="0" w:line="240" w:lineRule="auto"/>
        <w:jc w:val="both"/>
        <w:rPr>
          <w:rFonts w:ascii="Times New Roman" w:hAnsi="Times New Roman"/>
          <w:sz w:val="24"/>
          <w:szCs w:val="24"/>
        </w:rPr>
      </w:pPr>
    </w:p>
    <w:p w14:paraId="01B91634" w14:textId="77777777" w:rsidR="002323B5" w:rsidRPr="002323B5" w:rsidRDefault="002323B5" w:rsidP="002323B5">
      <w:pPr>
        <w:spacing w:after="0" w:line="240" w:lineRule="auto"/>
        <w:jc w:val="both"/>
        <w:rPr>
          <w:rFonts w:ascii="Times New Roman" w:hAnsi="Times New Roman"/>
          <w:sz w:val="24"/>
          <w:szCs w:val="24"/>
        </w:rPr>
      </w:pPr>
    </w:p>
    <w:p w14:paraId="3495703B" w14:textId="77777777" w:rsidR="00EB5031" w:rsidRPr="002323B5" w:rsidRDefault="0060025C" w:rsidP="002323B5">
      <w:pPr>
        <w:spacing w:after="0" w:line="240" w:lineRule="auto"/>
        <w:jc w:val="center"/>
        <w:rPr>
          <w:rFonts w:ascii="Times New Roman" w:hAnsi="Times New Roman"/>
          <w:b/>
          <w:sz w:val="24"/>
          <w:szCs w:val="24"/>
        </w:rPr>
      </w:pPr>
      <w:r w:rsidRPr="002323B5">
        <w:rPr>
          <w:rFonts w:ascii="Times New Roman" w:hAnsi="Times New Roman"/>
          <w:b/>
          <w:sz w:val="24"/>
          <w:szCs w:val="24"/>
        </w:rPr>
        <w:t>Material e Métodos</w:t>
      </w:r>
    </w:p>
    <w:p w14:paraId="63FF48C6" w14:textId="77777777" w:rsidR="00902D50" w:rsidRDefault="00902D50" w:rsidP="002323B5">
      <w:pPr>
        <w:spacing w:after="0" w:line="240" w:lineRule="auto"/>
        <w:ind w:firstLine="708"/>
        <w:jc w:val="both"/>
        <w:rPr>
          <w:rFonts w:ascii="Times New Roman" w:hAnsi="Times New Roman"/>
          <w:b/>
          <w:sz w:val="24"/>
          <w:szCs w:val="24"/>
        </w:rPr>
      </w:pPr>
    </w:p>
    <w:p w14:paraId="5397AD65" w14:textId="0173C364" w:rsidR="00EB5031" w:rsidRPr="002323B5" w:rsidRDefault="004C1FAD" w:rsidP="002323B5">
      <w:pPr>
        <w:spacing w:after="0" w:line="240" w:lineRule="auto"/>
        <w:ind w:firstLine="708"/>
        <w:jc w:val="both"/>
        <w:rPr>
          <w:rFonts w:ascii="Times New Roman" w:hAnsi="Times New Roman"/>
          <w:sz w:val="24"/>
          <w:szCs w:val="24"/>
        </w:rPr>
      </w:pPr>
      <w:r>
        <w:rPr>
          <w:rFonts w:ascii="Times New Roman" w:hAnsi="Times New Roman"/>
          <w:sz w:val="24"/>
          <w:szCs w:val="24"/>
        </w:rPr>
        <w:t>Para este estudo</w:t>
      </w:r>
      <w:r w:rsidR="00EB5031" w:rsidRPr="002323B5">
        <w:rPr>
          <w:rFonts w:ascii="Times New Roman" w:hAnsi="Times New Roman"/>
          <w:sz w:val="24"/>
          <w:szCs w:val="24"/>
        </w:rPr>
        <w:t xml:space="preserve"> a CBCA </w:t>
      </w:r>
      <w:r>
        <w:rPr>
          <w:rFonts w:ascii="Times New Roman" w:hAnsi="Times New Roman"/>
          <w:sz w:val="24"/>
          <w:szCs w:val="24"/>
        </w:rPr>
        <w:t xml:space="preserve">foi </w:t>
      </w:r>
      <w:r w:rsidR="00EB5031" w:rsidRPr="002323B5">
        <w:rPr>
          <w:rFonts w:ascii="Times New Roman" w:hAnsi="Times New Roman"/>
          <w:sz w:val="24"/>
          <w:szCs w:val="24"/>
        </w:rPr>
        <w:t xml:space="preserve">coletada </w:t>
      </w:r>
      <w:r>
        <w:rPr>
          <w:rFonts w:ascii="Times New Roman" w:hAnsi="Times New Roman"/>
          <w:sz w:val="24"/>
          <w:szCs w:val="24"/>
        </w:rPr>
        <w:t>em uma</w:t>
      </w:r>
      <w:r w:rsidRPr="002323B5">
        <w:rPr>
          <w:rFonts w:ascii="Times New Roman" w:hAnsi="Times New Roman"/>
          <w:sz w:val="24"/>
          <w:szCs w:val="24"/>
        </w:rPr>
        <w:t xml:space="preserve"> </w:t>
      </w:r>
      <w:r w:rsidR="00EB5031" w:rsidRPr="002323B5">
        <w:rPr>
          <w:rFonts w:ascii="Times New Roman" w:hAnsi="Times New Roman"/>
          <w:sz w:val="24"/>
          <w:szCs w:val="24"/>
        </w:rPr>
        <w:t xml:space="preserve">usina sucroenergética situada </w:t>
      </w:r>
      <w:r w:rsidR="00795EC2" w:rsidRPr="002323B5">
        <w:rPr>
          <w:rFonts w:ascii="Times New Roman" w:hAnsi="Times New Roman"/>
          <w:sz w:val="24"/>
          <w:szCs w:val="24"/>
        </w:rPr>
        <w:t xml:space="preserve">em Cidade Gaúcha, </w:t>
      </w:r>
      <w:r w:rsidR="00EB5031" w:rsidRPr="002323B5">
        <w:rPr>
          <w:rFonts w:ascii="Times New Roman" w:hAnsi="Times New Roman"/>
          <w:sz w:val="24"/>
          <w:szCs w:val="24"/>
        </w:rPr>
        <w:t>no noroeste do estado do Paraná.</w:t>
      </w:r>
      <w:r w:rsidR="003C2110" w:rsidRPr="002323B5">
        <w:rPr>
          <w:rFonts w:ascii="Times New Roman" w:hAnsi="Times New Roman"/>
          <w:sz w:val="24"/>
          <w:szCs w:val="24"/>
        </w:rPr>
        <w:t xml:space="preserve"> O material coletado foi previamente peneirado (peneira ABNT n°8)</w:t>
      </w:r>
      <w:r>
        <w:rPr>
          <w:rFonts w:ascii="Times New Roman" w:hAnsi="Times New Roman"/>
          <w:sz w:val="24"/>
          <w:szCs w:val="24"/>
        </w:rPr>
        <w:t>,</w:t>
      </w:r>
      <w:r w:rsidR="003C2110" w:rsidRPr="002323B5">
        <w:rPr>
          <w:rFonts w:ascii="Times New Roman" w:hAnsi="Times New Roman"/>
          <w:sz w:val="24"/>
          <w:szCs w:val="24"/>
        </w:rPr>
        <w:t xml:space="preserve"> para retirada das impurezas grosseiras advindas do pátio de deposição</w:t>
      </w:r>
      <w:r w:rsidR="003977FA">
        <w:rPr>
          <w:rFonts w:ascii="Times New Roman" w:hAnsi="Times New Roman"/>
          <w:sz w:val="24"/>
          <w:szCs w:val="24"/>
        </w:rPr>
        <w:t>,</w:t>
      </w:r>
      <w:r w:rsidR="00795EC2" w:rsidRPr="002323B5">
        <w:rPr>
          <w:rFonts w:ascii="Times New Roman" w:hAnsi="Times New Roman"/>
          <w:sz w:val="24"/>
          <w:szCs w:val="24"/>
        </w:rPr>
        <w:t xml:space="preserve"> </w:t>
      </w:r>
      <w:r w:rsidR="003977FA">
        <w:rPr>
          <w:rFonts w:ascii="Times New Roman" w:hAnsi="Times New Roman"/>
          <w:sz w:val="24"/>
          <w:szCs w:val="24"/>
        </w:rPr>
        <w:t>n</w:t>
      </w:r>
      <w:r w:rsidR="00795EC2" w:rsidRPr="002323B5">
        <w:rPr>
          <w:rFonts w:ascii="Times New Roman" w:hAnsi="Times New Roman"/>
          <w:sz w:val="24"/>
          <w:szCs w:val="24"/>
        </w:rPr>
        <w:t xml:space="preserve">ão </w:t>
      </w:r>
      <w:r w:rsidR="00813598" w:rsidRPr="002323B5">
        <w:rPr>
          <w:rFonts w:ascii="Times New Roman" w:hAnsi="Times New Roman"/>
          <w:sz w:val="24"/>
          <w:szCs w:val="24"/>
        </w:rPr>
        <w:t>h</w:t>
      </w:r>
      <w:r w:rsidR="00813598">
        <w:rPr>
          <w:rFonts w:ascii="Times New Roman" w:hAnsi="Times New Roman"/>
          <w:sz w:val="24"/>
          <w:szCs w:val="24"/>
        </w:rPr>
        <w:t>avendo</w:t>
      </w:r>
      <w:r w:rsidR="00813598" w:rsidRPr="002323B5">
        <w:rPr>
          <w:rFonts w:ascii="Times New Roman" w:hAnsi="Times New Roman"/>
          <w:sz w:val="24"/>
          <w:szCs w:val="24"/>
        </w:rPr>
        <w:t xml:space="preserve"> </w:t>
      </w:r>
      <w:r w:rsidR="00795EC2" w:rsidRPr="002323B5">
        <w:rPr>
          <w:rFonts w:ascii="Times New Roman" w:hAnsi="Times New Roman"/>
          <w:sz w:val="24"/>
          <w:szCs w:val="24"/>
        </w:rPr>
        <w:t>moagem</w:t>
      </w:r>
      <w:r w:rsidR="00813598">
        <w:rPr>
          <w:rFonts w:ascii="Times New Roman" w:hAnsi="Times New Roman"/>
          <w:sz w:val="24"/>
          <w:szCs w:val="24"/>
        </w:rPr>
        <w:t xml:space="preserve"> antes da</w:t>
      </w:r>
      <w:r w:rsidR="00795EC2" w:rsidRPr="002323B5">
        <w:rPr>
          <w:rFonts w:ascii="Times New Roman" w:hAnsi="Times New Roman"/>
          <w:sz w:val="24"/>
          <w:szCs w:val="24"/>
        </w:rPr>
        <w:t xml:space="preserve"> aplicação da cinza.</w:t>
      </w:r>
    </w:p>
    <w:p w14:paraId="7CE3D0E2" w14:textId="77777777" w:rsidR="003C2110" w:rsidRPr="002323B5" w:rsidRDefault="00813598" w:rsidP="002323B5">
      <w:pPr>
        <w:spacing w:after="0" w:line="240" w:lineRule="auto"/>
        <w:ind w:firstLine="708"/>
        <w:jc w:val="both"/>
        <w:rPr>
          <w:rFonts w:ascii="Times New Roman" w:hAnsi="Times New Roman"/>
          <w:sz w:val="24"/>
          <w:szCs w:val="24"/>
        </w:rPr>
      </w:pPr>
      <w:r>
        <w:rPr>
          <w:rFonts w:ascii="Times New Roman" w:hAnsi="Times New Roman"/>
          <w:sz w:val="24"/>
          <w:szCs w:val="24"/>
        </w:rPr>
        <w:t>O</w:t>
      </w:r>
      <w:r w:rsidR="003C2110" w:rsidRPr="002323B5">
        <w:rPr>
          <w:rFonts w:ascii="Times New Roman" w:hAnsi="Times New Roman"/>
          <w:sz w:val="24"/>
          <w:szCs w:val="24"/>
        </w:rPr>
        <w:t xml:space="preserve"> traço de referência </w:t>
      </w:r>
      <w:r>
        <w:rPr>
          <w:rFonts w:ascii="Times New Roman" w:hAnsi="Times New Roman"/>
          <w:sz w:val="24"/>
          <w:szCs w:val="24"/>
        </w:rPr>
        <w:t xml:space="preserve">utilizado </w:t>
      </w:r>
      <w:r w:rsidR="003C2110" w:rsidRPr="002323B5">
        <w:rPr>
          <w:rFonts w:ascii="Times New Roman" w:hAnsi="Times New Roman"/>
          <w:sz w:val="24"/>
          <w:szCs w:val="24"/>
        </w:rPr>
        <w:t xml:space="preserve">para todas as amostras </w:t>
      </w:r>
      <w:r>
        <w:rPr>
          <w:rFonts w:ascii="Times New Roman" w:hAnsi="Times New Roman"/>
          <w:sz w:val="24"/>
          <w:szCs w:val="24"/>
        </w:rPr>
        <w:t>foi o</w:t>
      </w:r>
      <w:r w:rsidRPr="002323B5">
        <w:rPr>
          <w:rFonts w:ascii="Times New Roman" w:hAnsi="Times New Roman"/>
          <w:sz w:val="24"/>
          <w:szCs w:val="24"/>
        </w:rPr>
        <w:t xml:space="preserve"> </w:t>
      </w:r>
      <w:r w:rsidR="003C2110" w:rsidRPr="002323B5">
        <w:rPr>
          <w:rFonts w:ascii="Times New Roman" w:hAnsi="Times New Roman"/>
          <w:sz w:val="24"/>
          <w:szCs w:val="24"/>
        </w:rPr>
        <w:t>1:2:3,5:0,6, alusivo a cimento, areia média, brita 2 e relação água por cimento (a/c).</w:t>
      </w:r>
    </w:p>
    <w:p w14:paraId="4AD15C19" w14:textId="391CAFF9" w:rsidR="00811C3F" w:rsidRPr="002323B5" w:rsidRDefault="003C2110" w:rsidP="00811C3F">
      <w:pPr>
        <w:spacing w:after="0" w:line="240" w:lineRule="auto"/>
        <w:ind w:firstLine="708"/>
        <w:jc w:val="both"/>
        <w:rPr>
          <w:rFonts w:ascii="Times New Roman" w:hAnsi="Times New Roman"/>
          <w:sz w:val="24"/>
          <w:szCs w:val="24"/>
        </w:rPr>
      </w:pPr>
      <w:r w:rsidRPr="002323B5">
        <w:rPr>
          <w:rFonts w:ascii="Times New Roman" w:hAnsi="Times New Roman"/>
          <w:sz w:val="24"/>
          <w:szCs w:val="24"/>
        </w:rPr>
        <w:t xml:space="preserve">As taxas </w:t>
      </w:r>
      <w:r w:rsidR="00813598">
        <w:rPr>
          <w:rFonts w:ascii="Times New Roman" w:hAnsi="Times New Roman"/>
          <w:sz w:val="24"/>
          <w:szCs w:val="24"/>
        </w:rPr>
        <w:t xml:space="preserve">de CBCA </w:t>
      </w:r>
      <w:r w:rsidRPr="002323B5">
        <w:rPr>
          <w:rFonts w:ascii="Times New Roman" w:hAnsi="Times New Roman"/>
          <w:sz w:val="24"/>
          <w:szCs w:val="24"/>
        </w:rPr>
        <w:t>aplicadas foram de 0, 10, 20 e 50% em substituição de cimento Portland</w:t>
      </w:r>
      <w:r w:rsidR="00D10A0A" w:rsidRPr="002323B5">
        <w:rPr>
          <w:rFonts w:ascii="Times New Roman" w:hAnsi="Times New Roman"/>
          <w:sz w:val="24"/>
          <w:szCs w:val="24"/>
        </w:rPr>
        <w:t xml:space="preserve"> (CPII – E 32 </w:t>
      </w:r>
      <w:proofErr w:type="spellStart"/>
      <w:r w:rsidR="00D10A0A" w:rsidRPr="002323B5">
        <w:rPr>
          <w:rFonts w:ascii="Times New Roman" w:hAnsi="Times New Roman"/>
          <w:sz w:val="24"/>
          <w:szCs w:val="24"/>
        </w:rPr>
        <w:t>Votoran</w:t>
      </w:r>
      <w:proofErr w:type="spellEnd"/>
      <w:r w:rsidR="00D10A0A" w:rsidRPr="002323B5">
        <w:rPr>
          <w:rFonts w:ascii="Times New Roman" w:hAnsi="Times New Roman"/>
          <w:sz w:val="24"/>
          <w:szCs w:val="24"/>
        </w:rPr>
        <w:t>)</w:t>
      </w:r>
      <w:r w:rsidRPr="002323B5">
        <w:rPr>
          <w:rFonts w:ascii="Times New Roman" w:hAnsi="Times New Roman"/>
          <w:sz w:val="24"/>
          <w:szCs w:val="24"/>
        </w:rPr>
        <w:t xml:space="preserve"> no traço definido.</w:t>
      </w:r>
      <w:r w:rsidR="000D0F9E" w:rsidRPr="002323B5">
        <w:rPr>
          <w:rFonts w:ascii="Times New Roman" w:hAnsi="Times New Roman"/>
          <w:sz w:val="24"/>
          <w:szCs w:val="24"/>
        </w:rPr>
        <w:t xml:space="preserve"> Cada taxa de CBCA refere-se a um tratamento aplicado, denominados de C1 (0%), C2 (10%), C3 (20%) e C4 (50%).</w:t>
      </w:r>
      <w:r w:rsidR="00811C3F">
        <w:rPr>
          <w:rFonts w:ascii="Times New Roman" w:hAnsi="Times New Roman"/>
          <w:sz w:val="24"/>
          <w:szCs w:val="24"/>
        </w:rPr>
        <w:t xml:space="preserve"> </w:t>
      </w:r>
      <w:r w:rsidR="00811C3F" w:rsidRPr="002323B5">
        <w:rPr>
          <w:rFonts w:ascii="Times New Roman" w:hAnsi="Times New Roman"/>
          <w:sz w:val="24"/>
          <w:szCs w:val="24"/>
        </w:rPr>
        <w:t>Para cada tratamento foi determinado o abatimento do tronco do cone (</w:t>
      </w:r>
      <w:proofErr w:type="spellStart"/>
      <w:r w:rsidR="00811C3F" w:rsidRPr="00BE5CAA">
        <w:rPr>
          <w:rFonts w:ascii="Times New Roman" w:hAnsi="Times New Roman"/>
          <w:i/>
          <w:sz w:val="24"/>
          <w:szCs w:val="24"/>
        </w:rPr>
        <w:t>Slump</w:t>
      </w:r>
      <w:proofErr w:type="spellEnd"/>
      <w:r w:rsidR="00811C3F" w:rsidRPr="00BE5CAA">
        <w:rPr>
          <w:rFonts w:ascii="Times New Roman" w:hAnsi="Times New Roman"/>
          <w:i/>
          <w:sz w:val="24"/>
          <w:szCs w:val="24"/>
        </w:rPr>
        <w:t xml:space="preserve"> Test</w:t>
      </w:r>
      <w:r w:rsidR="00811C3F" w:rsidRPr="002323B5">
        <w:rPr>
          <w:rFonts w:ascii="Times New Roman" w:hAnsi="Times New Roman"/>
          <w:sz w:val="24"/>
          <w:szCs w:val="24"/>
        </w:rPr>
        <w:t>) após a homogeneização das misturas, conforme a ABNT – NM 67 (1998).</w:t>
      </w:r>
    </w:p>
    <w:p w14:paraId="5CC6F76F" w14:textId="77777777" w:rsidR="00870EDA" w:rsidRPr="002323B5" w:rsidRDefault="00813598" w:rsidP="002323B5">
      <w:pPr>
        <w:spacing w:after="0" w:line="240" w:lineRule="auto"/>
        <w:ind w:firstLine="708"/>
        <w:jc w:val="both"/>
        <w:rPr>
          <w:rFonts w:ascii="Times New Roman" w:hAnsi="Times New Roman"/>
          <w:sz w:val="24"/>
          <w:szCs w:val="24"/>
        </w:rPr>
      </w:pPr>
      <w:r w:rsidRPr="002323B5">
        <w:rPr>
          <w:rFonts w:ascii="Times New Roman" w:hAnsi="Times New Roman"/>
          <w:sz w:val="24"/>
          <w:szCs w:val="24"/>
        </w:rPr>
        <w:t>Os ensaios para caracterização da resistência à compressão simples das diferentes misturas de concreto foram feitos em corpo</w:t>
      </w:r>
      <w:r>
        <w:rPr>
          <w:rFonts w:ascii="Times New Roman" w:hAnsi="Times New Roman"/>
          <w:sz w:val="24"/>
          <w:szCs w:val="24"/>
        </w:rPr>
        <w:t xml:space="preserve">s-de-prova </w:t>
      </w:r>
      <w:r w:rsidRPr="002323B5">
        <w:rPr>
          <w:rFonts w:ascii="Times New Roman" w:hAnsi="Times New Roman"/>
          <w:sz w:val="24"/>
          <w:szCs w:val="24"/>
        </w:rPr>
        <w:t>cilíndricos</w:t>
      </w:r>
      <w:r>
        <w:rPr>
          <w:rFonts w:ascii="Times New Roman" w:hAnsi="Times New Roman"/>
          <w:sz w:val="24"/>
          <w:szCs w:val="24"/>
        </w:rPr>
        <w:t xml:space="preserve"> </w:t>
      </w:r>
      <w:r w:rsidRPr="002323B5">
        <w:rPr>
          <w:rFonts w:ascii="Times New Roman" w:hAnsi="Times New Roman"/>
          <w:sz w:val="24"/>
          <w:szCs w:val="24"/>
        </w:rPr>
        <w:t>(</w:t>
      </w:r>
      <w:proofErr w:type="spellStart"/>
      <w:r w:rsidRPr="002323B5">
        <w:rPr>
          <w:rFonts w:ascii="Times New Roman" w:hAnsi="Times New Roman"/>
          <w:sz w:val="24"/>
          <w:szCs w:val="24"/>
        </w:rPr>
        <w:t>CP</w:t>
      </w:r>
      <w:r w:rsidR="00902D50">
        <w:rPr>
          <w:rFonts w:ascii="Times New Roman" w:hAnsi="Times New Roman"/>
          <w:sz w:val="24"/>
          <w:szCs w:val="24"/>
        </w:rPr>
        <w:t>’s</w:t>
      </w:r>
      <w:proofErr w:type="spellEnd"/>
      <w:r w:rsidR="00902D50" w:rsidRPr="002323B5">
        <w:rPr>
          <w:rFonts w:ascii="Times New Roman" w:hAnsi="Times New Roman"/>
          <w:sz w:val="24"/>
          <w:szCs w:val="24"/>
        </w:rPr>
        <w:t>)</w:t>
      </w:r>
      <w:r w:rsidR="00902D50">
        <w:rPr>
          <w:rFonts w:ascii="Times New Roman" w:hAnsi="Times New Roman"/>
          <w:sz w:val="24"/>
          <w:szCs w:val="24"/>
        </w:rPr>
        <w:t>,</w:t>
      </w:r>
      <w:r w:rsidR="00902D50" w:rsidRPr="002323B5">
        <w:rPr>
          <w:rFonts w:ascii="Times New Roman" w:hAnsi="Times New Roman"/>
          <w:sz w:val="24"/>
          <w:szCs w:val="24"/>
        </w:rPr>
        <w:t xml:space="preserve"> padronizados</w:t>
      </w:r>
      <w:r w:rsidRPr="002323B5">
        <w:rPr>
          <w:rFonts w:ascii="Times New Roman" w:hAnsi="Times New Roman"/>
          <w:sz w:val="24"/>
          <w:szCs w:val="24"/>
        </w:rPr>
        <w:t xml:space="preserve"> pela ABNT – NBR 5738 (2003), com diâmetro de 15 cm e altura de 30 cm.</w:t>
      </w:r>
      <w:r>
        <w:rPr>
          <w:rFonts w:ascii="Times New Roman" w:hAnsi="Times New Roman"/>
          <w:sz w:val="24"/>
          <w:szCs w:val="24"/>
        </w:rPr>
        <w:t xml:space="preserve"> </w:t>
      </w:r>
      <w:r w:rsidR="0028763F">
        <w:rPr>
          <w:rFonts w:ascii="Times New Roman" w:hAnsi="Times New Roman"/>
          <w:sz w:val="24"/>
          <w:szCs w:val="24"/>
        </w:rPr>
        <w:t>Utiliz</w:t>
      </w:r>
      <w:r w:rsidR="00902D50">
        <w:rPr>
          <w:rFonts w:ascii="Times New Roman" w:hAnsi="Times New Roman"/>
          <w:sz w:val="24"/>
          <w:szCs w:val="24"/>
        </w:rPr>
        <w:t>ou-se nos ensaios</w:t>
      </w:r>
      <w:r w:rsidR="0028763F">
        <w:rPr>
          <w:rFonts w:ascii="Times New Roman" w:hAnsi="Times New Roman"/>
          <w:sz w:val="24"/>
          <w:szCs w:val="24"/>
        </w:rPr>
        <w:t xml:space="preserve"> um</w:t>
      </w:r>
      <w:r w:rsidR="0028763F" w:rsidRPr="002323B5">
        <w:rPr>
          <w:rFonts w:ascii="Times New Roman" w:hAnsi="Times New Roman"/>
          <w:sz w:val="24"/>
          <w:szCs w:val="24"/>
        </w:rPr>
        <w:t>a prensa EMIC, modelo PCE 100D com capacidade de 1 MN.</w:t>
      </w:r>
      <w:r w:rsidR="0028763F">
        <w:rPr>
          <w:rFonts w:ascii="Times New Roman" w:hAnsi="Times New Roman"/>
          <w:sz w:val="24"/>
          <w:szCs w:val="24"/>
        </w:rPr>
        <w:t xml:space="preserve"> </w:t>
      </w:r>
      <w:r w:rsidR="000D0F9E" w:rsidRPr="002323B5">
        <w:rPr>
          <w:rFonts w:ascii="Times New Roman" w:hAnsi="Times New Roman"/>
          <w:sz w:val="24"/>
          <w:szCs w:val="24"/>
        </w:rPr>
        <w:t>Os ensaios seguiram os procedimentos da ABNT – NBR 5739 (2007)</w:t>
      </w:r>
      <w:r w:rsidR="00870EDA" w:rsidRPr="002323B5">
        <w:rPr>
          <w:rFonts w:ascii="Times New Roman" w:hAnsi="Times New Roman"/>
          <w:sz w:val="24"/>
          <w:szCs w:val="24"/>
        </w:rPr>
        <w:t>,</w:t>
      </w:r>
      <w:r w:rsidR="000D0F9E" w:rsidRPr="002323B5">
        <w:rPr>
          <w:rFonts w:ascii="Times New Roman" w:hAnsi="Times New Roman"/>
          <w:sz w:val="24"/>
          <w:szCs w:val="24"/>
        </w:rPr>
        <w:t xml:space="preserve"> </w:t>
      </w:r>
      <w:r w:rsidR="0028763F">
        <w:rPr>
          <w:rFonts w:ascii="Times New Roman" w:hAnsi="Times New Roman"/>
          <w:sz w:val="24"/>
          <w:szCs w:val="24"/>
        </w:rPr>
        <w:t>sendo</w:t>
      </w:r>
      <w:r w:rsidR="000D0F9E" w:rsidRPr="002323B5">
        <w:rPr>
          <w:rFonts w:ascii="Times New Roman" w:hAnsi="Times New Roman"/>
          <w:sz w:val="24"/>
          <w:szCs w:val="24"/>
        </w:rPr>
        <w:t xml:space="preserve"> realizados com </w:t>
      </w:r>
      <w:r w:rsidR="0028763F">
        <w:rPr>
          <w:rFonts w:ascii="Times New Roman" w:hAnsi="Times New Roman"/>
          <w:sz w:val="24"/>
          <w:szCs w:val="24"/>
        </w:rPr>
        <w:lastRenderedPageBreak/>
        <w:t xml:space="preserve">diferentes dias de cura, </w:t>
      </w:r>
      <w:r w:rsidR="000D0F9E" w:rsidRPr="002323B5">
        <w:rPr>
          <w:rFonts w:ascii="Times New Roman" w:hAnsi="Times New Roman"/>
          <w:sz w:val="24"/>
          <w:szCs w:val="24"/>
        </w:rPr>
        <w:t>7 e 28 dias</w:t>
      </w:r>
      <w:r w:rsidR="0028763F">
        <w:rPr>
          <w:rFonts w:ascii="Times New Roman" w:hAnsi="Times New Roman"/>
          <w:sz w:val="24"/>
          <w:szCs w:val="24"/>
        </w:rPr>
        <w:t xml:space="preserve">. </w:t>
      </w:r>
      <w:r w:rsidR="00902D50">
        <w:rPr>
          <w:rFonts w:ascii="Times New Roman" w:hAnsi="Times New Roman"/>
          <w:sz w:val="24"/>
          <w:szCs w:val="24"/>
        </w:rPr>
        <w:t>A</w:t>
      </w:r>
      <w:r w:rsidR="000D0F9E" w:rsidRPr="002323B5">
        <w:rPr>
          <w:rFonts w:ascii="Times New Roman" w:hAnsi="Times New Roman"/>
          <w:sz w:val="24"/>
          <w:szCs w:val="24"/>
        </w:rPr>
        <w:t xml:space="preserve">notou-se os valores de resistência para o surgimento de primeira fissura e também do rompimento dos </w:t>
      </w:r>
      <w:proofErr w:type="spellStart"/>
      <w:r w:rsidR="000D0F9E" w:rsidRPr="002323B5">
        <w:rPr>
          <w:rFonts w:ascii="Times New Roman" w:hAnsi="Times New Roman"/>
          <w:sz w:val="24"/>
          <w:szCs w:val="24"/>
        </w:rPr>
        <w:t>CP’s</w:t>
      </w:r>
      <w:proofErr w:type="spellEnd"/>
      <w:r w:rsidR="000D0F9E" w:rsidRPr="002323B5">
        <w:rPr>
          <w:rFonts w:ascii="Times New Roman" w:hAnsi="Times New Roman"/>
          <w:sz w:val="24"/>
          <w:szCs w:val="24"/>
        </w:rPr>
        <w:t xml:space="preserve">. </w:t>
      </w:r>
    </w:p>
    <w:p w14:paraId="580F3AAF" w14:textId="55DBED6D" w:rsidR="00870EDA" w:rsidRPr="002323B5" w:rsidRDefault="00811C3F" w:rsidP="002323B5">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Por fim, c</w:t>
      </w:r>
      <w:r w:rsidR="00870EDA" w:rsidRPr="002323B5">
        <w:rPr>
          <w:rFonts w:ascii="Times New Roman" w:hAnsi="Times New Roman"/>
          <w:color w:val="000000"/>
          <w:sz w:val="24"/>
          <w:szCs w:val="24"/>
        </w:rPr>
        <w:t xml:space="preserve">om o objetivo de verificar se houve diferença significativa entre os tratamentos, realizou-se a análise de variância a 5% de significância, para os dados de primeira fissura e de rompimento dos </w:t>
      </w:r>
      <w:proofErr w:type="spellStart"/>
      <w:r w:rsidR="00870EDA" w:rsidRPr="002323B5">
        <w:rPr>
          <w:rFonts w:ascii="Times New Roman" w:hAnsi="Times New Roman"/>
          <w:color w:val="000000"/>
          <w:sz w:val="24"/>
          <w:szCs w:val="24"/>
        </w:rPr>
        <w:t>CP's</w:t>
      </w:r>
      <w:proofErr w:type="spellEnd"/>
      <w:r w:rsidR="00870EDA" w:rsidRPr="002323B5">
        <w:rPr>
          <w:rFonts w:ascii="Times New Roman" w:hAnsi="Times New Roman"/>
          <w:color w:val="000000"/>
          <w:sz w:val="24"/>
          <w:szCs w:val="24"/>
        </w:rPr>
        <w:t>, com um delineamento experimental inteiramente ca</w:t>
      </w:r>
      <w:r w:rsidR="00902D50">
        <w:rPr>
          <w:rFonts w:ascii="Times New Roman" w:hAnsi="Times New Roman"/>
          <w:color w:val="000000"/>
          <w:sz w:val="24"/>
          <w:szCs w:val="24"/>
        </w:rPr>
        <w:t>s</w:t>
      </w:r>
      <w:r w:rsidR="00870EDA" w:rsidRPr="002323B5">
        <w:rPr>
          <w:rFonts w:ascii="Times New Roman" w:hAnsi="Times New Roman"/>
          <w:color w:val="000000"/>
          <w:sz w:val="24"/>
          <w:szCs w:val="24"/>
        </w:rPr>
        <w:t>ualizado em esquema fatorial duplo 4x2 (quatro tratamentos por dois níveis) considerando modelo fixo. Os quatro tratamentos foram constituídos das diferentes quantidades de adição de CBCA (0, 10, 20 e 50%), com 5 repetições cada</w:t>
      </w:r>
      <w:r>
        <w:rPr>
          <w:rFonts w:ascii="Times New Roman" w:hAnsi="Times New Roman"/>
          <w:color w:val="000000"/>
          <w:sz w:val="24"/>
          <w:szCs w:val="24"/>
        </w:rPr>
        <w:t>,</w:t>
      </w:r>
      <w:r w:rsidR="00870EDA" w:rsidRPr="002323B5">
        <w:rPr>
          <w:rFonts w:ascii="Times New Roman" w:hAnsi="Times New Roman"/>
          <w:color w:val="000000"/>
          <w:sz w:val="24"/>
          <w:szCs w:val="24"/>
        </w:rPr>
        <w:t xml:space="preserve"> e os dois níveis que consistem na idade de cura dos </w:t>
      </w:r>
      <w:proofErr w:type="spellStart"/>
      <w:r w:rsidR="00870EDA" w:rsidRPr="002323B5">
        <w:rPr>
          <w:rFonts w:ascii="Times New Roman" w:hAnsi="Times New Roman"/>
          <w:color w:val="000000"/>
          <w:sz w:val="24"/>
          <w:szCs w:val="24"/>
        </w:rPr>
        <w:t>CP’s</w:t>
      </w:r>
      <w:proofErr w:type="spellEnd"/>
      <w:r w:rsidR="00870EDA" w:rsidRPr="002323B5">
        <w:rPr>
          <w:rFonts w:ascii="Times New Roman" w:hAnsi="Times New Roman"/>
          <w:color w:val="000000"/>
          <w:sz w:val="24"/>
          <w:szCs w:val="24"/>
        </w:rPr>
        <w:t xml:space="preserve"> (7 e 28 dias).</w:t>
      </w:r>
      <w:r w:rsidR="00057826">
        <w:rPr>
          <w:rFonts w:ascii="Times New Roman" w:hAnsi="Times New Roman"/>
          <w:color w:val="000000"/>
          <w:sz w:val="24"/>
          <w:szCs w:val="24"/>
        </w:rPr>
        <w:t xml:space="preserve"> </w:t>
      </w:r>
      <w:r w:rsidR="00057826" w:rsidRPr="00057826">
        <w:rPr>
          <w:rFonts w:ascii="Times New Roman" w:hAnsi="Times New Roman"/>
          <w:color w:val="000000"/>
          <w:sz w:val="24"/>
          <w:szCs w:val="24"/>
        </w:rPr>
        <w:t>Além disso, foi avaliada a relação entre as taxas de adição de CBCA e a resistência do concreto, por meio de um modelo de regressão linear simples e seu coeficiente de determinação (R²)</w:t>
      </w:r>
      <w:r w:rsidR="00BD5FB7">
        <w:rPr>
          <w:rFonts w:ascii="Times New Roman" w:hAnsi="Times New Roman"/>
          <w:color w:val="000000"/>
          <w:sz w:val="24"/>
          <w:szCs w:val="24"/>
        </w:rPr>
        <w:t>, tanto para os dados de primeira fissura, quanto para os de rompimento</w:t>
      </w:r>
      <w:r w:rsidR="00057826" w:rsidRPr="00057826">
        <w:rPr>
          <w:rFonts w:ascii="Times New Roman" w:hAnsi="Times New Roman"/>
          <w:color w:val="000000"/>
          <w:sz w:val="24"/>
          <w:szCs w:val="24"/>
        </w:rPr>
        <w:t>.</w:t>
      </w:r>
    </w:p>
    <w:p w14:paraId="5B4B31DA" w14:textId="77777777" w:rsidR="00870EDA" w:rsidRPr="002323B5" w:rsidRDefault="00870EDA" w:rsidP="002323B5">
      <w:pPr>
        <w:spacing w:after="0" w:line="240" w:lineRule="auto"/>
        <w:jc w:val="both"/>
        <w:rPr>
          <w:rFonts w:ascii="Times New Roman" w:hAnsi="Times New Roman"/>
          <w:color w:val="000000"/>
          <w:sz w:val="24"/>
          <w:szCs w:val="24"/>
        </w:rPr>
      </w:pPr>
    </w:p>
    <w:p w14:paraId="6EC44FB6" w14:textId="77777777" w:rsidR="002323B5" w:rsidRPr="002323B5" w:rsidRDefault="002323B5" w:rsidP="002323B5">
      <w:pPr>
        <w:spacing w:after="0" w:line="240" w:lineRule="auto"/>
        <w:jc w:val="both"/>
        <w:rPr>
          <w:rFonts w:ascii="Times New Roman" w:hAnsi="Times New Roman"/>
          <w:color w:val="000000"/>
          <w:sz w:val="24"/>
          <w:szCs w:val="24"/>
        </w:rPr>
      </w:pPr>
    </w:p>
    <w:p w14:paraId="7C32D8F2" w14:textId="77777777" w:rsidR="00870EDA" w:rsidRPr="002323B5" w:rsidRDefault="0060025C" w:rsidP="002323B5">
      <w:pPr>
        <w:spacing w:after="0" w:line="240" w:lineRule="auto"/>
        <w:jc w:val="center"/>
        <w:rPr>
          <w:rFonts w:ascii="Times New Roman" w:hAnsi="Times New Roman"/>
          <w:b/>
          <w:color w:val="000000"/>
          <w:sz w:val="24"/>
          <w:szCs w:val="24"/>
        </w:rPr>
      </w:pPr>
      <w:r w:rsidRPr="002323B5">
        <w:rPr>
          <w:rFonts w:ascii="Times New Roman" w:hAnsi="Times New Roman"/>
          <w:b/>
          <w:color w:val="000000"/>
          <w:sz w:val="24"/>
          <w:szCs w:val="24"/>
        </w:rPr>
        <w:t>Resultados e Discussão</w:t>
      </w:r>
    </w:p>
    <w:p w14:paraId="45B9C868" w14:textId="77777777" w:rsidR="00CC117F" w:rsidRPr="002323B5" w:rsidRDefault="00CC117F" w:rsidP="002323B5">
      <w:pPr>
        <w:spacing w:after="0" w:line="240" w:lineRule="auto"/>
        <w:jc w:val="both"/>
        <w:rPr>
          <w:rFonts w:ascii="Times New Roman" w:hAnsi="Times New Roman"/>
          <w:b/>
          <w:color w:val="000000"/>
          <w:sz w:val="24"/>
          <w:szCs w:val="24"/>
        </w:rPr>
      </w:pPr>
    </w:p>
    <w:p w14:paraId="034A0771" w14:textId="77777777" w:rsidR="00870EDA" w:rsidRPr="002323B5" w:rsidRDefault="00870EDA" w:rsidP="002323B5">
      <w:pPr>
        <w:spacing w:after="0" w:line="240" w:lineRule="auto"/>
        <w:jc w:val="center"/>
        <w:rPr>
          <w:rFonts w:ascii="Times New Roman" w:hAnsi="Times New Roman"/>
          <w:b/>
          <w:sz w:val="24"/>
          <w:szCs w:val="24"/>
        </w:rPr>
      </w:pPr>
      <w:r w:rsidRPr="002323B5">
        <w:rPr>
          <w:rFonts w:ascii="Times New Roman" w:hAnsi="Times New Roman"/>
          <w:b/>
          <w:sz w:val="24"/>
          <w:szCs w:val="24"/>
        </w:rPr>
        <w:t>Abatimento do tronco do cone (</w:t>
      </w:r>
      <w:proofErr w:type="spellStart"/>
      <w:r w:rsidRPr="002323B5">
        <w:rPr>
          <w:rFonts w:ascii="Times New Roman" w:hAnsi="Times New Roman"/>
          <w:b/>
          <w:i/>
          <w:sz w:val="24"/>
          <w:szCs w:val="24"/>
        </w:rPr>
        <w:t>Slump</w:t>
      </w:r>
      <w:proofErr w:type="spellEnd"/>
      <w:r w:rsidRPr="002323B5">
        <w:rPr>
          <w:rFonts w:ascii="Times New Roman" w:hAnsi="Times New Roman"/>
          <w:b/>
          <w:i/>
          <w:sz w:val="24"/>
          <w:szCs w:val="24"/>
        </w:rPr>
        <w:t xml:space="preserve"> Test</w:t>
      </w:r>
      <w:r w:rsidRPr="002323B5">
        <w:rPr>
          <w:rFonts w:ascii="Times New Roman" w:hAnsi="Times New Roman"/>
          <w:b/>
          <w:sz w:val="24"/>
          <w:szCs w:val="24"/>
        </w:rPr>
        <w:t>)</w:t>
      </w:r>
    </w:p>
    <w:p w14:paraId="4A0C1C5E" w14:textId="77777777" w:rsidR="00CC117F" w:rsidRPr="002323B5" w:rsidRDefault="00CC117F" w:rsidP="002323B5">
      <w:pPr>
        <w:spacing w:after="0" w:line="240" w:lineRule="auto"/>
        <w:jc w:val="both"/>
        <w:rPr>
          <w:rFonts w:ascii="Times New Roman" w:hAnsi="Times New Roman"/>
          <w:b/>
          <w:sz w:val="24"/>
          <w:szCs w:val="24"/>
        </w:rPr>
      </w:pPr>
    </w:p>
    <w:p w14:paraId="4DA92355" w14:textId="77777777" w:rsidR="004A4A19" w:rsidRPr="002323B5" w:rsidRDefault="009309CA" w:rsidP="002323B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Na</w:t>
      </w:r>
      <w:r w:rsidRPr="002323B5">
        <w:rPr>
          <w:rFonts w:ascii="Times New Roman" w:hAnsi="Times New Roman"/>
          <w:sz w:val="24"/>
          <w:szCs w:val="24"/>
        </w:rPr>
        <w:t xml:space="preserve"> </w:t>
      </w:r>
      <w:r w:rsidR="004A4A19" w:rsidRPr="002323B5">
        <w:rPr>
          <w:rFonts w:ascii="Times New Roman" w:hAnsi="Times New Roman"/>
          <w:sz w:val="24"/>
          <w:szCs w:val="24"/>
        </w:rPr>
        <w:t xml:space="preserve">análise do </w:t>
      </w:r>
      <w:proofErr w:type="spellStart"/>
      <w:r w:rsidR="004A4A19" w:rsidRPr="002323B5">
        <w:rPr>
          <w:rFonts w:ascii="Times New Roman" w:hAnsi="Times New Roman"/>
          <w:i/>
          <w:sz w:val="24"/>
          <w:szCs w:val="24"/>
        </w:rPr>
        <w:t>Slump</w:t>
      </w:r>
      <w:proofErr w:type="spellEnd"/>
      <w:r w:rsidR="004A4A19" w:rsidRPr="002323B5">
        <w:rPr>
          <w:rFonts w:ascii="Times New Roman" w:hAnsi="Times New Roman"/>
          <w:i/>
          <w:sz w:val="24"/>
          <w:szCs w:val="24"/>
        </w:rPr>
        <w:t xml:space="preserve"> Test</w:t>
      </w:r>
      <w:r w:rsidR="00724B2F" w:rsidRPr="002323B5">
        <w:rPr>
          <w:rFonts w:ascii="Times New Roman" w:hAnsi="Times New Roman"/>
          <w:sz w:val="24"/>
          <w:szCs w:val="24"/>
        </w:rPr>
        <w:t>,</w:t>
      </w:r>
      <w:r w:rsidR="004A4A19" w:rsidRPr="002323B5">
        <w:rPr>
          <w:rFonts w:ascii="Times New Roman" w:hAnsi="Times New Roman"/>
          <w:sz w:val="24"/>
          <w:szCs w:val="24"/>
        </w:rPr>
        <w:t xml:space="preserve"> </w:t>
      </w:r>
      <w:r w:rsidRPr="002323B5">
        <w:rPr>
          <w:rFonts w:ascii="Times New Roman" w:hAnsi="Times New Roman"/>
          <w:sz w:val="24"/>
          <w:szCs w:val="24"/>
        </w:rPr>
        <w:t xml:space="preserve">a adição de CBCA </w:t>
      </w:r>
      <w:r>
        <w:rPr>
          <w:rFonts w:ascii="Times New Roman" w:hAnsi="Times New Roman"/>
          <w:sz w:val="24"/>
          <w:szCs w:val="24"/>
        </w:rPr>
        <w:t>n</w:t>
      </w:r>
      <w:r w:rsidR="004A4A19" w:rsidRPr="002323B5">
        <w:rPr>
          <w:rFonts w:ascii="Times New Roman" w:hAnsi="Times New Roman"/>
          <w:sz w:val="24"/>
          <w:szCs w:val="24"/>
        </w:rPr>
        <w:t xml:space="preserve">o concreto apresentou uma pequena interferência no abatimento do tronco cone, tendo como consequência um concreto </w:t>
      </w:r>
      <w:r w:rsidR="002323B5">
        <w:rPr>
          <w:rFonts w:ascii="Times New Roman" w:hAnsi="Times New Roman"/>
          <w:sz w:val="24"/>
          <w:szCs w:val="24"/>
        </w:rPr>
        <w:t>com</w:t>
      </w:r>
      <w:r w:rsidR="00747A7C">
        <w:rPr>
          <w:rFonts w:ascii="Times New Roman" w:hAnsi="Times New Roman"/>
          <w:sz w:val="24"/>
          <w:szCs w:val="24"/>
        </w:rPr>
        <w:t xml:space="preserve"> maior</w:t>
      </w:r>
      <w:r w:rsidR="002323B5">
        <w:rPr>
          <w:rFonts w:ascii="Times New Roman" w:hAnsi="Times New Roman"/>
          <w:sz w:val="24"/>
          <w:szCs w:val="24"/>
        </w:rPr>
        <w:t xml:space="preserve"> consistência</w:t>
      </w:r>
      <w:r w:rsidR="00747A7C">
        <w:rPr>
          <w:rFonts w:ascii="Times New Roman" w:hAnsi="Times New Roman"/>
          <w:sz w:val="24"/>
          <w:szCs w:val="24"/>
        </w:rPr>
        <w:t xml:space="preserve"> e menor quantidade de grandes poros</w:t>
      </w:r>
      <w:r w:rsidR="004A4A19" w:rsidRPr="002323B5">
        <w:rPr>
          <w:rFonts w:ascii="Times New Roman" w:hAnsi="Times New Roman"/>
          <w:sz w:val="24"/>
          <w:szCs w:val="24"/>
        </w:rPr>
        <w:t>.</w:t>
      </w:r>
      <w:r w:rsidR="00747A7C">
        <w:rPr>
          <w:rFonts w:ascii="Times New Roman" w:hAnsi="Times New Roman"/>
          <w:sz w:val="24"/>
          <w:szCs w:val="24"/>
        </w:rPr>
        <w:t xml:space="preserve"> </w:t>
      </w:r>
    </w:p>
    <w:p w14:paraId="6CBD54E9" w14:textId="714D024B" w:rsidR="00747A7C" w:rsidRDefault="004A4A19" w:rsidP="002323B5">
      <w:pPr>
        <w:autoSpaceDE w:val="0"/>
        <w:autoSpaceDN w:val="0"/>
        <w:adjustRightInd w:val="0"/>
        <w:spacing w:after="0" w:line="240" w:lineRule="auto"/>
        <w:ind w:firstLine="709"/>
        <w:jc w:val="both"/>
        <w:rPr>
          <w:rFonts w:ascii="Times New Roman" w:hAnsi="Times New Roman"/>
          <w:sz w:val="24"/>
          <w:szCs w:val="24"/>
        </w:rPr>
      </w:pPr>
      <w:r w:rsidRPr="002323B5">
        <w:rPr>
          <w:rFonts w:ascii="Times New Roman" w:hAnsi="Times New Roman"/>
          <w:sz w:val="24"/>
          <w:szCs w:val="24"/>
        </w:rPr>
        <w:t xml:space="preserve">O valor médio obtido de abatimento </w:t>
      </w:r>
      <w:r w:rsidR="00747A7C">
        <w:rPr>
          <w:rFonts w:ascii="Times New Roman" w:hAnsi="Times New Roman"/>
          <w:sz w:val="24"/>
          <w:szCs w:val="24"/>
        </w:rPr>
        <w:t xml:space="preserve">do tronco do cone </w:t>
      </w:r>
      <w:r w:rsidRPr="002323B5">
        <w:rPr>
          <w:rFonts w:ascii="Times New Roman" w:hAnsi="Times New Roman"/>
          <w:sz w:val="24"/>
          <w:szCs w:val="24"/>
        </w:rPr>
        <w:t xml:space="preserve">foi de </w:t>
      </w:r>
      <w:r w:rsidR="007D4EAC" w:rsidRPr="003D6E59">
        <w:rPr>
          <w:rFonts w:ascii="Times New Roman" w:hAnsi="Times New Roman"/>
          <w:sz w:val="24"/>
          <w:szCs w:val="24"/>
        </w:rPr>
        <w:t>11,6</w:t>
      </w:r>
      <w:r w:rsidRPr="003D6E59">
        <w:rPr>
          <w:rFonts w:ascii="Times New Roman" w:hAnsi="Times New Roman"/>
          <w:sz w:val="24"/>
          <w:szCs w:val="24"/>
        </w:rPr>
        <w:t xml:space="preserve"> cm para o tratamento C1, de </w:t>
      </w:r>
      <w:r w:rsidR="007D4EAC" w:rsidRPr="003D6E59">
        <w:rPr>
          <w:rFonts w:ascii="Times New Roman" w:hAnsi="Times New Roman"/>
          <w:sz w:val="24"/>
          <w:szCs w:val="24"/>
        </w:rPr>
        <w:t>1</w:t>
      </w:r>
      <w:r w:rsidR="00647677">
        <w:rPr>
          <w:rFonts w:ascii="Times New Roman" w:hAnsi="Times New Roman"/>
          <w:sz w:val="24"/>
          <w:szCs w:val="24"/>
        </w:rPr>
        <w:t>1</w:t>
      </w:r>
      <w:r w:rsidR="007D4EAC" w:rsidRPr="003D6E59">
        <w:rPr>
          <w:rFonts w:ascii="Times New Roman" w:hAnsi="Times New Roman"/>
          <w:sz w:val="24"/>
          <w:szCs w:val="24"/>
        </w:rPr>
        <w:t>,</w:t>
      </w:r>
      <w:r w:rsidR="00647677">
        <w:rPr>
          <w:rFonts w:ascii="Times New Roman" w:hAnsi="Times New Roman"/>
          <w:sz w:val="24"/>
          <w:szCs w:val="24"/>
        </w:rPr>
        <w:t>3</w:t>
      </w:r>
      <w:r w:rsidR="007D4EAC" w:rsidRPr="002323B5">
        <w:rPr>
          <w:rFonts w:ascii="Times New Roman" w:hAnsi="Times New Roman"/>
          <w:sz w:val="24"/>
          <w:szCs w:val="24"/>
        </w:rPr>
        <w:t xml:space="preserve"> </w:t>
      </w:r>
      <w:r w:rsidRPr="002323B5">
        <w:rPr>
          <w:rFonts w:ascii="Times New Roman" w:hAnsi="Times New Roman"/>
          <w:sz w:val="24"/>
          <w:szCs w:val="24"/>
        </w:rPr>
        <w:t>cm para</w:t>
      </w:r>
      <w:r w:rsidR="00747A7C">
        <w:rPr>
          <w:rFonts w:ascii="Times New Roman" w:hAnsi="Times New Roman"/>
          <w:sz w:val="24"/>
          <w:szCs w:val="24"/>
        </w:rPr>
        <w:t xml:space="preserve"> o tratamento </w:t>
      </w:r>
      <w:r w:rsidR="00FB10D5">
        <w:rPr>
          <w:rFonts w:ascii="Times New Roman" w:hAnsi="Times New Roman"/>
          <w:sz w:val="24"/>
          <w:szCs w:val="24"/>
        </w:rPr>
        <w:t>C2, de 10,</w:t>
      </w:r>
      <w:r w:rsidR="00647677">
        <w:rPr>
          <w:rFonts w:ascii="Times New Roman" w:hAnsi="Times New Roman"/>
          <w:sz w:val="24"/>
          <w:szCs w:val="24"/>
        </w:rPr>
        <w:t>8</w:t>
      </w:r>
      <w:r w:rsidR="00FB10D5">
        <w:rPr>
          <w:rFonts w:ascii="Times New Roman" w:hAnsi="Times New Roman"/>
          <w:sz w:val="24"/>
          <w:szCs w:val="24"/>
        </w:rPr>
        <w:t xml:space="preserve"> cm</w:t>
      </w:r>
      <w:r w:rsidR="00747A7C">
        <w:rPr>
          <w:rFonts w:ascii="Times New Roman" w:hAnsi="Times New Roman"/>
          <w:sz w:val="24"/>
          <w:szCs w:val="24"/>
        </w:rPr>
        <w:t xml:space="preserve"> para C3 e de </w:t>
      </w:r>
      <w:r w:rsidR="00647677">
        <w:rPr>
          <w:rFonts w:ascii="Times New Roman" w:hAnsi="Times New Roman"/>
          <w:sz w:val="24"/>
          <w:szCs w:val="24"/>
        </w:rPr>
        <w:t>10,</w:t>
      </w:r>
      <w:r w:rsidR="00FB10D5">
        <w:rPr>
          <w:rFonts w:ascii="Times New Roman" w:hAnsi="Times New Roman"/>
          <w:sz w:val="24"/>
          <w:szCs w:val="24"/>
        </w:rPr>
        <w:t>1 cm</w:t>
      </w:r>
      <w:r w:rsidR="00747A7C">
        <w:rPr>
          <w:rFonts w:ascii="Times New Roman" w:hAnsi="Times New Roman"/>
          <w:sz w:val="24"/>
          <w:szCs w:val="24"/>
        </w:rPr>
        <w:t xml:space="preserve"> para o C4.</w:t>
      </w:r>
      <w:r w:rsidRPr="002323B5">
        <w:rPr>
          <w:rFonts w:ascii="Times New Roman" w:hAnsi="Times New Roman"/>
          <w:sz w:val="24"/>
          <w:szCs w:val="24"/>
        </w:rPr>
        <w:t xml:space="preserve"> </w:t>
      </w:r>
      <w:r w:rsidR="00747A7C">
        <w:rPr>
          <w:rFonts w:ascii="Times New Roman" w:hAnsi="Times New Roman"/>
          <w:sz w:val="24"/>
          <w:szCs w:val="24"/>
        </w:rPr>
        <w:t>No geral, os resultados de Nunes et al. (200</w:t>
      </w:r>
      <w:r w:rsidR="000B4A0A">
        <w:rPr>
          <w:rFonts w:ascii="Times New Roman" w:hAnsi="Times New Roman"/>
          <w:sz w:val="24"/>
          <w:szCs w:val="24"/>
        </w:rPr>
        <w:t>8</w:t>
      </w:r>
      <w:r w:rsidR="00747A7C">
        <w:rPr>
          <w:rFonts w:ascii="Times New Roman" w:hAnsi="Times New Roman"/>
          <w:sz w:val="24"/>
          <w:szCs w:val="24"/>
        </w:rPr>
        <w:t>) apresentaram os mesmos comportamentos, com valores menores de abatimento em quantidades maiores de CBCA.</w:t>
      </w:r>
    </w:p>
    <w:p w14:paraId="366F511A" w14:textId="47E1C42B" w:rsidR="004A4A19" w:rsidRPr="002323B5" w:rsidRDefault="00747A7C" w:rsidP="002323B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C</w:t>
      </w:r>
      <w:r w:rsidR="004A4A19" w:rsidRPr="002323B5">
        <w:rPr>
          <w:rFonts w:ascii="Times New Roman" w:hAnsi="Times New Roman"/>
          <w:sz w:val="24"/>
          <w:szCs w:val="24"/>
        </w:rPr>
        <w:t>onstat</w:t>
      </w:r>
      <w:r>
        <w:rPr>
          <w:rFonts w:ascii="Times New Roman" w:hAnsi="Times New Roman"/>
          <w:sz w:val="24"/>
          <w:szCs w:val="24"/>
        </w:rPr>
        <w:t>ou</w:t>
      </w:r>
      <w:r w:rsidR="004A4A19" w:rsidRPr="002323B5">
        <w:rPr>
          <w:rFonts w:ascii="Times New Roman" w:hAnsi="Times New Roman"/>
          <w:sz w:val="24"/>
          <w:szCs w:val="24"/>
        </w:rPr>
        <w:t>-se</w:t>
      </w:r>
      <w:r>
        <w:rPr>
          <w:rFonts w:ascii="Times New Roman" w:hAnsi="Times New Roman"/>
          <w:sz w:val="24"/>
          <w:szCs w:val="24"/>
        </w:rPr>
        <w:t xml:space="preserve"> nos tratamentos </w:t>
      </w:r>
      <w:r w:rsidR="00345945">
        <w:rPr>
          <w:rFonts w:ascii="Times New Roman" w:hAnsi="Times New Roman"/>
          <w:sz w:val="24"/>
          <w:szCs w:val="24"/>
        </w:rPr>
        <w:t>C1, C2 e C3</w:t>
      </w:r>
      <w:r w:rsidR="004A4A19" w:rsidRPr="002323B5">
        <w:rPr>
          <w:rFonts w:ascii="Times New Roman" w:hAnsi="Times New Roman"/>
          <w:sz w:val="24"/>
          <w:szCs w:val="24"/>
        </w:rPr>
        <w:t xml:space="preserve"> que a mistura possui</w:t>
      </w:r>
      <w:r w:rsidR="002323B5">
        <w:rPr>
          <w:rFonts w:ascii="Times New Roman" w:hAnsi="Times New Roman"/>
          <w:sz w:val="24"/>
          <w:szCs w:val="24"/>
        </w:rPr>
        <w:t>u</w:t>
      </w:r>
      <w:r w:rsidR="004A4A19" w:rsidRPr="002323B5">
        <w:rPr>
          <w:rFonts w:ascii="Times New Roman" w:hAnsi="Times New Roman"/>
          <w:sz w:val="24"/>
          <w:szCs w:val="24"/>
        </w:rPr>
        <w:t xml:space="preserve"> alta trabalhabilidade</w:t>
      </w:r>
      <w:r w:rsidR="00840E07">
        <w:rPr>
          <w:rFonts w:ascii="Times New Roman" w:hAnsi="Times New Roman"/>
          <w:sz w:val="24"/>
          <w:szCs w:val="24"/>
        </w:rPr>
        <w:t xml:space="preserve">, </w:t>
      </w:r>
      <w:r w:rsidR="004A4A19" w:rsidRPr="002323B5">
        <w:rPr>
          <w:rFonts w:ascii="Times New Roman" w:hAnsi="Times New Roman"/>
          <w:sz w:val="24"/>
          <w:szCs w:val="24"/>
        </w:rPr>
        <w:t xml:space="preserve">consequentemente </w:t>
      </w:r>
      <w:r w:rsidR="00345945">
        <w:rPr>
          <w:rFonts w:ascii="Times New Roman" w:hAnsi="Times New Roman"/>
          <w:sz w:val="24"/>
          <w:szCs w:val="24"/>
        </w:rPr>
        <w:t xml:space="preserve">houve </w:t>
      </w:r>
      <w:r w:rsidR="004A4A19" w:rsidRPr="002323B5">
        <w:rPr>
          <w:rFonts w:ascii="Times New Roman" w:hAnsi="Times New Roman"/>
          <w:sz w:val="24"/>
          <w:szCs w:val="24"/>
        </w:rPr>
        <w:t>melhor adensamento do concreto e redução de grandes poros, além da resistência à segregação</w:t>
      </w:r>
      <w:r w:rsidR="00345945">
        <w:rPr>
          <w:rFonts w:ascii="Times New Roman" w:hAnsi="Times New Roman"/>
          <w:sz w:val="24"/>
          <w:szCs w:val="24"/>
        </w:rPr>
        <w:t xml:space="preserve"> e homogeneidade. No tratamento C4 observou-se maior fragilidade a segregação dos agregados e maior porosidade visível</w:t>
      </w:r>
      <w:r w:rsidR="008A0460">
        <w:rPr>
          <w:rFonts w:ascii="Times New Roman" w:hAnsi="Times New Roman"/>
          <w:sz w:val="24"/>
          <w:szCs w:val="24"/>
        </w:rPr>
        <w:t>, provavel</w:t>
      </w:r>
      <w:r w:rsidR="005E39F6">
        <w:rPr>
          <w:rFonts w:ascii="Times New Roman" w:hAnsi="Times New Roman"/>
          <w:sz w:val="24"/>
          <w:szCs w:val="24"/>
        </w:rPr>
        <w:t>mente devido às reações químicas da cinza com o cimento</w:t>
      </w:r>
      <w:r w:rsidR="00345945">
        <w:rPr>
          <w:rFonts w:ascii="Times New Roman" w:hAnsi="Times New Roman"/>
          <w:sz w:val="24"/>
          <w:szCs w:val="24"/>
        </w:rPr>
        <w:t>.</w:t>
      </w:r>
    </w:p>
    <w:p w14:paraId="67871FFE" w14:textId="77777777" w:rsidR="004A4A19" w:rsidRPr="002323B5" w:rsidRDefault="004A4A19" w:rsidP="002323B5">
      <w:pPr>
        <w:autoSpaceDE w:val="0"/>
        <w:autoSpaceDN w:val="0"/>
        <w:adjustRightInd w:val="0"/>
        <w:spacing w:after="0" w:line="240" w:lineRule="auto"/>
        <w:ind w:firstLine="709"/>
        <w:jc w:val="both"/>
        <w:rPr>
          <w:rFonts w:ascii="Times New Roman" w:hAnsi="Times New Roman"/>
          <w:sz w:val="24"/>
          <w:szCs w:val="24"/>
        </w:rPr>
      </w:pPr>
    </w:p>
    <w:p w14:paraId="45E35367" w14:textId="77777777" w:rsidR="002323B5" w:rsidRPr="002323B5" w:rsidRDefault="002323B5" w:rsidP="002323B5">
      <w:pPr>
        <w:autoSpaceDE w:val="0"/>
        <w:autoSpaceDN w:val="0"/>
        <w:adjustRightInd w:val="0"/>
        <w:spacing w:after="0" w:line="240" w:lineRule="auto"/>
        <w:ind w:firstLine="709"/>
        <w:jc w:val="both"/>
        <w:rPr>
          <w:rFonts w:ascii="Times New Roman" w:hAnsi="Times New Roman"/>
          <w:sz w:val="24"/>
          <w:szCs w:val="24"/>
        </w:rPr>
      </w:pPr>
    </w:p>
    <w:p w14:paraId="3D03611F" w14:textId="77777777" w:rsidR="00870EDA" w:rsidRPr="002323B5" w:rsidRDefault="004A4A19" w:rsidP="002323B5">
      <w:pPr>
        <w:spacing w:after="0" w:line="240" w:lineRule="auto"/>
        <w:jc w:val="center"/>
        <w:rPr>
          <w:rFonts w:ascii="Times New Roman" w:hAnsi="Times New Roman"/>
          <w:b/>
          <w:sz w:val="24"/>
          <w:szCs w:val="24"/>
        </w:rPr>
      </w:pPr>
      <w:r w:rsidRPr="002323B5">
        <w:rPr>
          <w:rFonts w:ascii="Times New Roman" w:hAnsi="Times New Roman"/>
          <w:b/>
          <w:sz w:val="24"/>
          <w:szCs w:val="24"/>
        </w:rPr>
        <w:t>Resistência a compressão simples dos corpos-de-prova</w:t>
      </w:r>
    </w:p>
    <w:p w14:paraId="45B1BFC6" w14:textId="77777777" w:rsidR="00CC117F" w:rsidRPr="002323B5" w:rsidRDefault="00CC117F" w:rsidP="002323B5">
      <w:pPr>
        <w:spacing w:after="0" w:line="240" w:lineRule="auto"/>
        <w:jc w:val="both"/>
        <w:rPr>
          <w:rFonts w:ascii="Times New Roman" w:hAnsi="Times New Roman"/>
          <w:b/>
          <w:sz w:val="24"/>
          <w:szCs w:val="24"/>
        </w:rPr>
      </w:pPr>
    </w:p>
    <w:p w14:paraId="4F16DCC8" w14:textId="77777777" w:rsidR="004A4A19" w:rsidRPr="002323B5" w:rsidRDefault="00284036" w:rsidP="002323B5">
      <w:pPr>
        <w:spacing w:after="0" w:line="240" w:lineRule="auto"/>
        <w:jc w:val="center"/>
        <w:rPr>
          <w:rFonts w:ascii="Times New Roman" w:hAnsi="Times New Roman"/>
          <w:b/>
          <w:sz w:val="24"/>
          <w:szCs w:val="24"/>
        </w:rPr>
      </w:pPr>
      <w:r w:rsidRPr="002323B5">
        <w:rPr>
          <w:rFonts w:ascii="Times New Roman" w:hAnsi="Times New Roman"/>
          <w:b/>
          <w:sz w:val="24"/>
          <w:szCs w:val="24"/>
        </w:rPr>
        <w:t>Resistência ao s</w:t>
      </w:r>
      <w:r w:rsidR="004D2EC2" w:rsidRPr="002323B5">
        <w:rPr>
          <w:rFonts w:ascii="Times New Roman" w:hAnsi="Times New Roman"/>
          <w:b/>
          <w:sz w:val="24"/>
          <w:szCs w:val="24"/>
        </w:rPr>
        <w:t>urgimento da p</w:t>
      </w:r>
      <w:r w:rsidR="004A4A19" w:rsidRPr="002323B5">
        <w:rPr>
          <w:rFonts w:ascii="Times New Roman" w:hAnsi="Times New Roman"/>
          <w:b/>
          <w:sz w:val="24"/>
          <w:szCs w:val="24"/>
        </w:rPr>
        <w:t>rimeira fissura</w:t>
      </w:r>
    </w:p>
    <w:p w14:paraId="3B20B3EE" w14:textId="77777777" w:rsidR="00CC117F" w:rsidRPr="002323B5" w:rsidRDefault="00CC117F" w:rsidP="002323B5">
      <w:pPr>
        <w:spacing w:after="0" w:line="240" w:lineRule="auto"/>
        <w:jc w:val="both"/>
        <w:rPr>
          <w:rFonts w:ascii="Times New Roman" w:hAnsi="Times New Roman"/>
          <w:b/>
          <w:sz w:val="24"/>
          <w:szCs w:val="24"/>
        </w:rPr>
      </w:pPr>
    </w:p>
    <w:p w14:paraId="70A3920A" w14:textId="77777777" w:rsidR="00D26C15" w:rsidRPr="002323B5" w:rsidRDefault="00D26C15" w:rsidP="00F30E9C">
      <w:pPr>
        <w:pStyle w:val="Default"/>
        <w:ind w:firstLine="709"/>
        <w:jc w:val="both"/>
        <w:rPr>
          <w:rFonts w:ascii="Times New Roman" w:hAnsi="Times New Roman" w:cs="Times New Roman"/>
        </w:rPr>
      </w:pPr>
      <w:r w:rsidRPr="002323B5">
        <w:rPr>
          <w:rFonts w:ascii="Times New Roman" w:hAnsi="Times New Roman" w:cs="Times New Roman"/>
        </w:rPr>
        <w:t>Ao realizar a análise de variância, verificou-se que as diferentes taxas de CBCA (tratamentos</w:t>
      </w:r>
      <w:r w:rsidR="00F30E9C" w:rsidRPr="002323B5">
        <w:rPr>
          <w:rFonts w:ascii="Times New Roman" w:hAnsi="Times New Roman" w:cs="Times New Roman"/>
        </w:rPr>
        <w:t>)</w:t>
      </w:r>
      <w:r w:rsidR="00F30E9C">
        <w:rPr>
          <w:rFonts w:ascii="Times New Roman" w:hAnsi="Times New Roman" w:cs="Times New Roman"/>
        </w:rPr>
        <w:t xml:space="preserve"> e</w:t>
      </w:r>
      <w:r w:rsidR="00F30E9C" w:rsidRPr="002323B5">
        <w:rPr>
          <w:rFonts w:ascii="Times New Roman" w:hAnsi="Times New Roman" w:cs="Times New Roman"/>
        </w:rPr>
        <w:t xml:space="preserve"> </w:t>
      </w:r>
      <w:r w:rsidRPr="002323B5">
        <w:rPr>
          <w:rFonts w:ascii="Times New Roman" w:hAnsi="Times New Roman" w:cs="Times New Roman"/>
        </w:rPr>
        <w:t>os diferentes tempos de cura (</w:t>
      </w:r>
      <w:r w:rsidR="005A1EBF">
        <w:rPr>
          <w:rFonts w:ascii="Times New Roman" w:hAnsi="Times New Roman" w:cs="Times New Roman"/>
        </w:rPr>
        <w:t>níveis</w:t>
      </w:r>
      <w:r w:rsidRPr="002323B5">
        <w:rPr>
          <w:rFonts w:ascii="Times New Roman" w:hAnsi="Times New Roman" w:cs="Times New Roman"/>
        </w:rPr>
        <w:t xml:space="preserve">), apresentaram diferença significativa a 5% de significância. Como houve interação significativa, foi </w:t>
      </w:r>
      <w:r w:rsidR="00F30E9C">
        <w:rPr>
          <w:rFonts w:ascii="Times New Roman" w:hAnsi="Times New Roman" w:cs="Times New Roman"/>
        </w:rPr>
        <w:t>realizado a comparação de cada</w:t>
      </w:r>
      <w:r w:rsidRPr="002323B5">
        <w:rPr>
          <w:rFonts w:ascii="Times New Roman" w:hAnsi="Times New Roman" w:cs="Times New Roman"/>
        </w:rPr>
        <w:t xml:space="preserve"> tratamento de</w:t>
      </w:r>
      <w:r w:rsidR="00F30E9C">
        <w:rPr>
          <w:rFonts w:ascii="Times New Roman" w:hAnsi="Times New Roman" w:cs="Times New Roman"/>
        </w:rPr>
        <w:t>ntro de</w:t>
      </w:r>
      <w:r w:rsidRPr="002323B5">
        <w:rPr>
          <w:rFonts w:ascii="Times New Roman" w:hAnsi="Times New Roman" w:cs="Times New Roman"/>
        </w:rPr>
        <w:t xml:space="preserve"> ca</w:t>
      </w:r>
      <w:r w:rsidR="0088671D" w:rsidRPr="002323B5">
        <w:rPr>
          <w:rFonts w:ascii="Times New Roman" w:hAnsi="Times New Roman" w:cs="Times New Roman"/>
        </w:rPr>
        <w:t>da nível</w:t>
      </w:r>
      <w:r w:rsidR="00F30E9C">
        <w:rPr>
          <w:rFonts w:ascii="Times New Roman" w:hAnsi="Times New Roman" w:cs="Times New Roman"/>
        </w:rPr>
        <w:t xml:space="preserve"> </w:t>
      </w:r>
      <w:r w:rsidR="00F30E9C" w:rsidRPr="002323B5">
        <w:rPr>
          <w:rFonts w:ascii="Times New Roman" w:hAnsi="Times New Roman"/>
        </w:rPr>
        <w:t>pelo teste de Tukey a 5% de significância</w:t>
      </w:r>
      <w:r w:rsidRPr="002323B5">
        <w:rPr>
          <w:rFonts w:ascii="Times New Roman" w:hAnsi="Times New Roman" w:cs="Times New Roman"/>
        </w:rPr>
        <w:t>.</w:t>
      </w:r>
    </w:p>
    <w:p w14:paraId="4E268F01" w14:textId="77777777" w:rsidR="007B4951" w:rsidRPr="002323B5" w:rsidRDefault="00FD581E" w:rsidP="007B4951">
      <w:pPr>
        <w:spacing w:after="0" w:line="240" w:lineRule="auto"/>
        <w:ind w:firstLine="708"/>
        <w:jc w:val="both"/>
        <w:rPr>
          <w:rFonts w:ascii="Times New Roman" w:hAnsi="Times New Roman"/>
          <w:sz w:val="24"/>
          <w:szCs w:val="24"/>
        </w:rPr>
      </w:pPr>
      <w:r>
        <w:rPr>
          <w:rFonts w:ascii="Times New Roman" w:hAnsi="Times New Roman"/>
          <w:sz w:val="24"/>
          <w:szCs w:val="24"/>
        </w:rPr>
        <w:t>O</w:t>
      </w:r>
      <w:r w:rsidR="004A4A19" w:rsidRPr="002323B5">
        <w:rPr>
          <w:rFonts w:ascii="Times New Roman" w:hAnsi="Times New Roman"/>
          <w:sz w:val="24"/>
          <w:szCs w:val="24"/>
        </w:rPr>
        <w:t xml:space="preserve">s valores médios </w:t>
      </w:r>
      <w:r w:rsidR="008E7EAB" w:rsidRPr="002323B5">
        <w:rPr>
          <w:rFonts w:ascii="Times New Roman" w:hAnsi="Times New Roman"/>
          <w:sz w:val="24"/>
          <w:szCs w:val="24"/>
        </w:rPr>
        <w:t>de resistência à compressão axial dos corpos-de-prova quanto a</w:t>
      </w:r>
      <w:r w:rsidR="004A4A19" w:rsidRPr="002323B5">
        <w:rPr>
          <w:rFonts w:ascii="Times New Roman" w:hAnsi="Times New Roman"/>
          <w:sz w:val="24"/>
          <w:szCs w:val="24"/>
        </w:rPr>
        <w:t>o surgimento das primeiras f</w:t>
      </w:r>
      <w:r w:rsidR="008E7EAB" w:rsidRPr="002323B5">
        <w:rPr>
          <w:rFonts w:ascii="Times New Roman" w:hAnsi="Times New Roman"/>
          <w:sz w:val="24"/>
          <w:szCs w:val="24"/>
        </w:rPr>
        <w:t>issuras</w:t>
      </w:r>
      <w:r w:rsidR="007B4951">
        <w:rPr>
          <w:rFonts w:ascii="Times New Roman" w:hAnsi="Times New Roman"/>
          <w:sz w:val="24"/>
          <w:szCs w:val="24"/>
        </w:rPr>
        <w:t xml:space="preserve"> podem ser encontrados na Figura 1</w:t>
      </w:r>
      <w:r w:rsidR="004A4A19" w:rsidRPr="002323B5">
        <w:rPr>
          <w:rFonts w:ascii="Times New Roman" w:hAnsi="Times New Roman"/>
          <w:sz w:val="24"/>
          <w:szCs w:val="24"/>
        </w:rPr>
        <w:t>.</w:t>
      </w:r>
      <w:r w:rsidR="008E7EAB" w:rsidRPr="002323B5">
        <w:rPr>
          <w:rFonts w:ascii="Times New Roman" w:hAnsi="Times New Roman"/>
          <w:sz w:val="24"/>
          <w:szCs w:val="24"/>
        </w:rPr>
        <w:t xml:space="preserve"> </w:t>
      </w:r>
      <w:r w:rsidR="007B4951" w:rsidRPr="007B4951">
        <w:rPr>
          <w:rFonts w:ascii="Times New Roman" w:hAnsi="Times New Roman"/>
          <w:sz w:val="24"/>
          <w:szCs w:val="24"/>
        </w:rPr>
        <w:t xml:space="preserve"> </w:t>
      </w:r>
      <w:r w:rsidR="007B4951">
        <w:rPr>
          <w:rFonts w:ascii="Times New Roman" w:hAnsi="Times New Roman"/>
          <w:sz w:val="24"/>
          <w:szCs w:val="24"/>
        </w:rPr>
        <w:t>Onde observa-se que</w:t>
      </w:r>
      <w:r w:rsidR="007B4951" w:rsidRPr="002323B5">
        <w:rPr>
          <w:rFonts w:ascii="Times New Roman" w:hAnsi="Times New Roman"/>
          <w:sz w:val="24"/>
          <w:szCs w:val="24"/>
        </w:rPr>
        <w:t xml:space="preserve"> aos 7 dias de cura</w:t>
      </w:r>
      <w:r w:rsidR="007B4951">
        <w:rPr>
          <w:rFonts w:ascii="Times New Roman" w:hAnsi="Times New Roman"/>
          <w:sz w:val="24"/>
          <w:szCs w:val="24"/>
        </w:rPr>
        <w:t xml:space="preserve"> (7D),</w:t>
      </w:r>
      <w:r w:rsidR="007B4951" w:rsidRPr="002323B5">
        <w:rPr>
          <w:rFonts w:ascii="Times New Roman" w:hAnsi="Times New Roman"/>
          <w:sz w:val="24"/>
          <w:szCs w:val="24"/>
        </w:rPr>
        <w:t xml:space="preserve"> o maior valor de resistência encontrado até o surgimento da primeira fissura foi o da mistura C1</w:t>
      </w:r>
      <w:r w:rsidR="007B4951">
        <w:rPr>
          <w:rFonts w:ascii="Times New Roman" w:hAnsi="Times New Roman"/>
          <w:sz w:val="24"/>
          <w:szCs w:val="24"/>
        </w:rPr>
        <w:t xml:space="preserve"> (0%)</w:t>
      </w:r>
      <w:r w:rsidR="007B4951" w:rsidRPr="002323B5">
        <w:rPr>
          <w:rFonts w:ascii="Times New Roman" w:hAnsi="Times New Roman"/>
          <w:sz w:val="24"/>
          <w:szCs w:val="24"/>
        </w:rPr>
        <w:t xml:space="preserve">, diminuído gradativamente conforme se aumentou a taxa de CBCA. </w:t>
      </w:r>
      <w:r w:rsidR="007B4951">
        <w:rPr>
          <w:rFonts w:ascii="Times New Roman" w:hAnsi="Times New Roman"/>
          <w:sz w:val="24"/>
          <w:szCs w:val="24"/>
        </w:rPr>
        <w:t>Sendo t</w:t>
      </w:r>
      <w:r w:rsidR="007B4951" w:rsidRPr="002323B5">
        <w:rPr>
          <w:rFonts w:ascii="Times New Roman" w:hAnsi="Times New Roman"/>
          <w:sz w:val="24"/>
          <w:szCs w:val="24"/>
        </w:rPr>
        <w:t>odos os tratamentos estatisticamente diferentes entre si.</w:t>
      </w:r>
    </w:p>
    <w:p w14:paraId="3848FF7E" w14:textId="77777777" w:rsidR="00001DD6" w:rsidRPr="002323B5" w:rsidRDefault="00001DD6" w:rsidP="002323B5">
      <w:pPr>
        <w:spacing w:after="0" w:line="240" w:lineRule="auto"/>
        <w:ind w:firstLine="708"/>
        <w:jc w:val="both"/>
        <w:rPr>
          <w:rFonts w:ascii="Times New Roman" w:hAnsi="Times New Roman"/>
          <w:sz w:val="24"/>
          <w:szCs w:val="24"/>
        </w:rPr>
      </w:pPr>
    </w:p>
    <w:p w14:paraId="637E4E5A" w14:textId="726F88FF" w:rsidR="00A45D9A" w:rsidRPr="002323B5" w:rsidRDefault="004D132B" w:rsidP="002323B5">
      <w:pPr>
        <w:spacing w:after="0" w:line="240" w:lineRule="auto"/>
        <w:ind w:firstLine="708"/>
        <w:jc w:val="both"/>
        <w:rPr>
          <w:rFonts w:ascii="Times New Roman" w:hAnsi="Times New Roman"/>
          <w:sz w:val="24"/>
          <w:szCs w:val="24"/>
        </w:rPr>
      </w:pPr>
      <w:r w:rsidRPr="002323B5">
        <w:rPr>
          <w:rFonts w:ascii="Times New Roman" w:hAnsi="Times New Roman"/>
          <w:noProof/>
          <w:sz w:val="24"/>
          <w:szCs w:val="24"/>
        </w:rPr>
        <w:lastRenderedPageBreak/>
        <w:drawing>
          <wp:inline distT="0" distB="0" distL="0" distR="0" wp14:anchorId="20B73794" wp14:editId="47BE8134">
            <wp:extent cx="4584700" cy="28225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822575"/>
                    </a:xfrm>
                    <a:prstGeom prst="rect">
                      <a:avLst/>
                    </a:prstGeom>
                    <a:noFill/>
                  </pic:spPr>
                </pic:pic>
              </a:graphicData>
            </a:graphic>
          </wp:inline>
        </w:drawing>
      </w:r>
    </w:p>
    <w:p w14:paraId="7F90BAC4" w14:textId="77777777" w:rsidR="008E7EAB" w:rsidRDefault="001A7538" w:rsidP="002323B5">
      <w:pPr>
        <w:spacing w:after="0" w:line="240" w:lineRule="auto"/>
        <w:jc w:val="both"/>
        <w:rPr>
          <w:rFonts w:ascii="Times New Roman" w:hAnsi="Times New Roman"/>
          <w:sz w:val="24"/>
          <w:szCs w:val="24"/>
        </w:rPr>
      </w:pPr>
      <w:r w:rsidRPr="002C6C86">
        <w:rPr>
          <w:rFonts w:ascii="Times New Roman" w:hAnsi="Times New Roman"/>
          <w:b/>
          <w:sz w:val="24"/>
          <w:szCs w:val="24"/>
        </w:rPr>
        <w:t xml:space="preserve">Figura </w:t>
      </w:r>
      <w:r w:rsidR="00D74A34" w:rsidRPr="002C6C86">
        <w:rPr>
          <w:rFonts w:ascii="Times New Roman" w:hAnsi="Times New Roman"/>
          <w:b/>
          <w:sz w:val="24"/>
          <w:szCs w:val="24"/>
        </w:rPr>
        <w:t>1</w:t>
      </w:r>
      <w:r w:rsidRPr="002323B5">
        <w:rPr>
          <w:rFonts w:ascii="Times New Roman" w:hAnsi="Times New Roman"/>
          <w:sz w:val="24"/>
          <w:szCs w:val="24"/>
        </w:rPr>
        <w:t>. R</w:t>
      </w:r>
      <w:r w:rsidR="00CC7C4E" w:rsidRPr="002323B5">
        <w:rPr>
          <w:rFonts w:ascii="Times New Roman" w:hAnsi="Times New Roman"/>
          <w:sz w:val="24"/>
          <w:szCs w:val="24"/>
        </w:rPr>
        <w:t xml:space="preserve">esistência </w:t>
      </w:r>
      <w:r w:rsidR="007B4951">
        <w:rPr>
          <w:rFonts w:ascii="Times New Roman" w:hAnsi="Times New Roman"/>
          <w:sz w:val="24"/>
          <w:szCs w:val="24"/>
        </w:rPr>
        <w:t xml:space="preserve">média dos corpos-de-prova </w:t>
      </w:r>
      <w:r w:rsidR="00CC7C4E" w:rsidRPr="002323B5">
        <w:rPr>
          <w:rFonts w:ascii="Times New Roman" w:hAnsi="Times New Roman"/>
          <w:sz w:val="24"/>
          <w:szCs w:val="24"/>
        </w:rPr>
        <w:t>ao surgimento da primeira fissura</w:t>
      </w:r>
      <w:r w:rsidRPr="002323B5">
        <w:rPr>
          <w:rFonts w:ascii="Times New Roman" w:hAnsi="Times New Roman"/>
          <w:sz w:val="24"/>
          <w:szCs w:val="24"/>
        </w:rPr>
        <w:t xml:space="preserve"> na compressão simples</w:t>
      </w:r>
      <w:r w:rsidR="00CC7C4E" w:rsidRPr="002323B5">
        <w:rPr>
          <w:rFonts w:ascii="Times New Roman" w:hAnsi="Times New Roman"/>
          <w:sz w:val="24"/>
          <w:szCs w:val="24"/>
        </w:rPr>
        <w:t>.</w:t>
      </w:r>
      <w:r w:rsidR="007B4951">
        <w:rPr>
          <w:rFonts w:ascii="Times New Roman" w:hAnsi="Times New Roman"/>
          <w:sz w:val="24"/>
          <w:szCs w:val="24"/>
        </w:rPr>
        <w:t xml:space="preserve"> </w:t>
      </w:r>
      <w:r w:rsidR="008E7EAB" w:rsidRPr="007B4951">
        <w:rPr>
          <w:rFonts w:ascii="Times New Roman" w:hAnsi="Times New Roman"/>
          <w:sz w:val="24"/>
          <w:szCs w:val="24"/>
        </w:rPr>
        <w:t xml:space="preserve">As letras minúsculas </w:t>
      </w:r>
      <w:r w:rsidR="00917D29" w:rsidRPr="007B4951">
        <w:rPr>
          <w:rFonts w:ascii="Times New Roman" w:hAnsi="Times New Roman"/>
          <w:sz w:val="24"/>
          <w:szCs w:val="24"/>
        </w:rPr>
        <w:t>comparam</w:t>
      </w:r>
      <w:r w:rsidR="003111DB">
        <w:rPr>
          <w:rFonts w:ascii="Times New Roman" w:hAnsi="Times New Roman"/>
          <w:sz w:val="24"/>
          <w:szCs w:val="24"/>
        </w:rPr>
        <w:t xml:space="preserve"> </w:t>
      </w:r>
      <w:r w:rsidR="007B4951">
        <w:rPr>
          <w:rFonts w:ascii="Times New Roman" w:hAnsi="Times New Roman"/>
          <w:sz w:val="24"/>
          <w:szCs w:val="24"/>
        </w:rPr>
        <w:t>os tratamentos (C1, C2, C3, C4) dentro de cada nível (7D e 28D)</w:t>
      </w:r>
      <w:r w:rsidR="00917D29" w:rsidRPr="007B4951">
        <w:rPr>
          <w:rFonts w:ascii="Times New Roman" w:hAnsi="Times New Roman"/>
          <w:sz w:val="24"/>
          <w:szCs w:val="24"/>
        </w:rPr>
        <w:t>, e</w:t>
      </w:r>
      <w:r w:rsidR="008E7EAB" w:rsidRPr="007B4951">
        <w:rPr>
          <w:rFonts w:ascii="Times New Roman" w:hAnsi="Times New Roman"/>
          <w:sz w:val="24"/>
          <w:szCs w:val="24"/>
        </w:rPr>
        <w:t xml:space="preserve"> as letras maiúsculas </w:t>
      </w:r>
      <w:r w:rsidR="00917D29" w:rsidRPr="007B4951">
        <w:rPr>
          <w:rFonts w:ascii="Times New Roman" w:hAnsi="Times New Roman"/>
          <w:sz w:val="24"/>
          <w:szCs w:val="24"/>
        </w:rPr>
        <w:t xml:space="preserve">comparam </w:t>
      </w:r>
      <w:r w:rsidR="007B4951">
        <w:rPr>
          <w:rFonts w:ascii="Times New Roman" w:hAnsi="Times New Roman"/>
          <w:sz w:val="24"/>
          <w:szCs w:val="24"/>
        </w:rPr>
        <w:t>os tratamento</w:t>
      </w:r>
      <w:r w:rsidR="00DE2A81">
        <w:rPr>
          <w:rFonts w:ascii="Times New Roman" w:hAnsi="Times New Roman"/>
          <w:sz w:val="24"/>
          <w:szCs w:val="24"/>
        </w:rPr>
        <w:t>s</w:t>
      </w:r>
      <w:r w:rsidR="007B4951">
        <w:rPr>
          <w:rFonts w:ascii="Times New Roman" w:hAnsi="Times New Roman"/>
          <w:sz w:val="24"/>
          <w:szCs w:val="24"/>
        </w:rPr>
        <w:t xml:space="preserve"> </w:t>
      </w:r>
      <w:r w:rsidR="00917D29" w:rsidRPr="007B4951">
        <w:rPr>
          <w:rFonts w:ascii="Times New Roman" w:hAnsi="Times New Roman"/>
          <w:sz w:val="24"/>
          <w:szCs w:val="24"/>
        </w:rPr>
        <w:t xml:space="preserve">entre os </w:t>
      </w:r>
      <w:r w:rsidR="00E03ACF">
        <w:rPr>
          <w:rFonts w:ascii="Times New Roman" w:hAnsi="Times New Roman"/>
          <w:sz w:val="24"/>
          <w:szCs w:val="24"/>
        </w:rPr>
        <w:t>níveis.</w:t>
      </w:r>
    </w:p>
    <w:p w14:paraId="6E59FCDE" w14:textId="77777777" w:rsidR="003111DB" w:rsidRPr="002323B5" w:rsidRDefault="003111DB" w:rsidP="002323B5">
      <w:pPr>
        <w:spacing w:after="0" w:line="240" w:lineRule="auto"/>
        <w:jc w:val="both"/>
        <w:rPr>
          <w:rFonts w:ascii="Times New Roman" w:hAnsi="Times New Roman"/>
          <w:sz w:val="20"/>
          <w:szCs w:val="24"/>
        </w:rPr>
      </w:pPr>
    </w:p>
    <w:p w14:paraId="0D46C0AB" w14:textId="66DA357E" w:rsidR="00581E24" w:rsidRPr="002323B5" w:rsidRDefault="002A3199" w:rsidP="00581E24">
      <w:pPr>
        <w:spacing w:after="0" w:line="240" w:lineRule="auto"/>
        <w:ind w:firstLine="708"/>
        <w:jc w:val="both"/>
        <w:rPr>
          <w:rFonts w:ascii="Times New Roman" w:hAnsi="Times New Roman"/>
          <w:sz w:val="24"/>
          <w:szCs w:val="24"/>
        </w:rPr>
      </w:pPr>
      <w:r>
        <w:rPr>
          <w:rFonts w:ascii="Times New Roman" w:hAnsi="Times New Roman"/>
          <w:sz w:val="24"/>
          <w:szCs w:val="24"/>
        </w:rPr>
        <w:t>Já aos</w:t>
      </w:r>
      <w:r w:rsidRPr="002323B5">
        <w:rPr>
          <w:rFonts w:ascii="Times New Roman" w:hAnsi="Times New Roman"/>
          <w:sz w:val="24"/>
          <w:szCs w:val="24"/>
        </w:rPr>
        <w:t xml:space="preserve"> </w:t>
      </w:r>
      <w:r>
        <w:rPr>
          <w:rFonts w:ascii="Times New Roman" w:hAnsi="Times New Roman"/>
          <w:sz w:val="24"/>
          <w:szCs w:val="24"/>
        </w:rPr>
        <w:t>28</w:t>
      </w:r>
      <w:r w:rsidR="00001DD6" w:rsidRPr="002323B5">
        <w:rPr>
          <w:rFonts w:ascii="Times New Roman" w:hAnsi="Times New Roman"/>
          <w:sz w:val="24"/>
          <w:szCs w:val="24"/>
        </w:rPr>
        <w:t xml:space="preserve"> dia</w:t>
      </w:r>
      <w:r>
        <w:rPr>
          <w:rFonts w:ascii="Times New Roman" w:hAnsi="Times New Roman"/>
          <w:sz w:val="24"/>
          <w:szCs w:val="24"/>
        </w:rPr>
        <w:t>s</w:t>
      </w:r>
      <w:r w:rsidR="00001DD6" w:rsidRPr="002323B5">
        <w:rPr>
          <w:rFonts w:ascii="Times New Roman" w:hAnsi="Times New Roman"/>
          <w:sz w:val="24"/>
          <w:szCs w:val="24"/>
        </w:rPr>
        <w:t xml:space="preserve"> de cura </w:t>
      </w:r>
      <w:r w:rsidR="004D2EC2" w:rsidRPr="002323B5">
        <w:rPr>
          <w:rFonts w:ascii="Times New Roman" w:hAnsi="Times New Roman"/>
          <w:sz w:val="24"/>
          <w:szCs w:val="24"/>
        </w:rPr>
        <w:t>o tratamento C2</w:t>
      </w:r>
      <w:r w:rsidR="00581E24">
        <w:rPr>
          <w:rFonts w:ascii="Times New Roman" w:hAnsi="Times New Roman"/>
          <w:sz w:val="24"/>
          <w:szCs w:val="24"/>
        </w:rPr>
        <w:t xml:space="preserve"> (10%)</w:t>
      </w:r>
      <w:r w:rsidR="004D2EC2" w:rsidRPr="002323B5">
        <w:rPr>
          <w:rFonts w:ascii="Times New Roman" w:hAnsi="Times New Roman"/>
          <w:sz w:val="24"/>
          <w:szCs w:val="24"/>
        </w:rPr>
        <w:t xml:space="preserve"> apresentou maior resistência ao surgimento da primeira fissura</w:t>
      </w:r>
      <w:r w:rsidR="00581E24">
        <w:rPr>
          <w:rFonts w:ascii="Times New Roman" w:hAnsi="Times New Roman"/>
          <w:sz w:val="24"/>
          <w:szCs w:val="24"/>
        </w:rPr>
        <w:t>, ao invés de C1 (0%)</w:t>
      </w:r>
      <w:r w:rsidR="004D2EC2" w:rsidRPr="002323B5">
        <w:rPr>
          <w:rFonts w:ascii="Times New Roman" w:hAnsi="Times New Roman"/>
          <w:sz w:val="24"/>
          <w:szCs w:val="24"/>
        </w:rPr>
        <w:t>. Esta diferença pode ser atribuída às pr</w:t>
      </w:r>
      <w:r w:rsidR="00407DE2" w:rsidRPr="002323B5">
        <w:rPr>
          <w:rFonts w:ascii="Times New Roman" w:hAnsi="Times New Roman"/>
          <w:sz w:val="24"/>
          <w:szCs w:val="24"/>
        </w:rPr>
        <w:t xml:space="preserve">opriedades químicas </w:t>
      </w:r>
      <w:r w:rsidR="00824EB3">
        <w:rPr>
          <w:rFonts w:ascii="Times New Roman" w:hAnsi="Times New Roman"/>
          <w:sz w:val="24"/>
          <w:szCs w:val="24"/>
        </w:rPr>
        <w:t xml:space="preserve">e </w:t>
      </w:r>
      <w:proofErr w:type="spellStart"/>
      <w:r w:rsidR="00824EB3">
        <w:rPr>
          <w:rFonts w:ascii="Times New Roman" w:hAnsi="Times New Roman"/>
          <w:sz w:val="24"/>
          <w:szCs w:val="24"/>
        </w:rPr>
        <w:t>pozolânicas</w:t>
      </w:r>
      <w:proofErr w:type="spellEnd"/>
      <w:r w:rsidR="00824EB3">
        <w:rPr>
          <w:rFonts w:ascii="Times New Roman" w:hAnsi="Times New Roman"/>
          <w:sz w:val="24"/>
          <w:szCs w:val="24"/>
        </w:rPr>
        <w:t xml:space="preserve"> </w:t>
      </w:r>
      <w:r w:rsidR="00407DE2" w:rsidRPr="002323B5">
        <w:rPr>
          <w:rFonts w:ascii="Times New Roman" w:hAnsi="Times New Roman"/>
          <w:sz w:val="24"/>
          <w:szCs w:val="24"/>
        </w:rPr>
        <w:t>da CBCA</w:t>
      </w:r>
      <w:r w:rsidR="009D64D3">
        <w:rPr>
          <w:rFonts w:ascii="Times New Roman" w:hAnsi="Times New Roman"/>
          <w:sz w:val="24"/>
          <w:szCs w:val="24"/>
        </w:rPr>
        <w:t xml:space="preserve"> </w:t>
      </w:r>
      <w:r w:rsidR="00A12F58">
        <w:rPr>
          <w:rFonts w:ascii="Times New Roman" w:hAnsi="Times New Roman"/>
          <w:sz w:val="24"/>
          <w:szCs w:val="24"/>
        </w:rPr>
        <w:t>(</w:t>
      </w:r>
      <w:r w:rsidR="00BD5FB7">
        <w:rPr>
          <w:rFonts w:ascii="Times New Roman" w:hAnsi="Times New Roman"/>
          <w:sz w:val="24"/>
          <w:szCs w:val="24"/>
        </w:rPr>
        <w:t xml:space="preserve">CORDEIRO </w:t>
      </w:r>
      <w:r w:rsidR="00A12F58">
        <w:rPr>
          <w:rFonts w:ascii="Times New Roman" w:hAnsi="Times New Roman"/>
          <w:sz w:val="24"/>
          <w:szCs w:val="24"/>
        </w:rPr>
        <w:t>et al.</w:t>
      </w:r>
      <w:r w:rsidR="009E5295">
        <w:rPr>
          <w:rFonts w:ascii="Times New Roman" w:hAnsi="Times New Roman"/>
          <w:sz w:val="24"/>
          <w:szCs w:val="24"/>
        </w:rPr>
        <w:t>, 2008)</w:t>
      </w:r>
      <w:r w:rsidR="004D2EC2" w:rsidRPr="002323B5">
        <w:rPr>
          <w:rFonts w:ascii="Times New Roman" w:hAnsi="Times New Roman"/>
          <w:sz w:val="24"/>
          <w:szCs w:val="24"/>
        </w:rPr>
        <w:t>. Além disso, a consistência da mistura pode ter alterado a distribuição dos agregados, tornando a mistura mais homogênea.</w:t>
      </w:r>
      <w:r w:rsidR="00407DE2" w:rsidRPr="002323B5">
        <w:rPr>
          <w:rFonts w:ascii="Times New Roman" w:hAnsi="Times New Roman"/>
          <w:sz w:val="24"/>
          <w:szCs w:val="24"/>
        </w:rPr>
        <w:t xml:space="preserve"> Conforme destaca Cordeiro et al. (2010), a atividade </w:t>
      </w:r>
      <w:proofErr w:type="spellStart"/>
      <w:r w:rsidR="00407DE2" w:rsidRPr="002323B5">
        <w:rPr>
          <w:rFonts w:ascii="Times New Roman" w:hAnsi="Times New Roman"/>
          <w:sz w:val="24"/>
          <w:szCs w:val="24"/>
        </w:rPr>
        <w:t>pozo</w:t>
      </w:r>
      <w:r w:rsidR="00DF3D1B" w:rsidRPr="002323B5">
        <w:rPr>
          <w:rFonts w:ascii="Times New Roman" w:hAnsi="Times New Roman"/>
          <w:sz w:val="24"/>
          <w:szCs w:val="24"/>
        </w:rPr>
        <w:t>lânica</w:t>
      </w:r>
      <w:proofErr w:type="spellEnd"/>
      <w:r w:rsidR="00DF3D1B" w:rsidRPr="002323B5">
        <w:rPr>
          <w:rFonts w:ascii="Times New Roman" w:hAnsi="Times New Roman"/>
          <w:sz w:val="24"/>
          <w:szCs w:val="24"/>
        </w:rPr>
        <w:t xml:space="preserve"> da cinza do bagaço de cana-de-açúcar associada </w:t>
      </w:r>
      <w:r w:rsidR="00C64B80" w:rsidRPr="002323B5">
        <w:rPr>
          <w:rFonts w:ascii="Times New Roman" w:hAnsi="Times New Roman"/>
          <w:sz w:val="24"/>
          <w:szCs w:val="24"/>
        </w:rPr>
        <w:t>à</w:t>
      </w:r>
      <w:r w:rsidR="00DF3D1B" w:rsidRPr="002323B5">
        <w:rPr>
          <w:rFonts w:ascii="Times New Roman" w:hAnsi="Times New Roman"/>
          <w:sz w:val="24"/>
          <w:szCs w:val="24"/>
        </w:rPr>
        <w:t xml:space="preserve"> sua </w:t>
      </w:r>
      <w:r>
        <w:rPr>
          <w:rFonts w:ascii="Times New Roman" w:hAnsi="Times New Roman"/>
          <w:sz w:val="24"/>
          <w:szCs w:val="24"/>
        </w:rPr>
        <w:t>granulometria</w:t>
      </w:r>
      <w:r w:rsidR="00DF3D1B" w:rsidRPr="002323B5">
        <w:rPr>
          <w:rFonts w:ascii="Times New Roman" w:hAnsi="Times New Roman"/>
          <w:sz w:val="24"/>
          <w:szCs w:val="24"/>
        </w:rPr>
        <w:t xml:space="preserve">, contribuem para </w:t>
      </w:r>
      <w:r w:rsidR="007769B2" w:rsidRPr="002323B5">
        <w:rPr>
          <w:rFonts w:ascii="Times New Roman" w:hAnsi="Times New Roman"/>
          <w:sz w:val="24"/>
          <w:szCs w:val="24"/>
        </w:rPr>
        <w:t>não ocorrer</w:t>
      </w:r>
      <w:r w:rsidR="00DF3D1B" w:rsidRPr="002323B5">
        <w:rPr>
          <w:rFonts w:ascii="Times New Roman" w:hAnsi="Times New Roman"/>
          <w:sz w:val="24"/>
          <w:szCs w:val="24"/>
        </w:rPr>
        <w:t xml:space="preserve"> a redução da resistência oferecida pelo cimento, até determinada dosagem.</w:t>
      </w:r>
      <w:r w:rsidR="00581E24">
        <w:rPr>
          <w:rFonts w:ascii="Times New Roman" w:hAnsi="Times New Roman"/>
          <w:sz w:val="24"/>
          <w:szCs w:val="24"/>
        </w:rPr>
        <w:t xml:space="preserve"> </w:t>
      </w:r>
    </w:p>
    <w:p w14:paraId="6E5A28E0" w14:textId="77777777" w:rsidR="00246730" w:rsidRDefault="00581E24" w:rsidP="002323B5">
      <w:pPr>
        <w:spacing w:after="0" w:line="240" w:lineRule="auto"/>
        <w:ind w:firstLine="708"/>
        <w:jc w:val="both"/>
        <w:rPr>
          <w:rFonts w:ascii="Times New Roman" w:hAnsi="Times New Roman"/>
          <w:sz w:val="24"/>
          <w:szCs w:val="24"/>
        </w:rPr>
      </w:pPr>
      <w:r>
        <w:rPr>
          <w:rFonts w:ascii="Times New Roman" w:hAnsi="Times New Roman"/>
          <w:sz w:val="24"/>
          <w:szCs w:val="24"/>
        </w:rPr>
        <w:t>Ao comparar os</w:t>
      </w:r>
      <w:r w:rsidRPr="002323B5">
        <w:rPr>
          <w:rFonts w:ascii="Times New Roman" w:hAnsi="Times New Roman"/>
          <w:sz w:val="24"/>
          <w:szCs w:val="24"/>
        </w:rPr>
        <w:t xml:space="preserve"> </w:t>
      </w:r>
      <w:r>
        <w:rPr>
          <w:rFonts w:ascii="Times New Roman" w:hAnsi="Times New Roman"/>
          <w:sz w:val="24"/>
          <w:szCs w:val="24"/>
        </w:rPr>
        <w:t>tempos</w:t>
      </w:r>
      <w:r w:rsidR="00246730" w:rsidRPr="002323B5">
        <w:rPr>
          <w:rFonts w:ascii="Times New Roman" w:hAnsi="Times New Roman"/>
          <w:sz w:val="24"/>
          <w:szCs w:val="24"/>
        </w:rPr>
        <w:t xml:space="preserve"> de cura,</w:t>
      </w:r>
      <w:r>
        <w:rPr>
          <w:rFonts w:ascii="Times New Roman" w:hAnsi="Times New Roman"/>
          <w:sz w:val="24"/>
          <w:szCs w:val="24"/>
        </w:rPr>
        <w:t xml:space="preserve"> somente os tra</w:t>
      </w:r>
      <w:r w:rsidR="00364F42">
        <w:rPr>
          <w:rFonts w:ascii="Times New Roman" w:hAnsi="Times New Roman"/>
          <w:sz w:val="24"/>
          <w:szCs w:val="24"/>
        </w:rPr>
        <w:t>ta</w:t>
      </w:r>
      <w:r>
        <w:rPr>
          <w:rFonts w:ascii="Times New Roman" w:hAnsi="Times New Roman"/>
          <w:sz w:val="24"/>
          <w:szCs w:val="24"/>
        </w:rPr>
        <w:t xml:space="preserve">mentos C2 (10%) e C3 (20%) mostraram diferença estatística. </w:t>
      </w:r>
      <w:r w:rsidR="00364F42">
        <w:rPr>
          <w:rFonts w:ascii="Times New Roman" w:hAnsi="Times New Roman"/>
          <w:sz w:val="24"/>
          <w:szCs w:val="24"/>
        </w:rPr>
        <w:t xml:space="preserve">Com valores superiores de </w:t>
      </w:r>
      <w:r w:rsidR="001B41B1" w:rsidRPr="002323B5">
        <w:rPr>
          <w:rFonts w:ascii="Times New Roman" w:hAnsi="Times New Roman"/>
          <w:sz w:val="24"/>
          <w:szCs w:val="24"/>
        </w:rPr>
        <w:t xml:space="preserve">resistência </w:t>
      </w:r>
      <w:r w:rsidR="00364F42">
        <w:rPr>
          <w:rFonts w:ascii="Times New Roman" w:hAnsi="Times New Roman"/>
          <w:sz w:val="24"/>
          <w:szCs w:val="24"/>
        </w:rPr>
        <w:t xml:space="preserve">média </w:t>
      </w:r>
      <w:r w:rsidR="001B41B1" w:rsidRPr="002323B5">
        <w:rPr>
          <w:rFonts w:ascii="Times New Roman" w:hAnsi="Times New Roman"/>
          <w:sz w:val="24"/>
          <w:szCs w:val="24"/>
        </w:rPr>
        <w:t>ao surgimento da primeira fissura na compressão</w:t>
      </w:r>
      <w:r w:rsidR="00364F42">
        <w:rPr>
          <w:rFonts w:ascii="Times New Roman" w:hAnsi="Times New Roman"/>
          <w:sz w:val="24"/>
          <w:szCs w:val="24"/>
        </w:rPr>
        <w:t xml:space="preserve"> nos 28 dias de cura.</w:t>
      </w:r>
      <w:r w:rsidR="001B41B1" w:rsidRPr="002323B5">
        <w:rPr>
          <w:rFonts w:ascii="Times New Roman" w:hAnsi="Times New Roman"/>
          <w:sz w:val="24"/>
          <w:szCs w:val="24"/>
        </w:rPr>
        <w:t xml:space="preserve"> </w:t>
      </w:r>
    </w:p>
    <w:p w14:paraId="13DF0187" w14:textId="77777777" w:rsidR="001D6CEF" w:rsidRPr="002323B5" w:rsidRDefault="001D6CEF" w:rsidP="002323B5">
      <w:pPr>
        <w:spacing w:after="0" w:line="240" w:lineRule="auto"/>
        <w:ind w:firstLine="708"/>
        <w:jc w:val="both"/>
        <w:rPr>
          <w:rFonts w:ascii="Times New Roman" w:hAnsi="Times New Roman"/>
          <w:sz w:val="24"/>
          <w:szCs w:val="24"/>
        </w:rPr>
      </w:pPr>
      <w:r w:rsidRPr="002323B5">
        <w:rPr>
          <w:rFonts w:ascii="Times New Roman" w:hAnsi="Times New Roman"/>
          <w:sz w:val="24"/>
          <w:szCs w:val="24"/>
        </w:rPr>
        <w:t>Nunes et al. (2008), ao estudar as propriedades da</w:t>
      </w:r>
      <w:r>
        <w:rPr>
          <w:rFonts w:ascii="Times New Roman" w:hAnsi="Times New Roman"/>
          <w:sz w:val="24"/>
          <w:szCs w:val="24"/>
        </w:rPr>
        <w:t xml:space="preserve"> CBCA</w:t>
      </w:r>
      <w:r w:rsidRPr="002323B5">
        <w:rPr>
          <w:rFonts w:ascii="Times New Roman" w:hAnsi="Times New Roman"/>
          <w:sz w:val="24"/>
          <w:szCs w:val="24"/>
        </w:rPr>
        <w:t xml:space="preserve"> da região de Maringá – PR, verificaram que também houve </w:t>
      </w:r>
      <w:r>
        <w:rPr>
          <w:rFonts w:ascii="Times New Roman" w:hAnsi="Times New Roman"/>
          <w:sz w:val="24"/>
          <w:szCs w:val="24"/>
        </w:rPr>
        <w:t>diferença</w:t>
      </w:r>
      <w:r w:rsidRPr="002323B5">
        <w:rPr>
          <w:rFonts w:ascii="Times New Roman" w:hAnsi="Times New Roman"/>
          <w:sz w:val="24"/>
          <w:szCs w:val="24"/>
        </w:rPr>
        <w:t xml:space="preserve"> nos valores de resistência a compressão em corpos-de-prova com </w:t>
      </w:r>
      <w:r>
        <w:rPr>
          <w:rFonts w:ascii="Times New Roman" w:hAnsi="Times New Roman"/>
          <w:sz w:val="24"/>
          <w:szCs w:val="24"/>
        </w:rPr>
        <w:t>diferentes</w:t>
      </w:r>
      <w:r w:rsidRPr="002323B5">
        <w:rPr>
          <w:rFonts w:ascii="Times New Roman" w:hAnsi="Times New Roman"/>
          <w:sz w:val="24"/>
          <w:szCs w:val="24"/>
        </w:rPr>
        <w:t xml:space="preserve"> idade</w:t>
      </w:r>
      <w:r>
        <w:rPr>
          <w:rFonts w:ascii="Times New Roman" w:hAnsi="Times New Roman"/>
          <w:sz w:val="24"/>
          <w:szCs w:val="24"/>
        </w:rPr>
        <w:t>s</w:t>
      </w:r>
      <w:r w:rsidRPr="002323B5">
        <w:rPr>
          <w:rFonts w:ascii="Times New Roman" w:hAnsi="Times New Roman"/>
          <w:sz w:val="24"/>
          <w:szCs w:val="24"/>
        </w:rPr>
        <w:t xml:space="preserve"> de cura, na qual o traço de referência resultou em valores até 31,5% menores do que os tratamentos com adição de cinza.</w:t>
      </w:r>
    </w:p>
    <w:p w14:paraId="6D4A5E19" w14:textId="77777777" w:rsidR="00C64B80" w:rsidRPr="00246F50" w:rsidRDefault="00E32A90" w:rsidP="002323B5">
      <w:pPr>
        <w:spacing w:after="0" w:line="240" w:lineRule="auto"/>
        <w:jc w:val="both"/>
        <w:rPr>
          <w:rFonts w:ascii="Times New Roman" w:hAnsi="Times New Roman"/>
          <w:color w:val="000000" w:themeColor="text1"/>
          <w:sz w:val="24"/>
          <w:szCs w:val="24"/>
        </w:rPr>
      </w:pPr>
      <w:r>
        <w:rPr>
          <w:rFonts w:ascii="Times New Roman" w:hAnsi="Times New Roman"/>
          <w:sz w:val="24"/>
          <w:szCs w:val="24"/>
        </w:rPr>
        <w:tab/>
      </w:r>
      <w:r w:rsidRPr="00246F50">
        <w:rPr>
          <w:rFonts w:ascii="Times New Roman" w:hAnsi="Times New Roman"/>
          <w:color w:val="000000" w:themeColor="text1"/>
          <w:sz w:val="24"/>
          <w:szCs w:val="24"/>
        </w:rPr>
        <w:t xml:space="preserve">Ao relacionarmos a resistência com as taxas </w:t>
      </w:r>
      <w:r w:rsidR="00EE073F" w:rsidRPr="00246F50">
        <w:rPr>
          <w:rFonts w:ascii="Times New Roman" w:hAnsi="Times New Roman"/>
          <w:color w:val="000000" w:themeColor="text1"/>
          <w:sz w:val="24"/>
          <w:szCs w:val="24"/>
        </w:rPr>
        <w:t>de adição de CBCA por meio de um ajuste linear</w:t>
      </w:r>
      <w:r w:rsidR="00901921" w:rsidRPr="00246F50">
        <w:rPr>
          <w:rFonts w:ascii="Times New Roman" w:hAnsi="Times New Roman"/>
          <w:color w:val="000000" w:themeColor="text1"/>
          <w:sz w:val="24"/>
          <w:szCs w:val="24"/>
        </w:rPr>
        <w:t xml:space="preserve"> para o surgimento da primeira fissura</w:t>
      </w:r>
      <w:r w:rsidR="00EE073F" w:rsidRPr="00246F50">
        <w:rPr>
          <w:rFonts w:ascii="Times New Roman" w:hAnsi="Times New Roman"/>
          <w:color w:val="000000" w:themeColor="text1"/>
          <w:sz w:val="24"/>
          <w:szCs w:val="24"/>
        </w:rPr>
        <w:t>, verifica-se uma relação inversamente proporcional</w:t>
      </w:r>
      <w:r w:rsidR="00474AD2" w:rsidRPr="00246F50">
        <w:rPr>
          <w:rFonts w:ascii="Times New Roman" w:hAnsi="Times New Roman"/>
          <w:color w:val="000000" w:themeColor="text1"/>
          <w:sz w:val="24"/>
          <w:szCs w:val="24"/>
        </w:rPr>
        <w:t>, ou seja, conforme aumenta-se a taxa de CBCA diminui-se a resistência do concreto na compressão simples (Figura 2). Além disso, verifica-se que</w:t>
      </w:r>
      <w:r w:rsidR="00901921" w:rsidRPr="00246F50">
        <w:rPr>
          <w:rFonts w:ascii="Times New Roman" w:hAnsi="Times New Roman"/>
          <w:color w:val="000000" w:themeColor="text1"/>
          <w:sz w:val="24"/>
          <w:szCs w:val="24"/>
        </w:rPr>
        <w:t xml:space="preserve"> o</w:t>
      </w:r>
      <w:r w:rsidR="00474AD2" w:rsidRPr="00246F50">
        <w:rPr>
          <w:rFonts w:ascii="Times New Roman" w:hAnsi="Times New Roman"/>
          <w:color w:val="000000" w:themeColor="text1"/>
          <w:sz w:val="24"/>
          <w:szCs w:val="24"/>
        </w:rPr>
        <w:t xml:space="preserve"> percentua</w:t>
      </w:r>
      <w:r w:rsidR="00901921" w:rsidRPr="00246F50">
        <w:rPr>
          <w:rFonts w:ascii="Times New Roman" w:hAnsi="Times New Roman"/>
          <w:color w:val="000000" w:themeColor="text1"/>
          <w:sz w:val="24"/>
          <w:szCs w:val="24"/>
        </w:rPr>
        <w:t>l da variância dos dados de resistência</w:t>
      </w:r>
      <w:r w:rsidR="00474AD2" w:rsidRPr="00246F50">
        <w:rPr>
          <w:rFonts w:ascii="Times New Roman" w:hAnsi="Times New Roman"/>
          <w:color w:val="000000" w:themeColor="text1"/>
          <w:sz w:val="24"/>
          <w:szCs w:val="24"/>
        </w:rPr>
        <w:t xml:space="preserve"> pode ser </w:t>
      </w:r>
      <w:r w:rsidR="00901921" w:rsidRPr="00246F50">
        <w:rPr>
          <w:rFonts w:ascii="Times New Roman" w:hAnsi="Times New Roman"/>
          <w:color w:val="000000" w:themeColor="text1"/>
          <w:sz w:val="24"/>
          <w:szCs w:val="24"/>
        </w:rPr>
        <w:t>satisfatoriamente explicado</w:t>
      </w:r>
      <w:r w:rsidR="00474AD2" w:rsidRPr="00246F50">
        <w:rPr>
          <w:rFonts w:ascii="Times New Roman" w:hAnsi="Times New Roman"/>
          <w:color w:val="000000" w:themeColor="text1"/>
          <w:sz w:val="24"/>
          <w:szCs w:val="24"/>
        </w:rPr>
        <w:t xml:space="preserve"> </w:t>
      </w:r>
      <w:r w:rsidR="00901921" w:rsidRPr="00246F50">
        <w:rPr>
          <w:rFonts w:ascii="Times New Roman" w:hAnsi="Times New Roman"/>
          <w:color w:val="000000" w:themeColor="text1"/>
          <w:sz w:val="24"/>
          <w:szCs w:val="24"/>
        </w:rPr>
        <w:t>por essa relação, c</w:t>
      </w:r>
      <w:r w:rsidR="00474AD2" w:rsidRPr="00246F50">
        <w:rPr>
          <w:rFonts w:ascii="Times New Roman" w:hAnsi="Times New Roman"/>
          <w:color w:val="000000" w:themeColor="text1"/>
          <w:sz w:val="24"/>
          <w:szCs w:val="24"/>
        </w:rPr>
        <w:t xml:space="preserve">om coeficientes de determinação </w:t>
      </w:r>
      <w:r w:rsidR="00901921" w:rsidRPr="00246F50">
        <w:rPr>
          <w:rFonts w:ascii="Times New Roman" w:hAnsi="Times New Roman"/>
          <w:color w:val="000000" w:themeColor="text1"/>
          <w:sz w:val="24"/>
          <w:szCs w:val="24"/>
        </w:rPr>
        <w:t>acima de 0,80</w:t>
      </w:r>
      <w:r w:rsidR="00474AD2" w:rsidRPr="00246F50">
        <w:rPr>
          <w:rFonts w:ascii="Times New Roman" w:hAnsi="Times New Roman"/>
          <w:color w:val="000000" w:themeColor="text1"/>
          <w:sz w:val="24"/>
          <w:szCs w:val="24"/>
        </w:rPr>
        <w:t>.</w:t>
      </w:r>
    </w:p>
    <w:p w14:paraId="5908DEEA" w14:textId="77777777" w:rsidR="002323B5" w:rsidRPr="00246F50" w:rsidRDefault="002323B5" w:rsidP="002323B5">
      <w:pPr>
        <w:spacing w:after="0" w:line="240" w:lineRule="auto"/>
        <w:jc w:val="both"/>
        <w:rPr>
          <w:rFonts w:ascii="Times New Roman" w:hAnsi="Times New Roman"/>
          <w:color w:val="000000" w:themeColor="text1"/>
          <w:sz w:val="24"/>
          <w:szCs w:val="24"/>
        </w:rPr>
      </w:pPr>
    </w:p>
    <w:p w14:paraId="445C9E56" w14:textId="77777777" w:rsidR="00D02D38" w:rsidRPr="00246F50" w:rsidRDefault="00D02D38" w:rsidP="002323B5">
      <w:pPr>
        <w:spacing w:after="0" w:line="240" w:lineRule="auto"/>
        <w:jc w:val="both"/>
        <w:rPr>
          <w:rFonts w:ascii="Times New Roman" w:hAnsi="Times New Roman"/>
          <w:color w:val="000000" w:themeColor="text1"/>
          <w:sz w:val="24"/>
          <w:szCs w:val="24"/>
        </w:rPr>
      </w:pPr>
    </w:p>
    <w:p w14:paraId="30330F3A" w14:textId="77777777" w:rsidR="00D02D38" w:rsidRDefault="00D02D38" w:rsidP="002323B5">
      <w:pPr>
        <w:spacing w:after="0" w:line="240" w:lineRule="auto"/>
        <w:jc w:val="both"/>
        <w:rPr>
          <w:rFonts w:ascii="Times New Roman" w:hAnsi="Times New Roman"/>
          <w:sz w:val="24"/>
          <w:szCs w:val="24"/>
        </w:rPr>
      </w:pPr>
    </w:p>
    <w:p w14:paraId="31DBF093" w14:textId="77777777" w:rsidR="00D02D38" w:rsidRDefault="00D02D38" w:rsidP="002323B5">
      <w:pPr>
        <w:spacing w:after="0" w:line="240" w:lineRule="auto"/>
        <w:jc w:val="both"/>
        <w:rPr>
          <w:rFonts w:ascii="Times New Roman" w:hAnsi="Times New Roman"/>
          <w:sz w:val="24"/>
          <w:szCs w:val="24"/>
        </w:rPr>
      </w:pPr>
    </w:p>
    <w:p w14:paraId="5DA8FC56" w14:textId="77777777" w:rsidR="00D02D38" w:rsidRDefault="00D02D38" w:rsidP="002323B5">
      <w:pPr>
        <w:spacing w:after="0" w:line="240" w:lineRule="auto"/>
        <w:jc w:val="both"/>
        <w:rPr>
          <w:rFonts w:ascii="Times New Roman" w:hAnsi="Times New Roman"/>
          <w:sz w:val="24"/>
          <w:szCs w:val="24"/>
        </w:rPr>
      </w:pPr>
    </w:p>
    <w:p w14:paraId="36E54D47" w14:textId="77777777" w:rsidR="00D02D38" w:rsidRDefault="00D02D38" w:rsidP="002323B5">
      <w:pPr>
        <w:spacing w:after="0" w:line="240" w:lineRule="auto"/>
        <w:jc w:val="both"/>
        <w:rPr>
          <w:rFonts w:ascii="Times New Roman" w:hAnsi="Times New Roman"/>
          <w:sz w:val="24"/>
          <w:szCs w:val="24"/>
        </w:rPr>
      </w:pPr>
    </w:p>
    <w:p w14:paraId="45E1993D" w14:textId="77777777" w:rsidR="00D02D38" w:rsidRDefault="00D02D38" w:rsidP="002323B5">
      <w:pPr>
        <w:spacing w:after="0" w:line="240" w:lineRule="auto"/>
        <w:jc w:val="both"/>
        <w:rPr>
          <w:rFonts w:ascii="Times New Roman" w:hAnsi="Times New Roman"/>
          <w:sz w:val="24"/>
          <w:szCs w:val="24"/>
        </w:rPr>
      </w:pPr>
    </w:p>
    <w:p w14:paraId="7AC09C5D" w14:textId="77777777" w:rsidR="00D02D38" w:rsidRDefault="00D02D38" w:rsidP="002323B5">
      <w:pPr>
        <w:spacing w:after="0" w:line="240" w:lineRule="auto"/>
        <w:jc w:val="both"/>
        <w:rPr>
          <w:rFonts w:ascii="Times New Roman" w:hAnsi="Times New Roman"/>
          <w:sz w:val="24"/>
          <w:szCs w:val="24"/>
        </w:rPr>
      </w:pPr>
    </w:p>
    <w:p w14:paraId="34D30797" w14:textId="77777777" w:rsidR="00D02D38" w:rsidRPr="002323B5" w:rsidRDefault="00D02D38" w:rsidP="002323B5">
      <w:pPr>
        <w:spacing w:after="0" w:line="240" w:lineRule="auto"/>
        <w:jc w:val="both"/>
        <w:rPr>
          <w:rFonts w:ascii="Times New Roman" w:hAnsi="Times New Roman"/>
          <w:sz w:val="24"/>
          <w:szCs w:val="24"/>
        </w:rPr>
      </w:pPr>
    </w:p>
    <w:p w14:paraId="1ED6EDCB" w14:textId="7D0C6D8A" w:rsidR="00D02D38" w:rsidRDefault="004D132B" w:rsidP="002323B5">
      <w:pPr>
        <w:spacing w:after="0" w:line="240" w:lineRule="auto"/>
        <w:jc w:val="center"/>
        <w:rPr>
          <w:rFonts w:ascii="Times New Roman" w:hAnsi="Times New Roman"/>
          <w:b/>
          <w:sz w:val="24"/>
          <w:szCs w:val="24"/>
        </w:rPr>
      </w:pPr>
      <w:r w:rsidRPr="00B77D32">
        <w:rPr>
          <w:noProof/>
        </w:rPr>
        <w:lastRenderedPageBreak/>
        <w:drawing>
          <wp:inline distT="0" distB="0" distL="0" distR="0" wp14:anchorId="6ED0B27F" wp14:editId="4BEDCE34">
            <wp:extent cx="5139055" cy="371919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6D5897" w14:textId="77777777" w:rsidR="00D02D38" w:rsidRDefault="00D02D38" w:rsidP="002323B5">
      <w:pPr>
        <w:spacing w:after="0" w:line="240" w:lineRule="auto"/>
        <w:jc w:val="center"/>
        <w:rPr>
          <w:rFonts w:ascii="Times New Roman" w:hAnsi="Times New Roman"/>
          <w:b/>
          <w:sz w:val="24"/>
          <w:szCs w:val="24"/>
        </w:rPr>
      </w:pPr>
    </w:p>
    <w:p w14:paraId="1BEC7C83" w14:textId="77777777" w:rsidR="00894E7D" w:rsidRDefault="00894E7D" w:rsidP="007F2A23">
      <w:pPr>
        <w:spacing w:after="0" w:line="240" w:lineRule="auto"/>
        <w:jc w:val="both"/>
        <w:rPr>
          <w:rFonts w:ascii="Times New Roman" w:hAnsi="Times New Roman"/>
          <w:b/>
          <w:sz w:val="24"/>
          <w:szCs w:val="24"/>
        </w:rPr>
      </w:pPr>
      <w:r w:rsidRPr="002C6C86">
        <w:rPr>
          <w:rFonts w:ascii="Times New Roman" w:hAnsi="Times New Roman"/>
          <w:b/>
          <w:sz w:val="24"/>
          <w:szCs w:val="24"/>
        </w:rPr>
        <w:t xml:space="preserve">Figura </w:t>
      </w:r>
      <w:r>
        <w:rPr>
          <w:rFonts w:ascii="Times New Roman" w:hAnsi="Times New Roman"/>
          <w:b/>
          <w:sz w:val="24"/>
          <w:szCs w:val="24"/>
        </w:rPr>
        <w:t>2</w:t>
      </w:r>
      <w:r w:rsidRPr="002323B5">
        <w:rPr>
          <w:rFonts w:ascii="Times New Roman" w:hAnsi="Times New Roman"/>
          <w:sz w:val="24"/>
          <w:szCs w:val="24"/>
        </w:rPr>
        <w:t xml:space="preserve">. Resistência </w:t>
      </w:r>
      <w:r>
        <w:rPr>
          <w:rFonts w:ascii="Times New Roman" w:hAnsi="Times New Roman"/>
          <w:sz w:val="24"/>
          <w:szCs w:val="24"/>
        </w:rPr>
        <w:t xml:space="preserve">média dos corpos-de-prova </w:t>
      </w:r>
      <w:r w:rsidRPr="002323B5">
        <w:rPr>
          <w:rFonts w:ascii="Times New Roman" w:hAnsi="Times New Roman"/>
          <w:sz w:val="24"/>
          <w:szCs w:val="24"/>
        </w:rPr>
        <w:t>ao surgimento da primeira fissura na compressão simples</w:t>
      </w:r>
      <w:r>
        <w:rPr>
          <w:rFonts w:ascii="Times New Roman" w:hAnsi="Times New Roman"/>
          <w:sz w:val="24"/>
          <w:szCs w:val="24"/>
        </w:rPr>
        <w:t xml:space="preserve"> em relação aos tratamentos </w:t>
      </w:r>
      <w:r w:rsidRPr="002323B5">
        <w:rPr>
          <w:rFonts w:ascii="Times New Roman" w:hAnsi="Times New Roman"/>
          <w:sz w:val="24"/>
          <w:szCs w:val="24"/>
        </w:rPr>
        <w:t>C1 (0%), C2 (10%), C3 (20%) e C4 (50%).</w:t>
      </w:r>
      <w:r>
        <w:rPr>
          <w:rFonts w:ascii="Times New Roman" w:hAnsi="Times New Roman"/>
          <w:sz w:val="24"/>
          <w:szCs w:val="24"/>
        </w:rPr>
        <w:t xml:space="preserve"> </w:t>
      </w:r>
    </w:p>
    <w:p w14:paraId="5A717765" w14:textId="77777777" w:rsidR="00894E7D" w:rsidRDefault="00894E7D" w:rsidP="002323B5">
      <w:pPr>
        <w:spacing w:after="0" w:line="240" w:lineRule="auto"/>
        <w:jc w:val="center"/>
        <w:rPr>
          <w:rFonts w:ascii="Times New Roman" w:hAnsi="Times New Roman"/>
          <w:b/>
          <w:sz w:val="24"/>
          <w:szCs w:val="24"/>
        </w:rPr>
      </w:pPr>
    </w:p>
    <w:p w14:paraId="4DFE344F" w14:textId="77777777" w:rsidR="007769B2" w:rsidRPr="002323B5" w:rsidRDefault="007769B2" w:rsidP="002323B5">
      <w:pPr>
        <w:spacing w:after="0" w:line="240" w:lineRule="auto"/>
        <w:jc w:val="center"/>
        <w:rPr>
          <w:rFonts w:ascii="Times New Roman" w:hAnsi="Times New Roman"/>
          <w:b/>
          <w:sz w:val="24"/>
          <w:szCs w:val="24"/>
        </w:rPr>
      </w:pPr>
      <w:r w:rsidRPr="002323B5">
        <w:rPr>
          <w:rFonts w:ascii="Times New Roman" w:hAnsi="Times New Roman"/>
          <w:b/>
          <w:sz w:val="24"/>
          <w:szCs w:val="24"/>
        </w:rPr>
        <w:t>Resistência ao rompimento</w:t>
      </w:r>
    </w:p>
    <w:p w14:paraId="2C2993A4" w14:textId="77777777" w:rsidR="0088671D" w:rsidRPr="002323B5" w:rsidRDefault="0088671D" w:rsidP="002323B5">
      <w:pPr>
        <w:spacing w:after="0" w:line="240" w:lineRule="auto"/>
        <w:ind w:firstLine="708"/>
        <w:jc w:val="both"/>
        <w:rPr>
          <w:rFonts w:ascii="Times New Roman" w:hAnsi="Times New Roman"/>
          <w:sz w:val="24"/>
          <w:szCs w:val="24"/>
        </w:rPr>
      </w:pPr>
    </w:p>
    <w:p w14:paraId="5211C55B" w14:textId="77777777" w:rsidR="005A1EBF" w:rsidRPr="002323B5" w:rsidRDefault="005A1EBF" w:rsidP="005A1EBF">
      <w:pPr>
        <w:pStyle w:val="Default"/>
        <w:ind w:firstLine="709"/>
        <w:jc w:val="both"/>
        <w:rPr>
          <w:rFonts w:ascii="Times New Roman" w:hAnsi="Times New Roman" w:cs="Times New Roman"/>
        </w:rPr>
      </w:pPr>
      <w:r w:rsidRPr="005A1EBF">
        <w:rPr>
          <w:rFonts w:ascii="Times New Roman" w:hAnsi="Times New Roman"/>
        </w:rPr>
        <w:t xml:space="preserve">Ao realizar a análise de variância </w:t>
      </w:r>
      <w:r>
        <w:rPr>
          <w:rFonts w:ascii="Times New Roman" w:hAnsi="Times New Roman"/>
        </w:rPr>
        <w:t>p</w:t>
      </w:r>
      <w:r w:rsidR="004075B8" w:rsidRPr="002323B5">
        <w:rPr>
          <w:rFonts w:ascii="Times New Roman" w:hAnsi="Times New Roman"/>
        </w:rPr>
        <w:t>ara os ensaios de resistência a compressão axial</w:t>
      </w:r>
      <w:r w:rsidR="0088671D" w:rsidRPr="002323B5">
        <w:rPr>
          <w:rFonts w:ascii="Times New Roman" w:hAnsi="Times New Roman"/>
        </w:rPr>
        <w:t>,</w:t>
      </w:r>
      <w:r w:rsidR="004075B8" w:rsidRPr="002323B5">
        <w:rPr>
          <w:rFonts w:ascii="Times New Roman" w:hAnsi="Times New Roman"/>
        </w:rPr>
        <w:t xml:space="preserve"> </w:t>
      </w:r>
      <w:r>
        <w:rPr>
          <w:rFonts w:ascii="Times New Roman" w:hAnsi="Times New Roman"/>
        </w:rPr>
        <w:t xml:space="preserve">verificou-se diferença estatística </w:t>
      </w:r>
      <w:r w:rsidRPr="005A1EBF">
        <w:rPr>
          <w:rFonts w:ascii="Times New Roman" w:hAnsi="Times New Roman"/>
        </w:rPr>
        <w:t>a 5% de significância</w:t>
      </w:r>
      <w:r>
        <w:rPr>
          <w:rFonts w:ascii="Times New Roman" w:hAnsi="Times New Roman"/>
        </w:rPr>
        <w:t xml:space="preserve"> </w:t>
      </w:r>
      <w:r w:rsidR="00186840">
        <w:rPr>
          <w:rFonts w:ascii="Times New Roman" w:hAnsi="Times New Roman"/>
        </w:rPr>
        <w:t xml:space="preserve">entre </w:t>
      </w:r>
      <w:r w:rsidR="00186840" w:rsidRPr="005A1EBF">
        <w:rPr>
          <w:rFonts w:ascii="Times New Roman" w:hAnsi="Times New Roman"/>
        </w:rPr>
        <w:t>as</w:t>
      </w:r>
      <w:r w:rsidR="0088671D" w:rsidRPr="002323B5">
        <w:rPr>
          <w:rFonts w:ascii="Times New Roman" w:hAnsi="Times New Roman"/>
        </w:rPr>
        <w:t xml:space="preserve"> diferentes taxas de CBCA (tratamentos)</w:t>
      </w:r>
      <w:r>
        <w:rPr>
          <w:rFonts w:ascii="Times New Roman" w:hAnsi="Times New Roman"/>
        </w:rPr>
        <w:t xml:space="preserve"> e entre </w:t>
      </w:r>
      <w:r w:rsidR="0088671D" w:rsidRPr="002323B5">
        <w:rPr>
          <w:rFonts w:ascii="Times New Roman" w:hAnsi="Times New Roman"/>
        </w:rPr>
        <w:t>os diferentes tempos de cura (</w:t>
      </w:r>
      <w:r>
        <w:rPr>
          <w:rFonts w:ascii="Times New Roman" w:hAnsi="Times New Roman"/>
        </w:rPr>
        <w:t>níveis</w:t>
      </w:r>
      <w:r w:rsidR="0088671D" w:rsidRPr="002323B5">
        <w:rPr>
          <w:rFonts w:ascii="Times New Roman" w:hAnsi="Times New Roman"/>
        </w:rPr>
        <w:t>)</w:t>
      </w:r>
      <w:r>
        <w:rPr>
          <w:rFonts w:ascii="Times New Roman" w:hAnsi="Times New Roman"/>
        </w:rPr>
        <w:t xml:space="preserve">. </w:t>
      </w:r>
      <w:r w:rsidRPr="002323B5">
        <w:rPr>
          <w:rFonts w:ascii="Times New Roman" w:hAnsi="Times New Roman" w:cs="Times New Roman"/>
        </w:rPr>
        <w:t xml:space="preserve">Como houve interação significativa, foi </w:t>
      </w:r>
      <w:r>
        <w:rPr>
          <w:rFonts w:ascii="Times New Roman" w:hAnsi="Times New Roman" w:cs="Times New Roman"/>
        </w:rPr>
        <w:t>realizado a comparação de cada</w:t>
      </w:r>
      <w:r w:rsidRPr="002323B5">
        <w:rPr>
          <w:rFonts w:ascii="Times New Roman" w:hAnsi="Times New Roman" w:cs="Times New Roman"/>
        </w:rPr>
        <w:t xml:space="preserve"> tratamento de</w:t>
      </w:r>
      <w:r>
        <w:rPr>
          <w:rFonts w:ascii="Times New Roman" w:hAnsi="Times New Roman" w:cs="Times New Roman"/>
        </w:rPr>
        <w:t>ntro de</w:t>
      </w:r>
      <w:r w:rsidRPr="002323B5">
        <w:rPr>
          <w:rFonts w:ascii="Times New Roman" w:hAnsi="Times New Roman" w:cs="Times New Roman"/>
        </w:rPr>
        <w:t xml:space="preserve"> cada nível</w:t>
      </w:r>
      <w:r>
        <w:rPr>
          <w:rFonts w:ascii="Times New Roman" w:hAnsi="Times New Roman" w:cs="Times New Roman"/>
        </w:rPr>
        <w:t xml:space="preserve"> </w:t>
      </w:r>
      <w:r w:rsidRPr="002323B5">
        <w:rPr>
          <w:rFonts w:ascii="Times New Roman" w:hAnsi="Times New Roman"/>
        </w:rPr>
        <w:t>pelo teste de Tukey a 5% de significância</w:t>
      </w:r>
      <w:r w:rsidRPr="002323B5">
        <w:rPr>
          <w:rFonts w:ascii="Times New Roman" w:hAnsi="Times New Roman" w:cs="Times New Roman"/>
        </w:rPr>
        <w:t>.</w:t>
      </w:r>
    </w:p>
    <w:p w14:paraId="0ECD188A" w14:textId="2FCBCB6E" w:rsidR="0088671D" w:rsidRPr="002323B5" w:rsidRDefault="0088671D" w:rsidP="002323B5">
      <w:pPr>
        <w:spacing w:after="0" w:line="240" w:lineRule="auto"/>
        <w:ind w:firstLine="708"/>
        <w:jc w:val="both"/>
        <w:rPr>
          <w:rFonts w:ascii="Times New Roman" w:hAnsi="Times New Roman"/>
          <w:sz w:val="24"/>
          <w:szCs w:val="24"/>
        </w:rPr>
      </w:pPr>
      <w:r w:rsidRPr="002323B5">
        <w:rPr>
          <w:rFonts w:ascii="Times New Roman" w:hAnsi="Times New Roman"/>
          <w:sz w:val="24"/>
          <w:szCs w:val="24"/>
        </w:rPr>
        <w:t xml:space="preserve"> </w:t>
      </w:r>
      <w:r w:rsidR="005A1EBF">
        <w:rPr>
          <w:rFonts w:ascii="Times New Roman" w:hAnsi="Times New Roman"/>
          <w:sz w:val="24"/>
          <w:szCs w:val="24"/>
        </w:rPr>
        <w:t>O</w:t>
      </w:r>
      <w:r w:rsidRPr="002323B5">
        <w:rPr>
          <w:rFonts w:ascii="Times New Roman" w:hAnsi="Times New Roman"/>
          <w:sz w:val="24"/>
          <w:szCs w:val="24"/>
        </w:rPr>
        <w:t xml:space="preserve">s valores médios de resistência </w:t>
      </w:r>
      <w:r w:rsidR="003111DB" w:rsidRPr="002323B5">
        <w:rPr>
          <w:rFonts w:ascii="Times New Roman" w:hAnsi="Times New Roman"/>
          <w:sz w:val="24"/>
          <w:szCs w:val="24"/>
        </w:rPr>
        <w:t xml:space="preserve">dos corpos-de-prova </w:t>
      </w:r>
      <w:r w:rsidRPr="002323B5">
        <w:rPr>
          <w:rFonts w:ascii="Times New Roman" w:hAnsi="Times New Roman"/>
          <w:sz w:val="24"/>
          <w:szCs w:val="24"/>
        </w:rPr>
        <w:t>ao rompimento na compressão axial</w:t>
      </w:r>
      <w:r w:rsidR="003111DB">
        <w:rPr>
          <w:rFonts w:ascii="Times New Roman" w:hAnsi="Times New Roman"/>
          <w:sz w:val="24"/>
          <w:szCs w:val="24"/>
        </w:rPr>
        <w:t xml:space="preserve">, podem ser </w:t>
      </w:r>
      <w:r w:rsidR="009C718B">
        <w:rPr>
          <w:rFonts w:ascii="Times New Roman" w:hAnsi="Times New Roman"/>
          <w:sz w:val="24"/>
          <w:szCs w:val="24"/>
        </w:rPr>
        <w:t>visualizados</w:t>
      </w:r>
      <w:r w:rsidR="00894E7D">
        <w:rPr>
          <w:rFonts w:ascii="Times New Roman" w:hAnsi="Times New Roman"/>
          <w:sz w:val="24"/>
          <w:szCs w:val="24"/>
        </w:rPr>
        <w:t xml:space="preserve"> na Figura 3</w:t>
      </w:r>
      <w:r w:rsidR="003111DB">
        <w:rPr>
          <w:rFonts w:ascii="Times New Roman" w:hAnsi="Times New Roman"/>
          <w:sz w:val="24"/>
          <w:szCs w:val="24"/>
        </w:rPr>
        <w:t>.</w:t>
      </w:r>
    </w:p>
    <w:p w14:paraId="6D332FDC" w14:textId="77777777" w:rsidR="001A7538" w:rsidRPr="002323B5" w:rsidRDefault="001A7538" w:rsidP="002323B5">
      <w:pPr>
        <w:spacing w:after="0" w:line="240" w:lineRule="auto"/>
        <w:jc w:val="both"/>
        <w:rPr>
          <w:rFonts w:ascii="Times New Roman" w:hAnsi="Times New Roman"/>
          <w:sz w:val="24"/>
          <w:szCs w:val="24"/>
        </w:rPr>
      </w:pPr>
    </w:p>
    <w:p w14:paraId="5FC000EF" w14:textId="39C0C79E" w:rsidR="001A7538" w:rsidRPr="002323B5" w:rsidRDefault="004D132B" w:rsidP="00701848">
      <w:pPr>
        <w:spacing w:after="0" w:line="240" w:lineRule="auto"/>
        <w:jc w:val="center"/>
        <w:rPr>
          <w:rFonts w:ascii="Times New Roman" w:hAnsi="Times New Roman"/>
          <w:sz w:val="24"/>
          <w:szCs w:val="24"/>
        </w:rPr>
      </w:pPr>
      <w:r w:rsidRPr="002323B5">
        <w:rPr>
          <w:rFonts w:ascii="Times New Roman" w:hAnsi="Times New Roman"/>
          <w:noProof/>
          <w:sz w:val="24"/>
          <w:szCs w:val="24"/>
          <w:lang w:eastAsia="pt-BR"/>
        </w:rPr>
        <w:lastRenderedPageBreak/>
        <w:drawing>
          <wp:inline distT="0" distB="0" distL="0" distR="0" wp14:anchorId="575C9198" wp14:editId="20AD7727">
            <wp:extent cx="4572000" cy="2809875"/>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F0ADF5" w14:textId="77777777" w:rsidR="003111DB" w:rsidRPr="002323B5" w:rsidRDefault="001A7538" w:rsidP="003111DB">
      <w:pPr>
        <w:spacing w:after="0" w:line="240" w:lineRule="auto"/>
        <w:jc w:val="both"/>
        <w:rPr>
          <w:rFonts w:ascii="Times New Roman" w:hAnsi="Times New Roman"/>
          <w:sz w:val="20"/>
          <w:szCs w:val="24"/>
        </w:rPr>
      </w:pPr>
      <w:r w:rsidRPr="002C6C86">
        <w:rPr>
          <w:rFonts w:ascii="Times New Roman" w:hAnsi="Times New Roman"/>
          <w:b/>
          <w:sz w:val="24"/>
          <w:szCs w:val="24"/>
        </w:rPr>
        <w:t xml:space="preserve">Figura </w:t>
      </w:r>
      <w:r w:rsidR="00894E7D">
        <w:rPr>
          <w:rFonts w:ascii="Times New Roman" w:hAnsi="Times New Roman"/>
          <w:b/>
          <w:sz w:val="24"/>
          <w:szCs w:val="24"/>
        </w:rPr>
        <w:t>3</w:t>
      </w:r>
      <w:r w:rsidRPr="002323B5">
        <w:rPr>
          <w:rFonts w:ascii="Times New Roman" w:hAnsi="Times New Roman"/>
          <w:sz w:val="24"/>
          <w:szCs w:val="24"/>
        </w:rPr>
        <w:t xml:space="preserve">. </w:t>
      </w:r>
      <w:r w:rsidR="003111DB" w:rsidRPr="002323B5">
        <w:rPr>
          <w:rFonts w:ascii="Times New Roman" w:hAnsi="Times New Roman"/>
          <w:sz w:val="24"/>
          <w:szCs w:val="24"/>
        </w:rPr>
        <w:t xml:space="preserve">Resistência </w:t>
      </w:r>
      <w:r w:rsidR="003111DB">
        <w:rPr>
          <w:rFonts w:ascii="Times New Roman" w:hAnsi="Times New Roman"/>
          <w:sz w:val="24"/>
          <w:szCs w:val="24"/>
        </w:rPr>
        <w:t>média dos corpos-de-prova para o rompimento</w:t>
      </w:r>
      <w:r w:rsidR="003111DB" w:rsidRPr="002323B5">
        <w:rPr>
          <w:rFonts w:ascii="Times New Roman" w:hAnsi="Times New Roman"/>
          <w:sz w:val="24"/>
          <w:szCs w:val="24"/>
        </w:rPr>
        <w:t>.</w:t>
      </w:r>
      <w:r w:rsidR="003111DB">
        <w:rPr>
          <w:rFonts w:ascii="Times New Roman" w:hAnsi="Times New Roman"/>
          <w:sz w:val="24"/>
          <w:szCs w:val="24"/>
        </w:rPr>
        <w:t xml:space="preserve"> </w:t>
      </w:r>
      <w:r w:rsidR="003111DB" w:rsidRPr="007B4951">
        <w:rPr>
          <w:rFonts w:ascii="Times New Roman" w:hAnsi="Times New Roman"/>
          <w:sz w:val="24"/>
          <w:szCs w:val="24"/>
        </w:rPr>
        <w:t>As letras minúsculas compara</w:t>
      </w:r>
      <w:r w:rsidR="003111DB">
        <w:rPr>
          <w:rFonts w:ascii="Times New Roman" w:hAnsi="Times New Roman"/>
          <w:sz w:val="24"/>
          <w:szCs w:val="24"/>
        </w:rPr>
        <w:t>m os tratamentos (C1, C2, C3, C4) dentro de cada nível (7D e 28D)</w:t>
      </w:r>
      <w:r w:rsidR="003111DB" w:rsidRPr="007B4951">
        <w:rPr>
          <w:rFonts w:ascii="Times New Roman" w:hAnsi="Times New Roman"/>
          <w:sz w:val="24"/>
          <w:szCs w:val="24"/>
        </w:rPr>
        <w:t xml:space="preserve">, e as letras maiúsculas comparam </w:t>
      </w:r>
      <w:r w:rsidR="003111DB">
        <w:rPr>
          <w:rFonts w:ascii="Times New Roman" w:hAnsi="Times New Roman"/>
          <w:sz w:val="24"/>
          <w:szCs w:val="24"/>
        </w:rPr>
        <w:t>os tratamento</w:t>
      </w:r>
      <w:r w:rsidR="00D119CA">
        <w:rPr>
          <w:rFonts w:ascii="Times New Roman" w:hAnsi="Times New Roman"/>
          <w:sz w:val="24"/>
          <w:szCs w:val="24"/>
        </w:rPr>
        <w:t>s</w:t>
      </w:r>
      <w:r w:rsidR="003111DB">
        <w:rPr>
          <w:rFonts w:ascii="Times New Roman" w:hAnsi="Times New Roman"/>
          <w:sz w:val="24"/>
          <w:szCs w:val="24"/>
        </w:rPr>
        <w:t xml:space="preserve"> </w:t>
      </w:r>
      <w:r w:rsidR="003111DB" w:rsidRPr="007B4951">
        <w:rPr>
          <w:rFonts w:ascii="Times New Roman" w:hAnsi="Times New Roman"/>
          <w:sz w:val="24"/>
          <w:szCs w:val="24"/>
        </w:rPr>
        <w:t xml:space="preserve">entre os </w:t>
      </w:r>
      <w:r w:rsidR="003111DB">
        <w:rPr>
          <w:rFonts w:ascii="Times New Roman" w:hAnsi="Times New Roman"/>
          <w:sz w:val="24"/>
          <w:szCs w:val="24"/>
        </w:rPr>
        <w:t>níveis.</w:t>
      </w:r>
    </w:p>
    <w:p w14:paraId="234E87BE" w14:textId="77777777" w:rsidR="003111DB" w:rsidRPr="00701848" w:rsidRDefault="003111DB" w:rsidP="002323B5">
      <w:pPr>
        <w:spacing w:after="0" w:line="240" w:lineRule="auto"/>
        <w:jc w:val="both"/>
        <w:rPr>
          <w:rFonts w:ascii="Times New Roman" w:hAnsi="Times New Roman"/>
          <w:sz w:val="24"/>
          <w:szCs w:val="24"/>
        </w:rPr>
      </w:pPr>
    </w:p>
    <w:p w14:paraId="16BA418B" w14:textId="77777777" w:rsidR="00752341" w:rsidRDefault="008604C9" w:rsidP="00BE5CAA">
      <w:pPr>
        <w:spacing w:after="0" w:line="240" w:lineRule="auto"/>
        <w:ind w:firstLine="708"/>
        <w:jc w:val="both"/>
        <w:rPr>
          <w:rFonts w:ascii="Times New Roman" w:hAnsi="Times New Roman"/>
          <w:sz w:val="24"/>
          <w:szCs w:val="24"/>
        </w:rPr>
      </w:pPr>
      <w:r>
        <w:rPr>
          <w:rFonts w:ascii="Times New Roman" w:hAnsi="Times New Roman"/>
          <w:sz w:val="24"/>
          <w:szCs w:val="24"/>
        </w:rPr>
        <w:t>Neste caso, tanto p</w:t>
      </w:r>
      <w:r w:rsidR="003111DB">
        <w:rPr>
          <w:rFonts w:ascii="Times New Roman" w:hAnsi="Times New Roman"/>
          <w:sz w:val="24"/>
          <w:szCs w:val="24"/>
        </w:rPr>
        <w:t xml:space="preserve">ara os </w:t>
      </w:r>
      <w:r w:rsidR="003111DB" w:rsidRPr="002323B5">
        <w:rPr>
          <w:rFonts w:ascii="Times New Roman" w:hAnsi="Times New Roman"/>
          <w:sz w:val="24"/>
          <w:szCs w:val="24"/>
        </w:rPr>
        <w:t>7</w:t>
      </w:r>
      <w:r>
        <w:rPr>
          <w:rFonts w:ascii="Times New Roman" w:hAnsi="Times New Roman"/>
          <w:sz w:val="24"/>
          <w:szCs w:val="24"/>
        </w:rPr>
        <w:t xml:space="preserve"> dias quanto para os 28 </w:t>
      </w:r>
      <w:r w:rsidR="003111DB" w:rsidRPr="002323B5">
        <w:rPr>
          <w:rFonts w:ascii="Times New Roman" w:hAnsi="Times New Roman"/>
          <w:sz w:val="24"/>
          <w:szCs w:val="24"/>
        </w:rPr>
        <w:t>dias de cura</w:t>
      </w:r>
      <w:r>
        <w:rPr>
          <w:rFonts w:ascii="Times New Roman" w:hAnsi="Times New Roman"/>
          <w:sz w:val="24"/>
          <w:szCs w:val="24"/>
        </w:rPr>
        <w:t>,</w:t>
      </w:r>
      <w:r w:rsidR="003111DB" w:rsidRPr="002323B5">
        <w:rPr>
          <w:rFonts w:ascii="Times New Roman" w:hAnsi="Times New Roman"/>
          <w:sz w:val="24"/>
          <w:szCs w:val="24"/>
        </w:rPr>
        <w:t xml:space="preserve"> o maior valor de resistência </w:t>
      </w:r>
      <w:r w:rsidR="003111DB">
        <w:rPr>
          <w:rFonts w:ascii="Times New Roman" w:hAnsi="Times New Roman"/>
          <w:sz w:val="24"/>
          <w:szCs w:val="24"/>
        </w:rPr>
        <w:t xml:space="preserve">ao rompimento </w:t>
      </w:r>
      <w:r w:rsidR="003111DB" w:rsidRPr="002323B5">
        <w:rPr>
          <w:rFonts w:ascii="Times New Roman" w:hAnsi="Times New Roman"/>
          <w:sz w:val="24"/>
          <w:szCs w:val="24"/>
        </w:rPr>
        <w:t xml:space="preserve">encontrado </w:t>
      </w:r>
      <w:r w:rsidR="003111DB">
        <w:rPr>
          <w:rFonts w:ascii="Times New Roman" w:hAnsi="Times New Roman"/>
          <w:sz w:val="24"/>
          <w:szCs w:val="24"/>
        </w:rPr>
        <w:t xml:space="preserve">foi </w:t>
      </w:r>
      <w:r w:rsidR="003111DB" w:rsidRPr="002323B5">
        <w:rPr>
          <w:rFonts w:ascii="Times New Roman" w:hAnsi="Times New Roman"/>
          <w:sz w:val="24"/>
          <w:szCs w:val="24"/>
        </w:rPr>
        <w:t xml:space="preserve">o </w:t>
      </w:r>
      <w:r w:rsidR="003111DB">
        <w:rPr>
          <w:rFonts w:ascii="Times New Roman" w:hAnsi="Times New Roman"/>
          <w:sz w:val="24"/>
          <w:szCs w:val="24"/>
        </w:rPr>
        <w:t>do tratamento</w:t>
      </w:r>
      <w:r w:rsidR="003111DB" w:rsidRPr="002323B5">
        <w:rPr>
          <w:rFonts w:ascii="Times New Roman" w:hAnsi="Times New Roman"/>
          <w:sz w:val="24"/>
          <w:szCs w:val="24"/>
        </w:rPr>
        <w:t xml:space="preserve"> C1</w:t>
      </w:r>
      <w:r w:rsidR="003111DB">
        <w:rPr>
          <w:rFonts w:ascii="Times New Roman" w:hAnsi="Times New Roman"/>
          <w:sz w:val="24"/>
          <w:szCs w:val="24"/>
        </w:rPr>
        <w:t xml:space="preserve"> (0%)</w:t>
      </w:r>
      <w:r w:rsidR="003111DB" w:rsidRPr="002323B5">
        <w:rPr>
          <w:rFonts w:ascii="Times New Roman" w:hAnsi="Times New Roman"/>
          <w:sz w:val="24"/>
          <w:szCs w:val="24"/>
        </w:rPr>
        <w:t xml:space="preserve">, diminuído gradativamente conforme se aumentou a taxa de CBCA. </w:t>
      </w:r>
      <w:r w:rsidR="003111DB">
        <w:rPr>
          <w:rFonts w:ascii="Times New Roman" w:hAnsi="Times New Roman"/>
          <w:sz w:val="24"/>
          <w:szCs w:val="24"/>
        </w:rPr>
        <w:t>Sendo que os tratamentos C2 (10%) e C3 (20%)</w:t>
      </w:r>
      <w:r w:rsidR="005C2B88" w:rsidRPr="002323B5">
        <w:rPr>
          <w:rFonts w:ascii="Times New Roman" w:hAnsi="Times New Roman"/>
          <w:sz w:val="24"/>
          <w:szCs w:val="24"/>
        </w:rPr>
        <w:t xml:space="preserve">, mostraram-se </w:t>
      </w:r>
      <w:r w:rsidR="00246730" w:rsidRPr="002323B5">
        <w:rPr>
          <w:rFonts w:ascii="Times New Roman" w:hAnsi="Times New Roman"/>
          <w:sz w:val="24"/>
          <w:szCs w:val="24"/>
        </w:rPr>
        <w:t xml:space="preserve">estatisticamente iguais. </w:t>
      </w:r>
    </w:p>
    <w:p w14:paraId="027129D9" w14:textId="5C31D3B3" w:rsidR="00C64B80" w:rsidRDefault="00752341" w:rsidP="00D119CA">
      <w:pPr>
        <w:spacing w:after="0" w:line="240" w:lineRule="auto"/>
        <w:ind w:firstLine="708"/>
        <w:jc w:val="both"/>
        <w:rPr>
          <w:rFonts w:ascii="Times New Roman" w:hAnsi="Times New Roman"/>
          <w:sz w:val="24"/>
          <w:szCs w:val="24"/>
        </w:rPr>
      </w:pPr>
      <w:r>
        <w:rPr>
          <w:rFonts w:ascii="Times New Roman" w:hAnsi="Times New Roman"/>
          <w:sz w:val="24"/>
          <w:szCs w:val="24"/>
        </w:rPr>
        <w:t>Estes resultados corroboram com</w:t>
      </w:r>
      <w:r w:rsidR="00D119CA">
        <w:rPr>
          <w:rFonts w:ascii="Times New Roman" w:hAnsi="Times New Roman"/>
          <w:sz w:val="24"/>
          <w:szCs w:val="24"/>
        </w:rPr>
        <w:t xml:space="preserve"> o que descrevem</w:t>
      </w:r>
      <w:r w:rsidRPr="0060025C">
        <w:rPr>
          <w:rFonts w:ascii="Times New Roman" w:hAnsi="Times New Roman"/>
          <w:sz w:val="24"/>
          <w:szCs w:val="24"/>
        </w:rPr>
        <w:t xml:space="preserve"> Paula et al. (2010)</w:t>
      </w:r>
      <w:r>
        <w:rPr>
          <w:rFonts w:ascii="Times New Roman" w:hAnsi="Times New Roman"/>
          <w:sz w:val="24"/>
          <w:szCs w:val="24"/>
        </w:rPr>
        <w:t xml:space="preserve"> e</w:t>
      </w:r>
      <w:r w:rsidRPr="0060025C">
        <w:rPr>
          <w:rFonts w:ascii="Times New Roman" w:hAnsi="Times New Roman"/>
          <w:sz w:val="24"/>
          <w:szCs w:val="24"/>
        </w:rPr>
        <w:t xml:space="preserve"> Nunes et al. (2008)</w:t>
      </w:r>
      <w:r>
        <w:rPr>
          <w:rFonts w:ascii="Times New Roman" w:hAnsi="Times New Roman"/>
          <w:sz w:val="24"/>
          <w:szCs w:val="24"/>
        </w:rPr>
        <w:t xml:space="preserve">, onde </w:t>
      </w:r>
      <w:r w:rsidRPr="0060025C">
        <w:rPr>
          <w:rFonts w:ascii="Times New Roman" w:hAnsi="Times New Roman"/>
          <w:sz w:val="24"/>
          <w:szCs w:val="24"/>
        </w:rPr>
        <w:t xml:space="preserve">o aumento da taxa de CBCA em substituição do cimento Portland </w:t>
      </w:r>
      <w:r>
        <w:rPr>
          <w:rFonts w:ascii="Times New Roman" w:hAnsi="Times New Roman"/>
          <w:sz w:val="24"/>
          <w:szCs w:val="24"/>
        </w:rPr>
        <w:t>foi</w:t>
      </w:r>
      <w:r w:rsidRPr="0060025C">
        <w:rPr>
          <w:rFonts w:ascii="Times New Roman" w:hAnsi="Times New Roman"/>
          <w:sz w:val="24"/>
          <w:szCs w:val="24"/>
        </w:rPr>
        <w:t xml:space="preserve"> inversamente proporcional a resistência a compressão axial.</w:t>
      </w:r>
      <w:r>
        <w:rPr>
          <w:rFonts w:ascii="Times New Roman" w:hAnsi="Times New Roman"/>
          <w:sz w:val="24"/>
          <w:szCs w:val="24"/>
        </w:rPr>
        <w:t xml:space="preserve"> </w:t>
      </w:r>
      <w:r w:rsidR="00D119CA">
        <w:rPr>
          <w:rFonts w:ascii="Times New Roman" w:hAnsi="Times New Roman"/>
          <w:sz w:val="24"/>
          <w:szCs w:val="24"/>
        </w:rPr>
        <w:t>A</w:t>
      </w:r>
      <w:r w:rsidR="00246730" w:rsidRPr="002323B5">
        <w:rPr>
          <w:rFonts w:ascii="Times New Roman" w:hAnsi="Times New Roman"/>
          <w:sz w:val="24"/>
          <w:szCs w:val="24"/>
        </w:rPr>
        <w:t>ssemelham</w:t>
      </w:r>
      <w:r>
        <w:rPr>
          <w:rFonts w:ascii="Times New Roman" w:hAnsi="Times New Roman"/>
          <w:sz w:val="24"/>
          <w:szCs w:val="24"/>
        </w:rPr>
        <w:t>-se</w:t>
      </w:r>
      <w:r w:rsidR="00D119CA">
        <w:rPr>
          <w:rFonts w:ascii="Times New Roman" w:hAnsi="Times New Roman"/>
          <w:sz w:val="24"/>
          <w:szCs w:val="24"/>
        </w:rPr>
        <w:t xml:space="preserve"> também</w:t>
      </w:r>
      <w:r w:rsidR="00246730" w:rsidRPr="002323B5">
        <w:rPr>
          <w:rFonts w:ascii="Times New Roman" w:hAnsi="Times New Roman"/>
          <w:sz w:val="24"/>
          <w:szCs w:val="24"/>
        </w:rPr>
        <w:t xml:space="preserve"> aos obtidos por Paula et al. (2009</w:t>
      </w:r>
      <w:r>
        <w:rPr>
          <w:rFonts w:ascii="Times New Roman" w:hAnsi="Times New Roman"/>
          <w:sz w:val="24"/>
          <w:szCs w:val="24"/>
        </w:rPr>
        <w:t>, 2010</w:t>
      </w:r>
      <w:r w:rsidR="00246730" w:rsidRPr="002323B5">
        <w:rPr>
          <w:rFonts w:ascii="Times New Roman" w:hAnsi="Times New Roman"/>
          <w:sz w:val="24"/>
          <w:szCs w:val="24"/>
        </w:rPr>
        <w:t>), que ao estudarem misturas de CBCA em substituição do cimento Portland em argamassas</w:t>
      </w:r>
      <w:r w:rsidR="008604C9">
        <w:rPr>
          <w:rFonts w:ascii="Times New Roman" w:hAnsi="Times New Roman"/>
          <w:sz w:val="24"/>
          <w:szCs w:val="24"/>
        </w:rPr>
        <w:t>,</w:t>
      </w:r>
      <w:r w:rsidR="00246730" w:rsidRPr="002323B5">
        <w:rPr>
          <w:rFonts w:ascii="Times New Roman" w:hAnsi="Times New Roman"/>
          <w:sz w:val="24"/>
          <w:szCs w:val="24"/>
        </w:rPr>
        <w:t xml:space="preserve"> concluíram que </w:t>
      </w:r>
      <w:r w:rsidR="00EF2B6A" w:rsidRPr="002323B5">
        <w:rPr>
          <w:rFonts w:ascii="Times New Roman" w:hAnsi="Times New Roman"/>
          <w:sz w:val="24"/>
          <w:szCs w:val="24"/>
        </w:rPr>
        <w:t>a adição de até 20% de cinzas não compromete</w:t>
      </w:r>
      <w:r w:rsidR="00246730" w:rsidRPr="002323B5">
        <w:rPr>
          <w:rFonts w:ascii="Times New Roman" w:hAnsi="Times New Roman"/>
          <w:sz w:val="24"/>
          <w:szCs w:val="24"/>
        </w:rPr>
        <w:t xml:space="preserve"> a resistência à compressão. Neste estudo, os autores determinaram a igualdade </w:t>
      </w:r>
      <w:r w:rsidR="00EF2B6A" w:rsidRPr="002323B5">
        <w:rPr>
          <w:rFonts w:ascii="Times New Roman" w:hAnsi="Times New Roman"/>
          <w:sz w:val="24"/>
          <w:szCs w:val="24"/>
        </w:rPr>
        <w:t xml:space="preserve">estatística </w:t>
      </w:r>
      <w:r w:rsidR="00246730" w:rsidRPr="002323B5">
        <w:rPr>
          <w:rFonts w:ascii="Times New Roman" w:hAnsi="Times New Roman"/>
          <w:sz w:val="24"/>
          <w:szCs w:val="24"/>
        </w:rPr>
        <w:t>entre o tratamento de referência (0%) e</w:t>
      </w:r>
      <w:r w:rsidR="00EF2B6A" w:rsidRPr="002323B5">
        <w:rPr>
          <w:rFonts w:ascii="Times New Roman" w:hAnsi="Times New Roman"/>
          <w:sz w:val="24"/>
          <w:szCs w:val="24"/>
        </w:rPr>
        <w:t xml:space="preserve"> os tratamentos</w:t>
      </w:r>
      <w:r w:rsidR="00246730" w:rsidRPr="002323B5">
        <w:rPr>
          <w:rFonts w:ascii="Times New Roman" w:hAnsi="Times New Roman"/>
          <w:sz w:val="24"/>
          <w:szCs w:val="24"/>
        </w:rPr>
        <w:t xml:space="preserve"> com adição de 10% e 20% de CBCA.</w:t>
      </w:r>
    </w:p>
    <w:p w14:paraId="7E9363BF" w14:textId="4A145487" w:rsidR="00864A08" w:rsidRPr="002323B5" w:rsidRDefault="00864A08" w:rsidP="00A42117">
      <w:pPr>
        <w:spacing w:after="0" w:line="240" w:lineRule="auto"/>
        <w:ind w:firstLine="708"/>
        <w:jc w:val="both"/>
        <w:rPr>
          <w:rFonts w:ascii="Times New Roman" w:hAnsi="Times New Roman"/>
          <w:sz w:val="24"/>
          <w:szCs w:val="24"/>
        </w:rPr>
      </w:pPr>
      <w:r>
        <w:rPr>
          <w:rFonts w:ascii="Times New Roman" w:hAnsi="Times New Roman"/>
          <w:sz w:val="24"/>
          <w:szCs w:val="24"/>
        </w:rPr>
        <w:t>Conforme Nunes et al.</w:t>
      </w:r>
      <w:r w:rsidR="00FE3937">
        <w:rPr>
          <w:rFonts w:ascii="Times New Roman" w:hAnsi="Times New Roman"/>
          <w:sz w:val="24"/>
          <w:szCs w:val="24"/>
        </w:rPr>
        <w:t xml:space="preserve"> (2008), </w:t>
      </w:r>
      <w:r w:rsidR="00546403">
        <w:rPr>
          <w:rFonts w:ascii="Times New Roman" w:hAnsi="Times New Roman"/>
          <w:sz w:val="24"/>
          <w:szCs w:val="24"/>
        </w:rPr>
        <w:t>valores de</w:t>
      </w:r>
      <w:r w:rsidR="00C71482">
        <w:rPr>
          <w:rFonts w:ascii="Times New Roman" w:hAnsi="Times New Roman"/>
          <w:sz w:val="24"/>
          <w:szCs w:val="24"/>
        </w:rPr>
        <w:t xml:space="preserve"> substituição da</w:t>
      </w:r>
      <w:r w:rsidR="00546403">
        <w:rPr>
          <w:rFonts w:ascii="Times New Roman" w:hAnsi="Times New Roman"/>
          <w:sz w:val="24"/>
          <w:szCs w:val="24"/>
        </w:rPr>
        <w:t xml:space="preserve"> CBCA </w:t>
      </w:r>
      <w:r w:rsidR="00C71482">
        <w:rPr>
          <w:rFonts w:ascii="Times New Roman" w:hAnsi="Times New Roman"/>
          <w:sz w:val="24"/>
          <w:szCs w:val="24"/>
        </w:rPr>
        <w:t>em até 13%</w:t>
      </w:r>
      <w:r w:rsidR="009C67AB">
        <w:rPr>
          <w:rFonts w:ascii="Times New Roman" w:hAnsi="Times New Roman"/>
          <w:sz w:val="24"/>
          <w:szCs w:val="24"/>
        </w:rPr>
        <w:t xml:space="preserve"> proporciona </w:t>
      </w:r>
      <w:r w:rsidR="003757FB">
        <w:rPr>
          <w:rFonts w:ascii="Times New Roman" w:hAnsi="Times New Roman"/>
          <w:sz w:val="24"/>
          <w:szCs w:val="24"/>
        </w:rPr>
        <w:t>um ganho considerável de resistência</w:t>
      </w:r>
      <w:r w:rsidR="00866367">
        <w:rPr>
          <w:rFonts w:ascii="Times New Roman" w:hAnsi="Times New Roman"/>
          <w:sz w:val="24"/>
          <w:szCs w:val="24"/>
        </w:rPr>
        <w:t>, sendo que acima deste valor a tendência é de diminuição da resistência</w:t>
      </w:r>
      <w:r w:rsidR="00681B75">
        <w:rPr>
          <w:rFonts w:ascii="Times New Roman" w:hAnsi="Times New Roman"/>
          <w:sz w:val="24"/>
          <w:szCs w:val="24"/>
        </w:rPr>
        <w:t>, destacando a taxa de 7% como a melhor substituição.</w:t>
      </w:r>
      <w:r w:rsidR="001C1065">
        <w:rPr>
          <w:rFonts w:ascii="Times New Roman" w:hAnsi="Times New Roman"/>
          <w:sz w:val="24"/>
          <w:szCs w:val="24"/>
        </w:rPr>
        <w:t xml:space="preserve"> </w:t>
      </w:r>
      <w:r w:rsidR="00A83F7C">
        <w:rPr>
          <w:rFonts w:ascii="Times New Roman" w:hAnsi="Times New Roman"/>
          <w:sz w:val="24"/>
          <w:szCs w:val="24"/>
        </w:rPr>
        <w:t>Os autores destacam que o ganho de resistência logo na idade inicial de sete dias</w:t>
      </w:r>
      <w:r w:rsidR="00A42117">
        <w:rPr>
          <w:rFonts w:ascii="Times New Roman" w:hAnsi="Times New Roman"/>
          <w:sz w:val="24"/>
          <w:szCs w:val="24"/>
        </w:rPr>
        <w:t xml:space="preserve">, </w:t>
      </w:r>
      <w:r w:rsidR="00A42117" w:rsidRPr="00A42117">
        <w:rPr>
          <w:rFonts w:ascii="Times New Roman" w:hAnsi="Times New Roman"/>
          <w:sz w:val="24"/>
          <w:szCs w:val="24"/>
        </w:rPr>
        <w:t>pode ser explicado devido ao preenchimento do espaço entre as partículas grossas por</w:t>
      </w:r>
      <w:r w:rsidR="00A42117">
        <w:rPr>
          <w:rFonts w:ascii="Times New Roman" w:hAnsi="Times New Roman"/>
          <w:sz w:val="24"/>
          <w:szCs w:val="24"/>
        </w:rPr>
        <w:t xml:space="preserve"> </w:t>
      </w:r>
      <w:r w:rsidR="00A42117" w:rsidRPr="00A42117">
        <w:rPr>
          <w:rFonts w:ascii="Times New Roman" w:hAnsi="Times New Roman"/>
          <w:sz w:val="24"/>
          <w:szCs w:val="24"/>
        </w:rPr>
        <w:t>partículas finas.</w:t>
      </w:r>
    </w:p>
    <w:p w14:paraId="4A5F0DB9" w14:textId="36E979E9" w:rsidR="00D74A34" w:rsidRPr="002323B5" w:rsidRDefault="00D74A34" w:rsidP="002323B5">
      <w:pPr>
        <w:spacing w:after="0" w:line="240" w:lineRule="auto"/>
        <w:jc w:val="both"/>
        <w:rPr>
          <w:rFonts w:ascii="Times New Roman" w:hAnsi="Times New Roman"/>
          <w:sz w:val="24"/>
          <w:szCs w:val="24"/>
        </w:rPr>
      </w:pPr>
      <w:r w:rsidRPr="002323B5">
        <w:rPr>
          <w:rFonts w:ascii="Times New Roman" w:hAnsi="Times New Roman"/>
          <w:sz w:val="24"/>
          <w:szCs w:val="24"/>
        </w:rPr>
        <w:tab/>
      </w:r>
      <w:r w:rsidR="00752341">
        <w:rPr>
          <w:rFonts w:ascii="Times New Roman" w:hAnsi="Times New Roman"/>
          <w:sz w:val="24"/>
          <w:szCs w:val="24"/>
        </w:rPr>
        <w:t>A</w:t>
      </w:r>
      <w:r w:rsidRPr="002323B5">
        <w:rPr>
          <w:rFonts w:ascii="Times New Roman" w:hAnsi="Times New Roman"/>
          <w:sz w:val="24"/>
          <w:szCs w:val="24"/>
        </w:rPr>
        <w:t xml:space="preserve"> maior proximidade dos valores médios da resistência a compressão dos </w:t>
      </w:r>
      <w:proofErr w:type="spellStart"/>
      <w:r w:rsidR="00D119CA">
        <w:rPr>
          <w:rFonts w:ascii="Times New Roman" w:hAnsi="Times New Roman"/>
          <w:sz w:val="24"/>
          <w:szCs w:val="24"/>
        </w:rPr>
        <w:t>CP’s</w:t>
      </w:r>
      <w:proofErr w:type="spellEnd"/>
      <w:r w:rsidRPr="002323B5">
        <w:rPr>
          <w:rFonts w:ascii="Times New Roman" w:hAnsi="Times New Roman"/>
          <w:sz w:val="24"/>
          <w:szCs w:val="24"/>
        </w:rPr>
        <w:t xml:space="preserve"> com </w:t>
      </w:r>
      <w:r w:rsidR="008604C9">
        <w:rPr>
          <w:rFonts w:ascii="Times New Roman" w:hAnsi="Times New Roman"/>
          <w:sz w:val="24"/>
          <w:szCs w:val="24"/>
        </w:rPr>
        <w:t>28</w:t>
      </w:r>
      <w:r w:rsidRPr="002323B5">
        <w:rPr>
          <w:rFonts w:ascii="Times New Roman" w:hAnsi="Times New Roman"/>
          <w:sz w:val="24"/>
          <w:szCs w:val="24"/>
        </w:rPr>
        <w:t xml:space="preserve"> dias de cura é devido a atividade </w:t>
      </w:r>
      <w:proofErr w:type="spellStart"/>
      <w:r w:rsidRPr="002323B5">
        <w:rPr>
          <w:rFonts w:ascii="Times New Roman" w:hAnsi="Times New Roman"/>
          <w:sz w:val="24"/>
          <w:szCs w:val="24"/>
        </w:rPr>
        <w:t>pozolânica</w:t>
      </w:r>
      <w:proofErr w:type="spellEnd"/>
      <w:r w:rsidRPr="002323B5">
        <w:rPr>
          <w:rFonts w:ascii="Times New Roman" w:hAnsi="Times New Roman"/>
          <w:sz w:val="24"/>
          <w:szCs w:val="24"/>
        </w:rPr>
        <w:t xml:space="preserve"> da CBCA, que inicia sua atividade entre o </w:t>
      </w:r>
      <w:r w:rsidR="008604C9">
        <w:rPr>
          <w:rFonts w:ascii="Times New Roman" w:hAnsi="Times New Roman"/>
          <w:sz w:val="24"/>
          <w:szCs w:val="24"/>
        </w:rPr>
        <w:t>7º</w:t>
      </w:r>
      <w:r w:rsidR="008604C9" w:rsidRPr="002323B5">
        <w:rPr>
          <w:rFonts w:ascii="Times New Roman" w:hAnsi="Times New Roman"/>
          <w:sz w:val="24"/>
          <w:szCs w:val="24"/>
        </w:rPr>
        <w:t xml:space="preserve"> </w:t>
      </w:r>
      <w:r w:rsidRPr="002323B5">
        <w:rPr>
          <w:rFonts w:ascii="Times New Roman" w:hAnsi="Times New Roman"/>
          <w:sz w:val="24"/>
          <w:szCs w:val="24"/>
        </w:rPr>
        <w:t xml:space="preserve">e o </w:t>
      </w:r>
      <w:r w:rsidR="008604C9">
        <w:rPr>
          <w:rFonts w:ascii="Times New Roman" w:hAnsi="Times New Roman"/>
          <w:sz w:val="24"/>
          <w:szCs w:val="24"/>
        </w:rPr>
        <w:t>15º</w:t>
      </w:r>
      <w:r w:rsidRPr="002323B5">
        <w:rPr>
          <w:rFonts w:ascii="Times New Roman" w:hAnsi="Times New Roman"/>
          <w:sz w:val="24"/>
          <w:szCs w:val="24"/>
        </w:rPr>
        <w:t xml:space="preserve"> </w:t>
      </w:r>
      <w:r w:rsidR="00752341">
        <w:rPr>
          <w:rFonts w:ascii="Times New Roman" w:hAnsi="Times New Roman"/>
          <w:sz w:val="24"/>
          <w:szCs w:val="24"/>
        </w:rPr>
        <w:t>dia (</w:t>
      </w:r>
      <w:r w:rsidR="00DA6CEB">
        <w:rPr>
          <w:rFonts w:ascii="Times New Roman" w:hAnsi="Times New Roman"/>
          <w:sz w:val="24"/>
          <w:szCs w:val="24"/>
        </w:rPr>
        <w:t xml:space="preserve">PAULA </w:t>
      </w:r>
      <w:r w:rsidR="00752341">
        <w:rPr>
          <w:rFonts w:ascii="Times New Roman" w:hAnsi="Times New Roman"/>
          <w:sz w:val="24"/>
          <w:szCs w:val="24"/>
        </w:rPr>
        <w:t>et al.</w:t>
      </w:r>
      <w:r w:rsidR="00D119CA">
        <w:rPr>
          <w:rFonts w:ascii="Times New Roman" w:hAnsi="Times New Roman"/>
          <w:sz w:val="24"/>
          <w:szCs w:val="24"/>
        </w:rPr>
        <w:t>,</w:t>
      </w:r>
      <w:r w:rsidR="00752341">
        <w:rPr>
          <w:rFonts w:ascii="Times New Roman" w:hAnsi="Times New Roman"/>
          <w:sz w:val="24"/>
          <w:szCs w:val="24"/>
        </w:rPr>
        <w:t xml:space="preserve"> </w:t>
      </w:r>
      <w:r w:rsidR="00752341" w:rsidRPr="002323B5">
        <w:rPr>
          <w:rFonts w:ascii="Times New Roman" w:hAnsi="Times New Roman"/>
          <w:sz w:val="24"/>
          <w:szCs w:val="24"/>
        </w:rPr>
        <w:t>2010)</w:t>
      </w:r>
      <w:r w:rsidRPr="002323B5">
        <w:rPr>
          <w:rFonts w:ascii="Times New Roman" w:hAnsi="Times New Roman"/>
          <w:sz w:val="24"/>
          <w:szCs w:val="24"/>
        </w:rPr>
        <w:t>.</w:t>
      </w:r>
      <w:r w:rsidR="00DA6CEB">
        <w:rPr>
          <w:rFonts w:ascii="Times New Roman" w:hAnsi="Times New Roman"/>
          <w:sz w:val="24"/>
          <w:szCs w:val="24"/>
        </w:rPr>
        <w:t xml:space="preserve"> Este fator explica também a </w:t>
      </w:r>
      <w:r w:rsidR="003D5C63">
        <w:rPr>
          <w:rFonts w:ascii="Times New Roman" w:hAnsi="Times New Roman"/>
          <w:sz w:val="24"/>
          <w:szCs w:val="24"/>
        </w:rPr>
        <w:t>pouca variação que houve entre o sétimo e o vigésimo oitavo dia de cura.</w:t>
      </w:r>
    </w:p>
    <w:p w14:paraId="3B9E4C46" w14:textId="77777777" w:rsidR="00EF2B6A" w:rsidRPr="002323B5" w:rsidRDefault="00246730" w:rsidP="002323B5">
      <w:pPr>
        <w:spacing w:after="0" w:line="240" w:lineRule="auto"/>
        <w:jc w:val="both"/>
        <w:rPr>
          <w:rFonts w:ascii="Times New Roman" w:hAnsi="Times New Roman"/>
          <w:sz w:val="24"/>
          <w:szCs w:val="24"/>
        </w:rPr>
      </w:pPr>
      <w:r w:rsidRPr="002323B5">
        <w:rPr>
          <w:rFonts w:ascii="Times New Roman" w:hAnsi="Times New Roman"/>
          <w:sz w:val="24"/>
          <w:szCs w:val="24"/>
        </w:rPr>
        <w:tab/>
        <w:t xml:space="preserve">Pode-se observar na Figura </w:t>
      </w:r>
      <w:r w:rsidR="00894E7D">
        <w:rPr>
          <w:rFonts w:ascii="Times New Roman" w:hAnsi="Times New Roman"/>
          <w:sz w:val="24"/>
          <w:szCs w:val="24"/>
        </w:rPr>
        <w:t>3</w:t>
      </w:r>
      <w:r w:rsidRPr="002323B5">
        <w:rPr>
          <w:rFonts w:ascii="Times New Roman" w:hAnsi="Times New Roman"/>
          <w:sz w:val="24"/>
          <w:szCs w:val="24"/>
        </w:rPr>
        <w:t xml:space="preserve"> que apenas o tratamento C4</w:t>
      </w:r>
      <w:r w:rsidR="008604C9">
        <w:rPr>
          <w:rFonts w:ascii="Times New Roman" w:hAnsi="Times New Roman"/>
          <w:sz w:val="24"/>
          <w:szCs w:val="24"/>
        </w:rPr>
        <w:t xml:space="preserve"> (50%)</w:t>
      </w:r>
      <w:r w:rsidRPr="002323B5">
        <w:rPr>
          <w:rFonts w:ascii="Times New Roman" w:hAnsi="Times New Roman"/>
          <w:sz w:val="24"/>
          <w:szCs w:val="24"/>
        </w:rPr>
        <w:t xml:space="preserve">, manteve-se estatisticamente igual entre os dias de cura, ou seja, a resistência à compressão para o rompimento não foi alterada com </w:t>
      </w:r>
      <w:r w:rsidR="008604C9">
        <w:rPr>
          <w:rFonts w:ascii="Times New Roman" w:hAnsi="Times New Roman"/>
          <w:sz w:val="24"/>
          <w:szCs w:val="24"/>
        </w:rPr>
        <w:t>7</w:t>
      </w:r>
      <w:r w:rsidR="008604C9" w:rsidRPr="002323B5">
        <w:rPr>
          <w:rFonts w:ascii="Times New Roman" w:hAnsi="Times New Roman"/>
          <w:sz w:val="24"/>
          <w:szCs w:val="24"/>
        </w:rPr>
        <w:t xml:space="preserve"> </w:t>
      </w:r>
      <w:r w:rsidRPr="002323B5">
        <w:rPr>
          <w:rFonts w:ascii="Times New Roman" w:hAnsi="Times New Roman"/>
          <w:sz w:val="24"/>
          <w:szCs w:val="24"/>
        </w:rPr>
        <w:t xml:space="preserve">e </w:t>
      </w:r>
      <w:r w:rsidR="00405650">
        <w:rPr>
          <w:rFonts w:ascii="Times New Roman" w:hAnsi="Times New Roman"/>
          <w:sz w:val="24"/>
          <w:szCs w:val="24"/>
        </w:rPr>
        <w:t>28</w:t>
      </w:r>
      <w:r w:rsidRPr="002323B5">
        <w:rPr>
          <w:rFonts w:ascii="Times New Roman" w:hAnsi="Times New Roman"/>
          <w:sz w:val="24"/>
          <w:szCs w:val="24"/>
        </w:rPr>
        <w:t xml:space="preserve"> dias</w:t>
      </w:r>
      <w:r w:rsidR="00405650">
        <w:rPr>
          <w:rFonts w:ascii="Times New Roman" w:hAnsi="Times New Roman"/>
          <w:sz w:val="24"/>
          <w:szCs w:val="24"/>
        </w:rPr>
        <w:t xml:space="preserve"> de idade</w:t>
      </w:r>
      <w:r w:rsidRPr="002323B5">
        <w:rPr>
          <w:rFonts w:ascii="Times New Roman" w:hAnsi="Times New Roman"/>
          <w:sz w:val="24"/>
          <w:szCs w:val="24"/>
        </w:rPr>
        <w:t>.</w:t>
      </w:r>
      <w:r w:rsidR="00EF2B6A" w:rsidRPr="002323B5">
        <w:rPr>
          <w:rFonts w:ascii="Times New Roman" w:hAnsi="Times New Roman"/>
          <w:sz w:val="24"/>
          <w:szCs w:val="24"/>
        </w:rPr>
        <w:t xml:space="preserve"> No </w:t>
      </w:r>
      <w:r w:rsidR="00405650">
        <w:rPr>
          <w:rFonts w:ascii="Times New Roman" w:hAnsi="Times New Roman"/>
          <w:sz w:val="24"/>
          <w:szCs w:val="24"/>
        </w:rPr>
        <w:t>estudo</w:t>
      </w:r>
      <w:r w:rsidR="00405650" w:rsidRPr="002323B5">
        <w:rPr>
          <w:rFonts w:ascii="Times New Roman" w:hAnsi="Times New Roman"/>
          <w:sz w:val="24"/>
          <w:szCs w:val="24"/>
        </w:rPr>
        <w:t xml:space="preserve"> </w:t>
      </w:r>
      <w:r w:rsidR="00EF2B6A" w:rsidRPr="002323B5">
        <w:rPr>
          <w:rFonts w:ascii="Times New Roman" w:hAnsi="Times New Roman"/>
          <w:sz w:val="24"/>
          <w:szCs w:val="24"/>
        </w:rPr>
        <w:t xml:space="preserve">de Paula et al. (2010), o tratamento correspondente de 30% de substituição do concreto por CBCA </w:t>
      </w:r>
      <w:r w:rsidR="00405650">
        <w:rPr>
          <w:rFonts w:ascii="Times New Roman" w:hAnsi="Times New Roman"/>
          <w:sz w:val="24"/>
          <w:szCs w:val="24"/>
        </w:rPr>
        <w:t xml:space="preserve">não apresentou </w:t>
      </w:r>
      <w:r w:rsidR="00EF2B6A" w:rsidRPr="002323B5">
        <w:rPr>
          <w:rFonts w:ascii="Times New Roman" w:hAnsi="Times New Roman"/>
          <w:sz w:val="24"/>
          <w:szCs w:val="24"/>
        </w:rPr>
        <w:t xml:space="preserve">diferença estatística </w:t>
      </w:r>
      <w:r w:rsidR="00405650">
        <w:rPr>
          <w:rFonts w:ascii="Times New Roman" w:hAnsi="Times New Roman"/>
          <w:sz w:val="24"/>
          <w:szCs w:val="24"/>
        </w:rPr>
        <w:t>ao</w:t>
      </w:r>
      <w:r w:rsidR="00405650" w:rsidRPr="002323B5">
        <w:rPr>
          <w:rFonts w:ascii="Times New Roman" w:hAnsi="Times New Roman"/>
          <w:sz w:val="24"/>
          <w:szCs w:val="24"/>
        </w:rPr>
        <w:t xml:space="preserve"> </w:t>
      </w:r>
      <w:r w:rsidR="00EF2B6A" w:rsidRPr="002323B5">
        <w:rPr>
          <w:rFonts w:ascii="Times New Roman" w:hAnsi="Times New Roman"/>
          <w:sz w:val="24"/>
          <w:szCs w:val="24"/>
        </w:rPr>
        <w:t>compar</w:t>
      </w:r>
      <w:r w:rsidR="00D119CA">
        <w:rPr>
          <w:rFonts w:ascii="Times New Roman" w:hAnsi="Times New Roman"/>
          <w:sz w:val="24"/>
          <w:szCs w:val="24"/>
        </w:rPr>
        <w:t>ar</w:t>
      </w:r>
      <w:r w:rsidR="00EF2B6A" w:rsidRPr="002323B5">
        <w:rPr>
          <w:rFonts w:ascii="Times New Roman" w:hAnsi="Times New Roman"/>
          <w:sz w:val="24"/>
          <w:szCs w:val="24"/>
        </w:rPr>
        <w:t xml:space="preserve"> a resistência a compressão </w:t>
      </w:r>
      <w:r w:rsidR="00405650">
        <w:rPr>
          <w:rFonts w:ascii="Times New Roman" w:hAnsi="Times New Roman"/>
          <w:sz w:val="24"/>
          <w:szCs w:val="24"/>
        </w:rPr>
        <w:t xml:space="preserve">de corpos-de-prova </w:t>
      </w:r>
      <w:r w:rsidR="00EF2B6A" w:rsidRPr="002323B5">
        <w:rPr>
          <w:rFonts w:ascii="Times New Roman" w:hAnsi="Times New Roman"/>
          <w:sz w:val="24"/>
          <w:szCs w:val="24"/>
        </w:rPr>
        <w:t xml:space="preserve">com 7 e 28 dias de cura. </w:t>
      </w:r>
    </w:p>
    <w:p w14:paraId="42E0F0A5" w14:textId="77777777" w:rsidR="00C64B80" w:rsidRPr="009C718B" w:rsidRDefault="00752341" w:rsidP="00BE5CAA">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 xml:space="preserve">Porém, </w:t>
      </w:r>
      <w:r w:rsidR="00C64B80" w:rsidRPr="002323B5">
        <w:rPr>
          <w:rFonts w:ascii="Times New Roman" w:hAnsi="Times New Roman"/>
          <w:sz w:val="24"/>
          <w:szCs w:val="24"/>
        </w:rPr>
        <w:t>Cordeiro et al. (2010) relataram</w:t>
      </w:r>
      <w:r w:rsidR="00C64B80" w:rsidRPr="0060025C">
        <w:rPr>
          <w:rFonts w:ascii="Times New Roman" w:hAnsi="Times New Roman"/>
          <w:sz w:val="24"/>
          <w:szCs w:val="24"/>
        </w:rPr>
        <w:t xml:space="preserve"> o aumento da resistência à compressão, com dosagens de até 20% de substituição do cimento em concretos de alto desempenho, </w:t>
      </w:r>
      <w:r w:rsidR="00C64B80" w:rsidRPr="0060025C">
        <w:rPr>
          <w:rFonts w:ascii="Times New Roman" w:hAnsi="Times New Roman"/>
          <w:sz w:val="24"/>
          <w:szCs w:val="24"/>
        </w:rPr>
        <w:lastRenderedPageBreak/>
        <w:t xml:space="preserve">com adição de </w:t>
      </w:r>
      <w:r w:rsidR="00AE48C4">
        <w:rPr>
          <w:rFonts w:ascii="Times New Roman" w:hAnsi="Times New Roman"/>
          <w:sz w:val="24"/>
          <w:szCs w:val="24"/>
        </w:rPr>
        <w:t xml:space="preserve">CBCA </w:t>
      </w:r>
      <w:r w:rsidR="00C64B80" w:rsidRPr="0060025C">
        <w:rPr>
          <w:rFonts w:ascii="Times New Roman" w:hAnsi="Times New Roman"/>
          <w:sz w:val="24"/>
          <w:szCs w:val="24"/>
        </w:rPr>
        <w:t xml:space="preserve">ultrafina, quando comparado com um traço de referência sem a presença da cinza. Os autores concluíram no estudo que a presença da cinza pode </w:t>
      </w:r>
      <w:r w:rsidR="00C64B80" w:rsidRPr="009C718B">
        <w:rPr>
          <w:rFonts w:ascii="Times New Roman" w:hAnsi="Times New Roman"/>
          <w:color w:val="000000" w:themeColor="text1"/>
          <w:sz w:val="24"/>
          <w:szCs w:val="24"/>
        </w:rPr>
        <w:t>aumentar a durabilidade do concreto e também não altera as suas propriedades mecânicas.</w:t>
      </w:r>
      <w:r w:rsidR="00021D86" w:rsidRPr="009C718B">
        <w:rPr>
          <w:rFonts w:ascii="Times New Roman" w:hAnsi="Times New Roman"/>
          <w:color w:val="000000" w:themeColor="text1"/>
          <w:sz w:val="24"/>
          <w:szCs w:val="24"/>
        </w:rPr>
        <w:t xml:space="preserve"> </w:t>
      </w:r>
    </w:p>
    <w:p w14:paraId="4A7CD444" w14:textId="12158B9C" w:rsidR="00976595" w:rsidRPr="009C718B" w:rsidRDefault="00976595" w:rsidP="00BE5CAA">
      <w:pPr>
        <w:spacing w:after="0" w:line="240" w:lineRule="auto"/>
        <w:ind w:firstLine="708"/>
        <w:jc w:val="both"/>
        <w:rPr>
          <w:rFonts w:ascii="Times New Roman" w:hAnsi="Times New Roman"/>
          <w:color w:val="000000" w:themeColor="text1"/>
          <w:sz w:val="24"/>
          <w:szCs w:val="24"/>
        </w:rPr>
      </w:pPr>
      <w:r w:rsidRPr="009C718B">
        <w:rPr>
          <w:rFonts w:ascii="Times New Roman" w:hAnsi="Times New Roman"/>
          <w:color w:val="000000" w:themeColor="text1"/>
          <w:sz w:val="24"/>
          <w:szCs w:val="24"/>
        </w:rPr>
        <w:t xml:space="preserve">Ao relacionarmos a resistência com as taxas de adição de CBCA para o rompimento, verifica-se </w:t>
      </w:r>
      <w:r w:rsidR="00A526F6" w:rsidRPr="009C718B">
        <w:rPr>
          <w:rFonts w:ascii="Times New Roman" w:hAnsi="Times New Roman"/>
          <w:color w:val="000000" w:themeColor="text1"/>
          <w:sz w:val="24"/>
          <w:szCs w:val="24"/>
        </w:rPr>
        <w:t xml:space="preserve">também </w:t>
      </w:r>
      <w:r w:rsidRPr="009C718B">
        <w:rPr>
          <w:rFonts w:ascii="Times New Roman" w:hAnsi="Times New Roman"/>
          <w:color w:val="000000" w:themeColor="text1"/>
          <w:sz w:val="24"/>
          <w:szCs w:val="24"/>
        </w:rPr>
        <w:t xml:space="preserve">uma relação inversamente proporcional, ou seja, conforme aumenta-se a taxa de CBCA diminui-se a resistência do concreto </w:t>
      </w:r>
      <w:r w:rsidR="00A526F6" w:rsidRPr="009C718B">
        <w:rPr>
          <w:rFonts w:ascii="Times New Roman" w:hAnsi="Times New Roman"/>
          <w:color w:val="000000" w:themeColor="text1"/>
          <w:sz w:val="24"/>
          <w:szCs w:val="24"/>
        </w:rPr>
        <w:t xml:space="preserve">para o rompimento </w:t>
      </w:r>
      <w:r w:rsidRPr="009C718B">
        <w:rPr>
          <w:rFonts w:ascii="Times New Roman" w:hAnsi="Times New Roman"/>
          <w:color w:val="000000" w:themeColor="text1"/>
          <w:sz w:val="24"/>
          <w:szCs w:val="24"/>
        </w:rPr>
        <w:t>(Figura 4).</w:t>
      </w:r>
    </w:p>
    <w:p w14:paraId="56FE3B1D" w14:textId="77777777" w:rsidR="00D02D38" w:rsidRDefault="00D02D38" w:rsidP="002323B5">
      <w:pPr>
        <w:spacing w:after="0" w:line="240" w:lineRule="auto"/>
        <w:jc w:val="both"/>
        <w:rPr>
          <w:rFonts w:ascii="Times New Roman" w:hAnsi="Times New Roman"/>
          <w:sz w:val="24"/>
          <w:szCs w:val="24"/>
        </w:rPr>
      </w:pPr>
    </w:p>
    <w:p w14:paraId="722EB228" w14:textId="1E9A6969" w:rsidR="00D02D38" w:rsidRDefault="004D132B" w:rsidP="007F2A23">
      <w:pPr>
        <w:spacing w:after="0" w:line="240" w:lineRule="auto"/>
        <w:jc w:val="center"/>
        <w:rPr>
          <w:rFonts w:ascii="Times New Roman" w:hAnsi="Times New Roman"/>
          <w:sz w:val="24"/>
          <w:szCs w:val="24"/>
        </w:rPr>
      </w:pPr>
      <w:r w:rsidRPr="00B77D32">
        <w:rPr>
          <w:noProof/>
        </w:rPr>
        <w:drawing>
          <wp:inline distT="0" distB="0" distL="0" distR="0" wp14:anchorId="154A5DF2" wp14:editId="0E7AF875">
            <wp:extent cx="5139055" cy="371919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759495" w14:textId="5F998788" w:rsidR="00894E7D" w:rsidRDefault="00894E7D" w:rsidP="00894E7D">
      <w:pPr>
        <w:spacing w:after="0" w:line="240" w:lineRule="auto"/>
        <w:jc w:val="both"/>
        <w:rPr>
          <w:rFonts w:ascii="Times New Roman" w:hAnsi="Times New Roman"/>
          <w:sz w:val="24"/>
          <w:szCs w:val="24"/>
        </w:rPr>
      </w:pPr>
      <w:r w:rsidRPr="002C6C86">
        <w:rPr>
          <w:rFonts w:ascii="Times New Roman" w:hAnsi="Times New Roman"/>
          <w:b/>
          <w:sz w:val="24"/>
          <w:szCs w:val="24"/>
        </w:rPr>
        <w:t xml:space="preserve">Figura </w:t>
      </w:r>
      <w:r>
        <w:rPr>
          <w:rFonts w:ascii="Times New Roman" w:hAnsi="Times New Roman"/>
          <w:b/>
          <w:sz w:val="24"/>
          <w:szCs w:val="24"/>
        </w:rPr>
        <w:t>4</w:t>
      </w:r>
      <w:r w:rsidRPr="002323B5">
        <w:rPr>
          <w:rFonts w:ascii="Times New Roman" w:hAnsi="Times New Roman"/>
          <w:sz w:val="24"/>
          <w:szCs w:val="24"/>
        </w:rPr>
        <w:t xml:space="preserve">. Resistência </w:t>
      </w:r>
      <w:r>
        <w:rPr>
          <w:rFonts w:ascii="Times New Roman" w:hAnsi="Times New Roman"/>
          <w:sz w:val="24"/>
          <w:szCs w:val="24"/>
        </w:rPr>
        <w:t xml:space="preserve">média dos corpos-de-prova para o rompimento </w:t>
      </w:r>
      <w:r w:rsidRPr="002323B5">
        <w:rPr>
          <w:rFonts w:ascii="Times New Roman" w:hAnsi="Times New Roman"/>
          <w:sz w:val="24"/>
          <w:szCs w:val="24"/>
        </w:rPr>
        <w:t>na compressão simples</w:t>
      </w:r>
      <w:r>
        <w:rPr>
          <w:rFonts w:ascii="Times New Roman" w:hAnsi="Times New Roman"/>
          <w:sz w:val="24"/>
          <w:szCs w:val="24"/>
        </w:rPr>
        <w:t xml:space="preserve"> em relação aos tratamentos </w:t>
      </w:r>
      <w:r w:rsidRPr="002323B5">
        <w:rPr>
          <w:rFonts w:ascii="Times New Roman" w:hAnsi="Times New Roman"/>
          <w:sz w:val="24"/>
          <w:szCs w:val="24"/>
        </w:rPr>
        <w:t>C1 (0%), C2 (10%), C3 (20%) e C4 (50%).</w:t>
      </w:r>
      <w:r>
        <w:rPr>
          <w:rFonts w:ascii="Times New Roman" w:hAnsi="Times New Roman"/>
          <w:sz w:val="24"/>
          <w:szCs w:val="24"/>
        </w:rPr>
        <w:t xml:space="preserve"> </w:t>
      </w:r>
    </w:p>
    <w:p w14:paraId="1FF15E86" w14:textId="09C406A9" w:rsidR="00B43E3B" w:rsidRDefault="00B43E3B" w:rsidP="00894E7D">
      <w:pPr>
        <w:spacing w:after="0" w:line="240" w:lineRule="auto"/>
        <w:jc w:val="both"/>
        <w:rPr>
          <w:rFonts w:ascii="Times New Roman" w:hAnsi="Times New Roman"/>
          <w:sz w:val="24"/>
          <w:szCs w:val="24"/>
        </w:rPr>
      </w:pPr>
    </w:p>
    <w:p w14:paraId="38E0C675" w14:textId="77777777" w:rsidR="00D12517" w:rsidRDefault="00AE37CD" w:rsidP="00781035">
      <w:pPr>
        <w:spacing w:after="0" w:line="240" w:lineRule="auto"/>
        <w:ind w:firstLine="708"/>
        <w:jc w:val="both"/>
        <w:rPr>
          <w:rFonts w:ascii="Times New Roman" w:hAnsi="Times New Roman"/>
          <w:color w:val="000000" w:themeColor="text1"/>
          <w:sz w:val="24"/>
          <w:szCs w:val="24"/>
        </w:rPr>
      </w:pPr>
      <w:r w:rsidRPr="009C718B">
        <w:rPr>
          <w:rFonts w:ascii="Times New Roman" w:hAnsi="Times New Roman"/>
          <w:color w:val="000000" w:themeColor="text1"/>
          <w:sz w:val="24"/>
          <w:szCs w:val="24"/>
        </w:rPr>
        <w:t xml:space="preserve">Conforme apresentado na </w:t>
      </w:r>
      <w:proofErr w:type="spellStart"/>
      <w:r w:rsidRPr="009C718B">
        <w:rPr>
          <w:rFonts w:ascii="Times New Roman" w:hAnsi="Times New Roman"/>
          <w:color w:val="000000" w:themeColor="text1"/>
          <w:sz w:val="24"/>
          <w:szCs w:val="24"/>
        </w:rPr>
        <w:t>Fig</w:t>
      </w:r>
      <w:proofErr w:type="spellEnd"/>
      <w:r w:rsidRPr="009C718B">
        <w:rPr>
          <w:rFonts w:ascii="Times New Roman" w:hAnsi="Times New Roman"/>
          <w:color w:val="000000" w:themeColor="text1"/>
          <w:sz w:val="24"/>
          <w:szCs w:val="24"/>
        </w:rPr>
        <w:t xml:space="preserve"> 4.</w:t>
      </w:r>
      <w:r w:rsidR="00B43E3B" w:rsidRPr="009C718B">
        <w:rPr>
          <w:rFonts w:ascii="Times New Roman" w:hAnsi="Times New Roman"/>
          <w:color w:val="000000" w:themeColor="text1"/>
          <w:sz w:val="24"/>
          <w:szCs w:val="24"/>
        </w:rPr>
        <w:t>, verifica-se que o percentual da variância dos dados de resistência pode ser mais satisfatoriamente explicado para os 28 dias de cura, com coeficientes de determinação acima de 0,95.</w:t>
      </w:r>
      <w:r w:rsidR="00781035">
        <w:rPr>
          <w:rFonts w:ascii="Times New Roman" w:hAnsi="Times New Roman"/>
          <w:color w:val="000000" w:themeColor="text1"/>
          <w:sz w:val="24"/>
          <w:szCs w:val="24"/>
        </w:rPr>
        <w:t xml:space="preserve"> </w:t>
      </w:r>
    </w:p>
    <w:p w14:paraId="58B5ADE4" w14:textId="77916BB4" w:rsidR="009C718B" w:rsidRPr="009C718B" w:rsidRDefault="00781035" w:rsidP="0078103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Evidencia-se a relação entre quantidade de CBCA e a resistência, </w:t>
      </w:r>
      <w:r w:rsidR="00D12517">
        <w:rPr>
          <w:rFonts w:ascii="Times New Roman" w:hAnsi="Times New Roman"/>
          <w:color w:val="000000" w:themeColor="text1"/>
          <w:sz w:val="24"/>
          <w:szCs w:val="24"/>
        </w:rPr>
        <w:t xml:space="preserve">sendo que </w:t>
      </w:r>
      <w:r w:rsidR="004F223A">
        <w:rPr>
          <w:rFonts w:ascii="Times New Roman" w:hAnsi="Times New Roman"/>
          <w:color w:val="000000" w:themeColor="text1"/>
          <w:sz w:val="24"/>
          <w:szCs w:val="24"/>
        </w:rPr>
        <w:t>conforme se aumenta a quantidade de cinza, diminui</w:t>
      </w:r>
      <w:r w:rsidR="00C80612">
        <w:rPr>
          <w:rFonts w:ascii="Times New Roman" w:hAnsi="Times New Roman"/>
          <w:color w:val="000000" w:themeColor="text1"/>
          <w:sz w:val="24"/>
          <w:szCs w:val="24"/>
        </w:rPr>
        <w:t xml:space="preserve"> a resistência</w:t>
      </w:r>
      <w:r w:rsidR="00D12517">
        <w:rPr>
          <w:rFonts w:ascii="Times New Roman" w:hAnsi="Times New Roman"/>
          <w:color w:val="000000" w:themeColor="text1"/>
          <w:sz w:val="24"/>
          <w:szCs w:val="24"/>
        </w:rPr>
        <w:t xml:space="preserve"> à compressão</w:t>
      </w:r>
      <w:r w:rsidR="00C80612">
        <w:rPr>
          <w:rFonts w:ascii="Times New Roman" w:hAnsi="Times New Roman"/>
          <w:color w:val="000000" w:themeColor="text1"/>
          <w:sz w:val="24"/>
          <w:szCs w:val="24"/>
        </w:rPr>
        <w:t xml:space="preserve">, destacando que entre a quantidade de 10% e de 20% de CBCA adicionada, a resistência </w:t>
      </w:r>
      <w:r w:rsidR="00D12517">
        <w:rPr>
          <w:rFonts w:ascii="Times New Roman" w:hAnsi="Times New Roman"/>
          <w:color w:val="000000" w:themeColor="text1"/>
          <w:sz w:val="24"/>
          <w:szCs w:val="24"/>
        </w:rPr>
        <w:t xml:space="preserve">não </w:t>
      </w:r>
      <w:r w:rsidR="00967A6F">
        <w:rPr>
          <w:rFonts w:ascii="Times New Roman" w:hAnsi="Times New Roman"/>
          <w:color w:val="000000" w:themeColor="text1"/>
          <w:sz w:val="24"/>
          <w:szCs w:val="24"/>
        </w:rPr>
        <w:t>varia significativamente.</w:t>
      </w:r>
    </w:p>
    <w:p w14:paraId="2DD1C8E9" w14:textId="77777777" w:rsidR="002323B5" w:rsidRDefault="002323B5" w:rsidP="002323B5">
      <w:pPr>
        <w:spacing w:after="0" w:line="240" w:lineRule="auto"/>
        <w:jc w:val="both"/>
        <w:rPr>
          <w:rFonts w:ascii="Times New Roman" w:hAnsi="Times New Roman"/>
          <w:sz w:val="24"/>
          <w:szCs w:val="24"/>
        </w:rPr>
      </w:pPr>
    </w:p>
    <w:p w14:paraId="64154FA2" w14:textId="77777777" w:rsidR="00CC117F" w:rsidRPr="0060025C" w:rsidRDefault="002323B5" w:rsidP="002323B5">
      <w:pPr>
        <w:spacing w:after="0" w:line="240" w:lineRule="auto"/>
        <w:jc w:val="center"/>
        <w:rPr>
          <w:rFonts w:ascii="Times New Roman" w:hAnsi="Times New Roman"/>
          <w:b/>
          <w:sz w:val="24"/>
          <w:szCs w:val="24"/>
        </w:rPr>
      </w:pPr>
      <w:r>
        <w:rPr>
          <w:rFonts w:ascii="Times New Roman" w:hAnsi="Times New Roman"/>
          <w:b/>
          <w:sz w:val="24"/>
          <w:szCs w:val="24"/>
        </w:rPr>
        <w:t>Conclusão</w:t>
      </w:r>
    </w:p>
    <w:p w14:paraId="209CF483" w14:textId="77777777" w:rsidR="002D12DA" w:rsidRPr="0060025C" w:rsidRDefault="002D12DA" w:rsidP="002323B5">
      <w:pPr>
        <w:spacing w:after="0" w:line="240" w:lineRule="auto"/>
        <w:jc w:val="both"/>
        <w:rPr>
          <w:rFonts w:ascii="Times New Roman" w:hAnsi="Times New Roman"/>
          <w:sz w:val="24"/>
          <w:szCs w:val="24"/>
        </w:rPr>
      </w:pPr>
    </w:p>
    <w:p w14:paraId="4EBEFBA0" w14:textId="0FC805D1" w:rsidR="00252774" w:rsidRDefault="00A35829" w:rsidP="00B22F6C">
      <w:pPr>
        <w:spacing w:after="0" w:line="240" w:lineRule="auto"/>
        <w:ind w:firstLine="708"/>
        <w:jc w:val="both"/>
        <w:rPr>
          <w:rFonts w:ascii="Times New Roman" w:hAnsi="Times New Roman"/>
          <w:sz w:val="24"/>
          <w:szCs w:val="24"/>
        </w:rPr>
      </w:pPr>
      <w:r>
        <w:rPr>
          <w:rFonts w:ascii="Times New Roman" w:hAnsi="Times New Roman"/>
          <w:sz w:val="24"/>
          <w:szCs w:val="24"/>
        </w:rPr>
        <w:t>C</w:t>
      </w:r>
      <w:r w:rsidRPr="0060025C">
        <w:rPr>
          <w:rFonts w:ascii="Times New Roman" w:hAnsi="Times New Roman"/>
          <w:sz w:val="24"/>
          <w:szCs w:val="24"/>
        </w:rPr>
        <w:t>onsiderando a resistência no traço estudado</w:t>
      </w:r>
      <w:r w:rsidR="00B22F6C">
        <w:rPr>
          <w:rFonts w:ascii="Times New Roman" w:hAnsi="Times New Roman"/>
          <w:sz w:val="24"/>
          <w:szCs w:val="24"/>
        </w:rPr>
        <w:t xml:space="preserve"> e a </w:t>
      </w:r>
      <w:r w:rsidR="00B22F6C" w:rsidRPr="0060025C">
        <w:rPr>
          <w:rFonts w:ascii="Times New Roman" w:hAnsi="Times New Roman"/>
          <w:sz w:val="24"/>
          <w:szCs w:val="24"/>
        </w:rPr>
        <w:t xml:space="preserve">destinação ambientalmente </w:t>
      </w:r>
      <w:r w:rsidR="00BE5CAA">
        <w:rPr>
          <w:rFonts w:ascii="Times New Roman" w:hAnsi="Times New Roman"/>
          <w:sz w:val="24"/>
          <w:szCs w:val="24"/>
        </w:rPr>
        <w:t>adequada</w:t>
      </w:r>
      <w:r w:rsidR="00B22F6C">
        <w:rPr>
          <w:rFonts w:ascii="Times New Roman" w:hAnsi="Times New Roman"/>
          <w:sz w:val="24"/>
          <w:szCs w:val="24"/>
        </w:rPr>
        <w:t>,</w:t>
      </w:r>
      <w:r w:rsidRPr="0060025C">
        <w:rPr>
          <w:rFonts w:ascii="Times New Roman" w:hAnsi="Times New Roman"/>
          <w:sz w:val="24"/>
          <w:szCs w:val="24"/>
        </w:rPr>
        <w:t xml:space="preserve"> </w:t>
      </w:r>
      <w:r w:rsidR="002D12DA" w:rsidRPr="0060025C">
        <w:rPr>
          <w:rFonts w:ascii="Times New Roman" w:hAnsi="Times New Roman"/>
          <w:sz w:val="24"/>
          <w:szCs w:val="24"/>
        </w:rPr>
        <w:t xml:space="preserve">a CBCA </w:t>
      </w:r>
      <w:r w:rsidR="00AA6271" w:rsidRPr="0060025C">
        <w:rPr>
          <w:rFonts w:ascii="Times New Roman" w:hAnsi="Times New Roman"/>
          <w:sz w:val="24"/>
          <w:szCs w:val="24"/>
        </w:rPr>
        <w:t xml:space="preserve">apresentou-se como alternativa viável para substituição parcial do cimento Portland, </w:t>
      </w:r>
      <w:r>
        <w:rPr>
          <w:rFonts w:ascii="Times New Roman" w:hAnsi="Times New Roman"/>
          <w:sz w:val="24"/>
          <w:szCs w:val="24"/>
        </w:rPr>
        <w:t>a</w:t>
      </w:r>
      <w:r w:rsidRPr="0060025C">
        <w:rPr>
          <w:rFonts w:ascii="Times New Roman" w:hAnsi="Times New Roman"/>
          <w:sz w:val="24"/>
          <w:szCs w:val="24"/>
        </w:rPr>
        <w:t>pesar de não passar por um processo de moagem</w:t>
      </w:r>
      <w:r>
        <w:rPr>
          <w:rFonts w:ascii="Times New Roman" w:hAnsi="Times New Roman"/>
          <w:sz w:val="24"/>
          <w:szCs w:val="24"/>
        </w:rPr>
        <w:t xml:space="preserve">. </w:t>
      </w:r>
    </w:p>
    <w:p w14:paraId="405D0654" w14:textId="4E633397" w:rsidR="00B22F6C" w:rsidRDefault="00A35829" w:rsidP="00B22F6C">
      <w:pPr>
        <w:spacing w:after="0" w:line="240" w:lineRule="auto"/>
        <w:ind w:firstLine="708"/>
        <w:jc w:val="both"/>
        <w:rPr>
          <w:rFonts w:ascii="Times New Roman" w:hAnsi="Times New Roman"/>
          <w:sz w:val="24"/>
          <w:szCs w:val="24"/>
        </w:rPr>
      </w:pPr>
      <w:r>
        <w:rPr>
          <w:rFonts w:ascii="Times New Roman" w:hAnsi="Times New Roman"/>
          <w:sz w:val="24"/>
          <w:szCs w:val="24"/>
        </w:rPr>
        <w:t>A</w:t>
      </w:r>
      <w:r w:rsidR="00AA6271" w:rsidRPr="0060025C">
        <w:rPr>
          <w:rFonts w:ascii="Times New Roman" w:hAnsi="Times New Roman"/>
          <w:sz w:val="24"/>
          <w:szCs w:val="24"/>
        </w:rPr>
        <w:t xml:space="preserve"> taxa de </w:t>
      </w:r>
      <w:r w:rsidR="00B22F6C">
        <w:rPr>
          <w:rFonts w:ascii="Times New Roman" w:hAnsi="Times New Roman"/>
          <w:sz w:val="24"/>
          <w:szCs w:val="24"/>
        </w:rPr>
        <w:t xml:space="preserve">até </w:t>
      </w:r>
      <w:r w:rsidR="00AA6271" w:rsidRPr="0060025C">
        <w:rPr>
          <w:rFonts w:ascii="Times New Roman" w:hAnsi="Times New Roman"/>
          <w:sz w:val="24"/>
          <w:szCs w:val="24"/>
        </w:rPr>
        <w:t xml:space="preserve">20% de substituição de CBCA é a recomendada dentre as taxas estudadas, devido a </w:t>
      </w:r>
      <w:r w:rsidR="00B22F6C">
        <w:rPr>
          <w:rFonts w:ascii="Times New Roman" w:hAnsi="Times New Roman"/>
          <w:sz w:val="24"/>
          <w:szCs w:val="24"/>
        </w:rPr>
        <w:t xml:space="preserve">sua </w:t>
      </w:r>
      <w:r w:rsidR="00AA6271" w:rsidRPr="0060025C">
        <w:rPr>
          <w:rFonts w:ascii="Times New Roman" w:hAnsi="Times New Roman"/>
          <w:sz w:val="24"/>
          <w:szCs w:val="24"/>
        </w:rPr>
        <w:t>melhor relação de cinza adicionada por resistência obtida.</w:t>
      </w:r>
      <w:r w:rsidR="00B22F6C">
        <w:rPr>
          <w:rFonts w:ascii="Times New Roman" w:hAnsi="Times New Roman"/>
          <w:sz w:val="24"/>
          <w:szCs w:val="24"/>
        </w:rPr>
        <w:t xml:space="preserve"> </w:t>
      </w:r>
    </w:p>
    <w:p w14:paraId="4BC89BF5" w14:textId="77777777" w:rsidR="00CC117F" w:rsidRDefault="00AA6271" w:rsidP="00B22F6C">
      <w:pPr>
        <w:spacing w:after="0" w:line="240" w:lineRule="auto"/>
        <w:ind w:firstLine="708"/>
        <w:jc w:val="both"/>
        <w:rPr>
          <w:rFonts w:ascii="Times New Roman" w:hAnsi="Times New Roman"/>
          <w:sz w:val="24"/>
          <w:szCs w:val="24"/>
        </w:rPr>
      </w:pPr>
      <w:r w:rsidRPr="0060025C">
        <w:rPr>
          <w:rFonts w:ascii="Times New Roman" w:hAnsi="Times New Roman"/>
          <w:sz w:val="24"/>
          <w:szCs w:val="24"/>
        </w:rPr>
        <w:tab/>
      </w:r>
    </w:p>
    <w:p w14:paraId="6A13DEDE" w14:textId="77777777" w:rsidR="002323B5" w:rsidRPr="0060025C" w:rsidRDefault="002323B5" w:rsidP="002323B5">
      <w:pPr>
        <w:spacing w:after="0" w:line="240" w:lineRule="auto"/>
        <w:jc w:val="both"/>
        <w:rPr>
          <w:rFonts w:ascii="Times New Roman" w:hAnsi="Times New Roman"/>
          <w:sz w:val="24"/>
          <w:szCs w:val="24"/>
        </w:rPr>
      </w:pPr>
    </w:p>
    <w:p w14:paraId="799AFABE" w14:textId="77777777" w:rsidR="00CC3D40" w:rsidRDefault="00CC3D40" w:rsidP="002323B5">
      <w:pPr>
        <w:spacing w:after="0" w:line="240" w:lineRule="auto"/>
        <w:jc w:val="center"/>
        <w:rPr>
          <w:rFonts w:ascii="Times New Roman" w:hAnsi="Times New Roman"/>
          <w:b/>
          <w:sz w:val="24"/>
          <w:szCs w:val="24"/>
        </w:rPr>
      </w:pPr>
    </w:p>
    <w:p w14:paraId="1759D4D3" w14:textId="4992495A" w:rsidR="00CC117F" w:rsidRPr="00CC3D40" w:rsidRDefault="00CC117F" w:rsidP="002323B5">
      <w:pPr>
        <w:spacing w:after="0" w:line="240" w:lineRule="auto"/>
        <w:jc w:val="center"/>
        <w:rPr>
          <w:rFonts w:ascii="Times New Roman" w:hAnsi="Times New Roman"/>
          <w:b/>
          <w:color w:val="000000" w:themeColor="text1"/>
          <w:sz w:val="24"/>
          <w:szCs w:val="24"/>
        </w:rPr>
      </w:pPr>
      <w:r w:rsidRPr="00CC3D40">
        <w:rPr>
          <w:rFonts w:ascii="Times New Roman" w:hAnsi="Times New Roman"/>
          <w:b/>
          <w:color w:val="000000" w:themeColor="text1"/>
          <w:sz w:val="24"/>
          <w:szCs w:val="24"/>
        </w:rPr>
        <w:lastRenderedPageBreak/>
        <w:t>R</w:t>
      </w:r>
      <w:r w:rsidR="00BD3584" w:rsidRPr="00CC3D40">
        <w:rPr>
          <w:rFonts w:ascii="Times New Roman" w:hAnsi="Times New Roman"/>
          <w:b/>
          <w:color w:val="000000" w:themeColor="text1"/>
          <w:sz w:val="24"/>
          <w:szCs w:val="24"/>
        </w:rPr>
        <w:t>eferências</w:t>
      </w:r>
    </w:p>
    <w:p w14:paraId="6C4664E3" w14:textId="77777777" w:rsidR="00BD3584" w:rsidRPr="00CC3D40" w:rsidRDefault="00BD3584" w:rsidP="002323B5">
      <w:pPr>
        <w:spacing w:after="0" w:line="240" w:lineRule="auto"/>
        <w:jc w:val="both"/>
        <w:rPr>
          <w:rFonts w:ascii="Times New Roman" w:hAnsi="Times New Roman"/>
          <w:b/>
          <w:color w:val="000000" w:themeColor="text1"/>
          <w:sz w:val="24"/>
          <w:szCs w:val="24"/>
        </w:rPr>
      </w:pPr>
    </w:p>
    <w:p w14:paraId="6399482E" w14:textId="16D2C301" w:rsidR="007A290D" w:rsidRPr="00CC3D40" w:rsidRDefault="007A290D" w:rsidP="007A290D">
      <w:pPr>
        <w:autoSpaceDE w:val="0"/>
        <w:autoSpaceDN w:val="0"/>
        <w:adjustRightInd w:val="0"/>
        <w:spacing w:after="0" w:line="240" w:lineRule="auto"/>
        <w:jc w:val="both"/>
        <w:rPr>
          <w:rFonts w:ascii="Times New Roman" w:hAnsi="Times New Roman"/>
          <w:color w:val="000000" w:themeColor="text1"/>
          <w:sz w:val="24"/>
          <w:szCs w:val="24"/>
          <w:lang w:eastAsia="pt-BR"/>
        </w:rPr>
      </w:pPr>
      <w:r w:rsidRPr="00CC3D40">
        <w:rPr>
          <w:rFonts w:ascii="Times New Roman" w:hAnsi="Times New Roman"/>
          <w:color w:val="000000" w:themeColor="text1"/>
          <w:sz w:val="24"/>
          <w:szCs w:val="24"/>
          <w:lang w:eastAsia="pt-BR"/>
        </w:rPr>
        <w:t xml:space="preserve">ABCP – Associação Brasileira de Cimento Portland. </w:t>
      </w:r>
      <w:r w:rsidR="00FB2BE4" w:rsidRPr="00FB2BE4">
        <w:rPr>
          <w:rFonts w:ascii="Times New Roman" w:hAnsi="Times New Roman"/>
          <w:color w:val="000000" w:themeColor="text1"/>
          <w:sz w:val="24"/>
          <w:szCs w:val="24"/>
          <w:lang w:eastAsia="pt-BR"/>
        </w:rPr>
        <w:t>Venda de cimento no Brasil deve fechar em queda este ano, setor espera reação em 2019</w:t>
      </w:r>
      <w:r w:rsidRPr="00CC3D40">
        <w:rPr>
          <w:rFonts w:ascii="Times New Roman" w:hAnsi="Times New Roman"/>
          <w:color w:val="000000" w:themeColor="text1"/>
          <w:sz w:val="24"/>
          <w:szCs w:val="24"/>
          <w:lang w:eastAsia="pt-BR"/>
        </w:rPr>
        <w:t>. Disponível em</w:t>
      </w:r>
      <w:r w:rsidR="00C10675" w:rsidRPr="00CC3D40">
        <w:rPr>
          <w:rFonts w:ascii="Times New Roman" w:hAnsi="Times New Roman"/>
          <w:color w:val="000000" w:themeColor="text1"/>
          <w:sz w:val="24"/>
          <w:szCs w:val="24"/>
          <w:lang w:eastAsia="pt-BR"/>
        </w:rPr>
        <w:t xml:space="preserve">: </w:t>
      </w:r>
      <w:r w:rsidR="00FB2BE4" w:rsidRPr="00FB2BE4">
        <w:rPr>
          <w:rStyle w:val="Hyperlink"/>
          <w:rFonts w:ascii="Times New Roman" w:hAnsi="Times New Roman"/>
          <w:color w:val="000000" w:themeColor="text1"/>
          <w:sz w:val="24"/>
          <w:szCs w:val="24"/>
          <w:lang w:eastAsia="pt-BR"/>
        </w:rPr>
        <w:t>https://www.abcp.org.br/cms/imprensa/venda-de-cimento-no-brasil-deve-fechar-em-queda-este-ano-setor-espera-reacao-em-2019/</w:t>
      </w:r>
      <w:r w:rsidR="00C10675" w:rsidRPr="00CC3D40">
        <w:rPr>
          <w:rFonts w:ascii="Times New Roman" w:hAnsi="Times New Roman"/>
          <w:color w:val="000000" w:themeColor="text1"/>
          <w:sz w:val="24"/>
          <w:szCs w:val="24"/>
          <w:lang w:eastAsia="pt-BR"/>
        </w:rPr>
        <w:t xml:space="preserve"> Acesso em: 27 de agosto de </w:t>
      </w:r>
      <w:r w:rsidRPr="00CC3D40">
        <w:rPr>
          <w:rFonts w:ascii="Times New Roman" w:hAnsi="Times New Roman"/>
          <w:color w:val="000000" w:themeColor="text1"/>
          <w:sz w:val="24"/>
          <w:szCs w:val="24"/>
          <w:lang w:eastAsia="pt-BR"/>
        </w:rPr>
        <w:t>2016.</w:t>
      </w:r>
    </w:p>
    <w:p w14:paraId="0A730653" w14:textId="77777777" w:rsidR="007A290D" w:rsidRPr="00CC3D40" w:rsidRDefault="007A290D"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p>
    <w:p w14:paraId="79C64A0F"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r w:rsidRPr="00CC3D40">
        <w:rPr>
          <w:rFonts w:ascii="Times New Roman" w:hAnsi="Times New Roman"/>
          <w:color w:val="000000" w:themeColor="text1"/>
          <w:sz w:val="24"/>
          <w:szCs w:val="24"/>
          <w:lang w:eastAsia="pt-BR"/>
        </w:rPr>
        <w:t xml:space="preserve">ASSOCIAÇÃO BRASILEIRA DE NORMAS TÉCNICAS. </w:t>
      </w:r>
      <w:r w:rsidRPr="00CC3D40">
        <w:rPr>
          <w:rFonts w:ascii="Times New Roman" w:hAnsi="Times New Roman"/>
          <w:b/>
          <w:bCs/>
          <w:color w:val="000000" w:themeColor="text1"/>
          <w:sz w:val="24"/>
          <w:szCs w:val="24"/>
          <w:lang w:eastAsia="pt-BR"/>
        </w:rPr>
        <w:t>NBR 5738</w:t>
      </w:r>
      <w:r w:rsidRPr="00CC3D40">
        <w:rPr>
          <w:rFonts w:ascii="Times New Roman" w:hAnsi="Times New Roman"/>
          <w:color w:val="000000" w:themeColor="text1"/>
          <w:sz w:val="24"/>
          <w:szCs w:val="24"/>
          <w:lang w:eastAsia="pt-BR"/>
        </w:rPr>
        <w:t>. Moldagem e cura de corpos-de-prova de concreto cilíndricos ou prismáticos - procedimento. Rio de Janeiro, 6 p., 2003.</w:t>
      </w:r>
    </w:p>
    <w:p w14:paraId="47140C39"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p>
    <w:p w14:paraId="6725BA66"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r w:rsidRPr="00CC3D40">
        <w:rPr>
          <w:rFonts w:ascii="Times New Roman" w:hAnsi="Times New Roman"/>
          <w:color w:val="000000" w:themeColor="text1"/>
          <w:sz w:val="24"/>
          <w:szCs w:val="24"/>
          <w:lang w:eastAsia="pt-BR"/>
        </w:rPr>
        <w:t xml:space="preserve">ASSOCIAÇÃO BRASILEIRA DE NORMAS TÉCNICAS. </w:t>
      </w:r>
      <w:r w:rsidRPr="00CC3D40">
        <w:rPr>
          <w:rFonts w:ascii="Times New Roman" w:hAnsi="Times New Roman"/>
          <w:b/>
          <w:bCs/>
          <w:color w:val="000000" w:themeColor="text1"/>
          <w:sz w:val="24"/>
          <w:szCs w:val="24"/>
          <w:lang w:eastAsia="pt-BR"/>
        </w:rPr>
        <w:t>NBR 5739</w:t>
      </w:r>
      <w:r w:rsidRPr="00CC3D40">
        <w:rPr>
          <w:rFonts w:ascii="Times New Roman" w:hAnsi="Times New Roman"/>
          <w:color w:val="000000" w:themeColor="text1"/>
          <w:sz w:val="24"/>
          <w:szCs w:val="24"/>
          <w:lang w:eastAsia="pt-BR"/>
        </w:rPr>
        <w:t>. Concreto - Ensaio de compressão de corpos-de-prova cilíndricos. Rio de Janeiro, 8 p., 2007.</w:t>
      </w:r>
    </w:p>
    <w:p w14:paraId="2D6CD723"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p>
    <w:p w14:paraId="43862BC3"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r w:rsidRPr="00CC3D40">
        <w:rPr>
          <w:rFonts w:ascii="Times New Roman" w:hAnsi="Times New Roman"/>
          <w:color w:val="000000" w:themeColor="text1"/>
          <w:sz w:val="24"/>
          <w:szCs w:val="24"/>
          <w:lang w:eastAsia="pt-BR"/>
        </w:rPr>
        <w:t xml:space="preserve">ASSOCIAÇÃO BRASILEIRA DE NORMAS TÉCNICAS. </w:t>
      </w:r>
      <w:r w:rsidRPr="00CC3D40">
        <w:rPr>
          <w:rFonts w:ascii="Times New Roman" w:hAnsi="Times New Roman"/>
          <w:b/>
          <w:iCs/>
          <w:color w:val="000000" w:themeColor="text1"/>
          <w:sz w:val="24"/>
          <w:szCs w:val="24"/>
          <w:lang w:eastAsia="pt-BR"/>
        </w:rPr>
        <w:t>NBR NM 67</w:t>
      </w:r>
      <w:r w:rsidRPr="00CC3D40">
        <w:rPr>
          <w:rFonts w:ascii="Times New Roman" w:hAnsi="Times New Roman"/>
          <w:color w:val="000000" w:themeColor="text1"/>
          <w:sz w:val="24"/>
          <w:szCs w:val="24"/>
          <w:lang w:eastAsia="pt-BR"/>
        </w:rPr>
        <w:t xml:space="preserve">. </w:t>
      </w:r>
      <w:r w:rsidRPr="00CC3D40">
        <w:rPr>
          <w:rFonts w:ascii="Times New Roman" w:hAnsi="Times New Roman"/>
          <w:iCs/>
          <w:color w:val="000000" w:themeColor="text1"/>
          <w:sz w:val="24"/>
          <w:szCs w:val="24"/>
          <w:lang w:eastAsia="pt-BR"/>
        </w:rPr>
        <w:t>Concreto – Determinação da consistência pelo abatimento do tronco de cone</w:t>
      </w:r>
      <w:r w:rsidRPr="00CC3D40">
        <w:rPr>
          <w:rFonts w:ascii="Times New Roman" w:hAnsi="Times New Roman"/>
          <w:color w:val="000000" w:themeColor="text1"/>
          <w:sz w:val="24"/>
          <w:szCs w:val="24"/>
          <w:lang w:eastAsia="pt-BR"/>
        </w:rPr>
        <w:t>. Rio de Janeiro, 8 p., 1998.</w:t>
      </w:r>
    </w:p>
    <w:p w14:paraId="0D49ADB6"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rPr>
      </w:pPr>
    </w:p>
    <w:p w14:paraId="5E99D8BC" w14:textId="443506FE" w:rsidR="00BD3584" w:rsidRPr="00CC3D40" w:rsidRDefault="00BD3584" w:rsidP="0060025C">
      <w:pPr>
        <w:spacing w:after="0" w:line="240" w:lineRule="auto"/>
        <w:jc w:val="both"/>
        <w:rPr>
          <w:rFonts w:ascii="Times New Roman" w:hAnsi="Times New Roman"/>
          <w:color w:val="000000" w:themeColor="text1"/>
          <w:sz w:val="24"/>
          <w:szCs w:val="24"/>
          <w:shd w:val="clear" w:color="auto" w:fill="FFFFFF"/>
        </w:rPr>
      </w:pPr>
      <w:r w:rsidRPr="00CC3D40">
        <w:rPr>
          <w:rFonts w:ascii="Times New Roman" w:hAnsi="Times New Roman"/>
          <w:color w:val="000000" w:themeColor="text1"/>
          <w:sz w:val="24"/>
          <w:szCs w:val="24"/>
          <w:shd w:val="clear" w:color="auto" w:fill="FFFFFF"/>
        </w:rPr>
        <w:t xml:space="preserve">CORDEIRO, G. C.; TOLEDO FILHO, R. D.; FAIRBAIRN, E. M. R. Cinza ultrafina do bagaço de cana-de-açúcar: material </w:t>
      </w:r>
      <w:proofErr w:type="spellStart"/>
      <w:r w:rsidRPr="00CC3D40">
        <w:rPr>
          <w:rFonts w:ascii="Times New Roman" w:hAnsi="Times New Roman"/>
          <w:color w:val="000000" w:themeColor="text1"/>
          <w:sz w:val="24"/>
          <w:szCs w:val="24"/>
          <w:shd w:val="clear" w:color="auto" w:fill="FFFFFF"/>
        </w:rPr>
        <w:t>pozolânico</w:t>
      </w:r>
      <w:proofErr w:type="spellEnd"/>
      <w:r w:rsidRPr="00CC3D40">
        <w:rPr>
          <w:rFonts w:ascii="Times New Roman" w:hAnsi="Times New Roman"/>
          <w:color w:val="000000" w:themeColor="text1"/>
          <w:sz w:val="24"/>
          <w:szCs w:val="24"/>
          <w:shd w:val="clear" w:color="auto" w:fill="FFFFFF"/>
        </w:rPr>
        <w:t xml:space="preserve"> de alto potencial para países tropicais.</w:t>
      </w:r>
      <w:r w:rsidRPr="00CC3D40">
        <w:rPr>
          <w:rStyle w:val="apple-converted-space"/>
          <w:rFonts w:ascii="Times New Roman" w:hAnsi="Times New Roman"/>
          <w:color w:val="000000" w:themeColor="text1"/>
          <w:sz w:val="24"/>
          <w:szCs w:val="24"/>
          <w:shd w:val="clear" w:color="auto" w:fill="FFFFFF"/>
        </w:rPr>
        <w:t> </w:t>
      </w:r>
      <w:r w:rsidRPr="00CC3D40">
        <w:rPr>
          <w:rStyle w:val="Forte"/>
          <w:rFonts w:ascii="Times New Roman" w:hAnsi="Times New Roman"/>
          <w:color w:val="000000" w:themeColor="text1"/>
          <w:sz w:val="24"/>
          <w:szCs w:val="24"/>
          <w:shd w:val="clear" w:color="auto" w:fill="FFFFFF"/>
        </w:rPr>
        <w:t xml:space="preserve">Revista </w:t>
      </w:r>
      <w:proofErr w:type="spellStart"/>
      <w:r w:rsidRPr="00CC3D40">
        <w:rPr>
          <w:rStyle w:val="Forte"/>
          <w:rFonts w:ascii="Times New Roman" w:hAnsi="Times New Roman"/>
          <w:color w:val="000000" w:themeColor="text1"/>
          <w:sz w:val="24"/>
          <w:szCs w:val="24"/>
          <w:shd w:val="clear" w:color="auto" w:fill="FFFFFF"/>
        </w:rPr>
        <w:t>Ibracon</w:t>
      </w:r>
      <w:proofErr w:type="spellEnd"/>
      <w:r w:rsidRPr="00CC3D40">
        <w:rPr>
          <w:rStyle w:val="Forte"/>
          <w:rFonts w:ascii="Times New Roman" w:hAnsi="Times New Roman"/>
          <w:color w:val="000000" w:themeColor="text1"/>
          <w:sz w:val="24"/>
          <w:szCs w:val="24"/>
          <w:shd w:val="clear" w:color="auto" w:fill="FFFFFF"/>
        </w:rPr>
        <w:t xml:space="preserve"> de Estruturas e Materiais,</w:t>
      </w:r>
      <w:r w:rsidRPr="00CC3D40">
        <w:rPr>
          <w:rStyle w:val="apple-converted-space"/>
          <w:rFonts w:ascii="Times New Roman" w:hAnsi="Times New Roman"/>
          <w:b/>
          <w:bCs/>
          <w:color w:val="000000" w:themeColor="text1"/>
          <w:sz w:val="24"/>
          <w:szCs w:val="24"/>
          <w:shd w:val="clear" w:color="auto" w:fill="FFFFFF"/>
        </w:rPr>
        <w:t> </w:t>
      </w:r>
      <w:r w:rsidRPr="00CC3D40">
        <w:rPr>
          <w:rFonts w:ascii="Times New Roman" w:hAnsi="Times New Roman"/>
          <w:color w:val="000000" w:themeColor="text1"/>
          <w:sz w:val="24"/>
          <w:szCs w:val="24"/>
          <w:shd w:val="clear" w:color="auto" w:fill="FFFFFF"/>
        </w:rPr>
        <w:t>Campinas, v. 3, n. 1, p.50-67, 2010.</w:t>
      </w:r>
      <w:r w:rsidR="00A64481" w:rsidRPr="00CC3D40">
        <w:rPr>
          <w:rFonts w:ascii="Times New Roman" w:hAnsi="Times New Roman"/>
          <w:color w:val="000000" w:themeColor="text1"/>
          <w:sz w:val="24"/>
          <w:szCs w:val="24"/>
          <w:shd w:val="clear" w:color="auto" w:fill="FFFFFF"/>
        </w:rPr>
        <w:t xml:space="preserve"> Disponível em: </w:t>
      </w:r>
      <w:hyperlink r:id="rId12" w:history="1">
        <w:r w:rsidR="00091C88" w:rsidRPr="00CC3D40">
          <w:rPr>
            <w:rStyle w:val="Hyperlink"/>
            <w:rFonts w:ascii="Times New Roman" w:hAnsi="Times New Roman"/>
            <w:color w:val="000000" w:themeColor="text1"/>
            <w:sz w:val="24"/>
            <w:szCs w:val="24"/>
            <w:shd w:val="clear" w:color="auto" w:fill="FFFFFF"/>
          </w:rPr>
          <w:t>http://www.scielo.br/pdf/riem/v3n1/en_04.pdf</w:t>
        </w:r>
      </w:hyperlink>
      <w:r w:rsidR="00091C88" w:rsidRPr="00CC3D40">
        <w:rPr>
          <w:rFonts w:ascii="Times New Roman" w:hAnsi="Times New Roman"/>
          <w:color w:val="000000" w:themeColor="text1"/>
          <w:sz w:val="24"/>
          <w:szCs w:val="24"/>
          <w:shd w:val="clear" w:color="auto" w:fill="FFFFFF"/>
        </w:rPr>
        <w:t xml:space="preserve"> Acesso em: 15 de agosto de 2016.</w:t>
      </w:r>
    </w:p>
    <w:p w14:paraId="415A0E5F" w14:textId="36E63305" w:rsidR="009E5295" w:rsidRPr="00CC3D40" w:rsidRDefault="009E5295" w:rsidP="0060025C">
      <w:pPr>
        <w:spacing w:after="0" w:line="240" w:lineRule="auto"/>
        <w:jc w:val="both"/>
        <w:rPr>
          <w:rFonts w:ascii="Times New Roman" w:hAnsi="Times New Roman"/>
          <w:color w:val="000000" w:themeColor="text1"/>
          <w:sz w:val="24"/>
          <w:szCs w:val="24"/>
          <w:shd w:val="clear" w:color="auto" w:fill="FFFFFF"/>
        </w:rPr>
      </w:pPr>
    </w:p>
    <w:p w14:paraId="4F1C9849" w14:textId="1B4E4C4F" w:rsidR="00DE2A81" w:rsidRPr="00CC3D40" w:rsidRDefault="003D5C63" w:rsidP="0060025C">
      <w:pPr>
        <w:spacing w:after="0" w:line="240" w:lineRule="auto"/>
        <w:jc w:val="both"/>
        <w:rPr>
          <w:rFonts w:ascii="Times New Roman" w:hAnsi="Times New Roman"/>
          <w:color w:val="000000" w:themeColor="text1"/>
          <w:sz w:val="24"/>
          <w:szCs w:val="24"/>
          <w:lang w:eastAsia="pt-BR"/>
        </w:rPr>
      </w:pPr>
      <w:r w:rsidRPr="003D5C63">
        <w:rPr>
          <w:rFonts w:ascii="Times New Roman" w:hAnsi="Times New Roman"/>
          <w:color w:val="000000" w:themeColor="text1"/>
          <w:sz w:val="24"/>
          <w:szCs w:val="24"/>
          <w:lang w:val="en-US" w:eastAsia="pt-BR"/>
        </w:rPr>
        <w:t>CORDEIRO</w:t>
      </w:r>
      <w:r w:rsidR="0018204D" w:rsidRPr="003D5C63">
        <w:rPr>
          <w:rFonts w:ascii="Times New Roman" w:hAnsi="Times New Roman"/>
          <w:color w:val="000000" w:themeColor="text1"/>
          <w:sz w:val="24"/>
          <w:szCs w:val="24"/>
          <w:lang w:val="en-US" w:eastAsia="pt-BR"/>
        </w:rPr>
        <w:t xml:space="preserve">, G. C.; </w:t>
      </w:r>
      <w:r w:rsidRPr="003D5C63">
        <w:rPr>
          <w:rFonts w:ascii="Times New Roman" w:hAnsi="Times New Roman"/>
          <w:color w:val="000000" w:themeColor="text1"/>
          <w:sz w:val="24"/>
          <w:szCs w:val="24"/>
          <w:lang w:val="en-US" w:eastAsia="pt-BR"/>
        </w:rPr>
        <w:t>TOLEDO FILHO</w:t>
      </w:r>
      <w:r w:rsidR="0018204D" w:rsidRPr="003D5C63">
        <w:rPr>
          <w:rFonts w:ascii="Times New Roman" w:hAnsi="Times New Roman"/>
          <w:color w:val="000000" w:themeColor="text1"/>
          <w:sz w:val="24"/>
          <w:szCs w:val="24"/>
          <w:lang w:val="en-US" w:eastAsia="pt-BR"/>
        </w:rPr>
        <w:t xml:space="preserve">, R. D.; </w:t>
      </w:r>
      <w:r w:rsidRPr="003D5C63">
        <w:rPr>
          <w:rFonts w:ascii="Times New Roman" w:hAnsi="Times New Roman"/>
          <w:color w:val="000000" w:themeColor="text1"/>
          <w:sz w:val="24"/>
          <w:szCs w:val="24"/>
          <w:lang w:val="en-US" w:eastAsia="pt-BR"/>
        </w:rPr>
        <w:t>FAIRBAIRN</w:t>
      </w:r>
      <w:r w:rsidR="0018204D" w:rsidRPr="003D5C63">
        <w:rPr>
          <w:rFonts w:ascii="Times New Roman" w:hAnsi="Times New Roman"/>
          <w:color w:val="000000" w:themeColor="text1"/>
          <w:sz w:val="24"/>
          <w:szCs w:val="24"/>
          <w:lang w:val="en-US" w:eastAsia="pt-BR"/>
        </w:rPr>
        <w:t xml:space="preserve">, E. M. R.; </w:t>
      </w:r>
      <w:r w:rsidRPr="003D5C63">
        <w:rPr>
          <w:rFonts w:ascii="Times New Roman" w:hAnsi="Times New Roman"/>
          <w:color w:val="000000" w:themeColor="text1"/>
          <w:sz w:val="24"/>
          <w:szCs w:val="24"/>
          <w:lang w:val="en-US" w:eastAsia="pt-BR"/>
        </w:rPr>
        <w:t>TAVARES</w:t>
      </w:r>
      <w:r w:rsidR="0018204D" w:rsidRPr="003D5C63">
        <w:rPr>
          <w:rFonts w:ascii="Times New Roman" w:hAnsi="Times New Roman"/>
          <w:color w:val="000000" w:themeColor="text1"/>
          <w:sz w:val="24"/>
          <w:szCs w:val="24"/>
          <w:lang w:val="en-US" w:eastAsia="pt-BR"/>
        </w:rPr>
        <w:t xml:space="preserve">, L. M. M. Pozzolanic activity and filler effect of sugar cane bagasse ash in Portland cement and lime mortars. </w:t>
      </w:r>
      <w:proofErr w:type="spellStart"/>
      <w:r w:rsidR="0018204D" w:rsidRPr="00CC3D40">
        <w:rPr>
          <w:rFonts w:ascii="Times New Roman" w:hAnsi="Times New Roman"/>
          <w:b/>
          <w:color w:val="000000" w:themeColor="text1"/>
          <w:sz w:val="24"/>
          <w:szCs w:val="24"/>
          <w:lang w:eastAsia="pt-BR"/>
        </w:rPr>
        <w:t>Cement</w:t>
      </w:r>
      <w:proofErr w:type="spellEnd"/>
      <w:r w:rsidR="0018204D" w:rsidRPr="00CC3D40">
        <w:rPr>
          <w:rFonts w:ascii="Times New Roman" w:hAnsi="Times New Roman"/>
          <w:b/>
          <w:color w:val="000000" w:themeColor="text1"/>
          <w:sz w:val="24"/>
          <w:szCs w:val="24"/>
          <w:lang w:eastAsia="pt-BR"/>
        </w:rPr>
        <w:t xml:space="preserve"> &amp; Concrete </w:t>
      </w:r>
      <w:proofErr w:type="spellStart"/>
      <w:r w:rsidR="0018204D" w:rsidRPr="00CC3D40">
        <w:rPr>
          <w:rFonts w:ascii="Times New Roman" w:hAnsi="Times New Roman"/>
          <w:b/>
          <w:color w:val="000000" w:themeColor="text1"/>
          <w:sz w:val="24"/>
          <w:szCs w:val="24"/>
          <w:lang w:eastAsia="pt-BR"/>
        </w:rPr>
        <w:t>Composites</w:t>
      </w:r>
      <w:proofErr w:type="spellEnd"/>
      <w:r w:rsidR="0018204D" w:rsidRPr="00CC3D40">
        <w:rPr>
          <w:rFonts w:ascii="Times New Roman" w:hAnsi="Times New Roman"/>
          <w:color w:val="000000" w:themeColor="text1"/>
          <w:sz w:val="24"/>
          <w:szCs w:val="24"/>
          <w:lang w:eastAsia="pt-BR"/>
        </w:rPr>
        <w:t>, v.30, p.410-418, 2008</w:t>
      </w:r>
      <w:r w:rsidR="00C403F6" w:rsidRPr="00CC3D40">
        <w:rPr>
          <w:rFonts w:ascii="Times New Roman" w:hAnsi="Times New Roman"/>
          <w:color w:val="000000" w:themeColor="text1"/>
          <w:sz w:val="24"/>
          <w:szCs w:val="24"/>
          <w:lang w:eastAsia="pt-BR"/>
        </w:rPr>
        <w:t xml:space="preserve">. Disponível em: </w:t>
      </w:r>
      <w:hyperlink r:id="rId13" w:history="1">
        <w:r w:rsidR="008540FC" w:rsidRPr="00CC3D40">
          <w:rPr>
            <w:rStyle w:val="Hyperlink"/>
            <w:rFonts w:ascii="Times New Roman" w:hAnsi="Times New Roman"/>
            <w:color w:val="000000" w:themeColor="text1"/>
            <w:sz w:val="24"/>
            <w:szCs w:val="24"/>
            <w:lang w:eastAsia="pt-BR"/>
          </w:rPr>
          <w:t>https://doi.org/10.1016/j.cemconcomp.2008.01.001</w:t>
        </w:r>
      </w:hyperlink>
      <w:r w:rsidR="00C403F6" w:rsidRPr="00CC3D40">
        <w:rPr>
          <w:rFonts w:ascii="Times New Roman" w:hAnsi="Times New Roman"/>
          <w:color w:val="000000" w:themeColor="text1"/>
          <w:sz w:val="24"/>
          <w:szCs w:val="24"/>
          <w:lang w:eastAsia="pt-BR"/>
        </w:rPr>
        <w:t xml:space="preserve"> Acesso em: </w:t>
      </w:r>
      <w:r w:rsidR="008540FC" w:rsidRPr="00CC3D40">
        <w:rPr>
          <w:rFonts w:ascii="Times New Roman" w:hAnsi="Times New Roman"/>
          <w:color w:val="000000" w:themeColor="text1"/>
          <w:sz w:val="24"/>
          <w:szCs w:val="24"/>
          <w:lang w:eastAsia="pt-BR"/>
        </w:rPr>
        <w:t>15 de Agosto de 2016.</w:t>
      </w:r>
    </w:p>
    <w:p w14:paraId="78072BCF" w14:textId="77777777" w:rsidR="0018204D" w:rsidRPr="00CC3D40" w:rsidRDefault="0018204D" w:rsidP="0060025C">
      <w:pPr>
        <w:spacing w:after="0" w:line="240" w:lineRule="auto"/>
        <w:jc w:val="both"/>
        <w:rPr>
          <w:rFonts w:ascii="Times New Roman" w:hAnsi="Times New Roman"/>
          <w:color w:val="000000" w:themeColor="text1"/>
          <w:sz w:val="24"/>
          <w:szCs w:val="24"/>
          <w:lang w:eastAsia="pt-BR"/>
        </w:rPr>
      </w:pPr>
    </w:p>
    <w:p w14:paraId="170B0941" w14:textId="77777777" w:rsidR="00DE2A81" w:rsidRPr="00CC3D40" w:rsidRDefault="00DE2A81" w:rsidP="0060025C">
      <w:pPr>
        <w:spacing w:after="0" w:line="240" w:lineRule="auto"/>
        <w:jc w:val="both"/>
        <w:rPr>
          <w:rFonts w:ascii="Times New Roman" w:hAnsi="Times New Roman"/>
          <w:color w:val="000000" w:themeColor="text1"/>
          <w:sz w:val="24"/>
          <w:szCs w:val="24"/>
          <w:shd w:val="clear" w:color="auto" w:fill="FFFFFF"/>
        </w:rPr>
      </w:pPr>
      <w:r w:rsidRPr="00CC3D40">
        <w:rPr>
          <w:rFonts w:ascii="Times New Roman" w:hAnsi="Times New Roman"/>
          <w:color w:val="000000" w:themeColor="text1"/>
          <w:sz w:val="24"/>
          <w:szCs w:val="24"/>
          <w:shd w:val="clear" w:color="auto" w:fill="FFFFFF"/>
          <w:lang w:val="en-US"/>
        </w:rPr>
        <w:t xml:space="preserve">DAVIDOVITS, J. Global warming impact on the cement and aggregates industries. </w:t>
      </w:r>
      <w:r w:rsidRPr="00CC3D40">
        <w:rPr>
          <w:rFonts w:ascii="Times New Roman" w:hAnsi="Times New Roman"/>
          <w:b/>
          <w:color w:val="000000" w:themeColor="text1"/>
          <w:sz w:val="24"/>
          <w:szCs w:val="24"/>
          <w:shd w:val="clear" w:color="auto" w:fill="FFFFFF"/>
        </w:rPr>
        <w:t xml:space="preserve">World </w:t>
      </w:r>
      <w:proofErr w:type="spellStart"/>
      <w:r w:rsidRPr="00CC3D40">
        <w:rPr>
          <w:rFonts w:ascii="Times New Roman" w:hAnsi="Times New Roman"/>
          <w:b/>
          <w:color w:val="000000" w:themeColor="text1"/>
          <w:sz w:val="24"/>
          <w:szCs w:val="24"/>
          <w:shd w:val="clear" w:color="auto" w:fill="FFFFFF"/>
        </w:rPr>
        <w:t>Resource</w:t>
      </w:r>
      <w:proofErr w:type="spellEnd"/>
      <w:r w:rsidRPr="00CC3D40">
        <w:rPr>
          <w:rFonts w:ascii="Times New Roman" w:hAnsi="Times New Roman"/>
          <w:b/>
          <w:color w:val="000000" w:themeColor="text1"/>
          <w:sz w:val="24"/>
          <w:szCs w:val="24"/>
          <w:shd w:val="clear" w:color="auto" w:fill="FFFFFF"/>
        </w:rPr>
        <w:t xml:space="preserve"> Review</w:t>
      </w:r>
      <w:r w:rsidRPr="00CC3D40">
        <w:rPr>
          <w:rFonts w:ascii="Times New Roman" w:hAnsi="Times New Roman"/>
          <w:color w:val="000000" w:themeColor="text1"/>
          <w:sz w:val="24"/>
          <w:szCs w:val="24"/>
          <w:shd w:val="clear" w:color="auto" w:fill="FFFFFF"/>
        </w:rPr>
        <w:t xml:space="preserve">. v. 6, n. 2, p. 263-278, 1994. </w:t>
      </w:r>
      <w:r w:rsidR="00091C88" w:rsidRPr="00CC3D40">
        <w:rPr>
          <w:rFonts w:ascii="Times New Roman" w:hAnsi="Times New Roman"/>
          <w:color w:val="000000" w:themeColor="text1"/>
          <w:sz w:val="24"/>
          <w:szCs w:val="24"/>
          <w:shd w:val="clear" w:color="auto" w:fill="FFFFFF"/>
        </w:rPr>
        <w:t xml:space="preserve">Disponível em: </w:t>
      </w:r>
      <w:hyperlink r:id="rId14" w:history="1">
        <w:r w:rsidR="00091C88" w:rsidRPr="00CC3D40">
          <w:rPr>
            <w:rStyle w:val="Hyperlink"/>
            <w:rFonts w:ascii="Times New Roman" w:hAnsi="Times New Roman"/>
            <w:color w:val="000000" w:themeColor="text1"/>
            <w:sz w:val="24"/>
            <w:szCs w:val="24"/>
            <w:shd w:val="clear" w:color="auto" w:fill="FFFFFF"/>
          </w:rPr>
          <w:t>https://www.geopolymer.org/fichiers_pdf/5GWPROCE.pdf</w:t>
        </w:r>
      </w:hyperlink>
      <w:r w:rsidR="00091C88" w:rsidRPr="00CC3D40">
        <w:rPr>
          <w:rFonts w:ascii="Times New Roman" w:hAnsi="Times New Roman"/>
          <w:color w:val="000000" w:themeColor="text1"/>
          <w:sz w:val="24"/>
          <w:szCs w:val="24"/>
          <w:shd w:val="clear" w:color="auto" w:fill="FFFFFF"/>
        </w:rPr>
        <w:t xml:space="preserve"> Acesso em: 12 de novembro de 2016.</w:t>
      </w:r>
    </w:p>
    <w:p w14:paraId="1D6EC933" w14:textId="77777777" w:rsidR="00BD3584" w:rsidRPr="00CC3D40" w:rsidRDefault="00BD3584" w:rsidP="0060025C">
      <w:pPr>
        <w:spacing w:after="0" w:line="240" w:lineRule="auto"/>
        <w:jc w:val="both"/>
        <w:rPr>
          <w:rFonts w:ascii="Times New Roman" w:hAnsi="Times New Roman"/>
          <w:color w:val="000000" w:themeColor="text1"/>
          <w:sz w:val="24"/>
          <w:szCs w:val="24"/>
        </w:rPr>
      </w:pPr>
    </w:p>
    <w:p w14:paraId="3E29610D" w14:textId="77777777" w:rsidR="00BD3584" w:rsidRPr="00CC3D40" w:rsidRDefault="00BD3584" w:rsidP="0060025C">
      <w:pPr>
        <w:spacing w:after="0" w:line="240" w:lineRule="auto"/>
        <w:jc w:val="both"/>
        <w:rPr>
          <w:rFonts w:ascii="Times New Roman" w:hAnsi="Times New Roman"/>
          <w:color w:val="000000" w:themeColor="text1"/>
          <w:sz w:val="24"/>
          <w:szCs w:val="24"/>
        </w:rPr>
      </w:pPr>
      <w:r w:rsidRPr="00CC3D40">
        <w:rPr>
          <w:rFonts w:ascii="Times New Roman" w:hAnsi="Times New Roman"/>
          <w:color w:val="000000" w:themeColor="text1"/>
          <w:sz w:val="24"/>
          <w:szCs w:val="24"/>
        </w:rPr>
        <w:t xml:space="preserve">DEMANBORO, A. C.; FERRÃO, A. M. A.; MARIOTONI, C. A. </w:t>
      </w:r>
      <w:r w:rsidRPr="00CC3D40">
        <w:rPr>
          <w:rFonts w:ascii="Times New Roman" w:hAnsi="Times New Roman"/>
          <w:b/>
          <w:color w:val="000000" w:themeColor="text1"/>
          <w:sz w:val="24"/>
          <w:szCs w:val="24"/>
        </w:rPr>
        <w:t>Desafios da construção sustentável sob o enfoque do estoque de recursos naturais</w:t>
      </w:r>
      <w:r w:rsidRPr="00CC3D40">
        <w:rPr>
          <w:rFonts w:ascii="Times New Roman" w:hAnsi="Times New Roman"/>
          <w:color w:val="000000" w:themeColor="text1"/>
          <w:sz w:val="24"/>
          <w:szCs w:val="24"/>
        </w:rPr>
        <w:t>. In: C</w:t>
      </w:r>
      <w:r w:rsidR="00CE27BD" w:rsidRPr="00CC3D40">
        <w:rPr>
          <w:rFonts w:ascii="Times New Roman" w:hAnsi="Times New Roman"/>
          <w:color w:val="000000" w:themeColor="text1"/>
          <w:sz w:val="24"/>
          <w:szCs w:val="24"/>
        </w:rPr>
        <w:t>onferência latino-americana de construção sustentável, 1, Encontro nacional de tecnologia do ambiente construído</w:t>
      </w:r>
      <w:r w:rsidRPr="00CC3D40">
        <w:rPr>
          <w:rFonts w:ascii="Times New Roman" w:hAnsi="Times New Roman"/>
          <w:color w:val="000000" w:themeColor="text1"/>
          <w:sz w:val="24"/>
          <w:szCs w:val="24"/>
        </w:rPr>
        <w:t>, 10, 2004, São Paulo. Anais</w:t>
      </w:r>
      <w:r w:rsidRPr="00CC3D40">
        <w:rPr>
          <w:rFonts w:ascii="Times New Roman" w:hAnsi="Times New Roman"/>
          <w:b/>
          <w:color w:val="000000" w:themeColor="text1"/>
          <w:sz w:val="24"/>
          <w:szCs w:val="24"/>
        </w:rPr>
        <w:t>.</w:t>
      </w:r>
      <w:r w:rsidRPr="00CC3D40">
        <w:rPr>
          <w:rFonts w:ascii="Times New Roman" w:hAnsi="Times New Roman"/>
          <w:color w:val="000000" w:themeColor="text1"/>
          <w:sz w:val="24"/>
          <w:szCs w:val="24"/>
        </w:rPr>
        <w:t xml:space="preserve"> 9 p.</w:t>
      </w:r>
      <w:r w:rsidR="00091C88" w:rsidRPr="00CC3D40">
        <w:rPr>
          <w:rFonts w:ascii="Times New Roman" w:hAnsi="Times New Roman"/>
          <w:color w:val="000000" w:themeColor="text1"/>
          <w:sz w:val="24"/>
          <w:szCs w:val="24"/>
        </w:rPr>
        <w:t xml:space="preserve"> Disponível em: </w:t>
      </w:r>
      <w:hyperlink r:id="rId15" w:history="1">
        <w:r w:rsidR="00091C88" w:rsidRPr="00CC3D40">
          <w:rPr>
            <w:rStyle w:val="Hyperlink"/>
            <w:rFonts w:ascii="Times New Roman" w:hAnsi="Times New Roman"/>
            <w:color w:val="000000" w:themeColor="text1"/>
            <w:sz w:val="24"/>
            <w:szCs w:val="24"/>
          </w:rPr>
          <w:t>ftp://ip20017719.eng.ufjf.br/Public/AnaisEventosCientificos/ENTAC_2004/trabalhos/PAP0688d.pdf</w:t>
        </w:r>
      </w:hyperlink>
      <w:r w:rsidR="00091C88" w:rsidRPr="00CC3D40">
        <w:rPr>
          <w:rFonts w:ascii="Times New Roman" w:hAnsi="Times New Roman"/>
          <w:color w:val="000000" w:themeColor="text1"/>
          <w:sz w:val="24"/>
          <w:szCs w:val="24"/>
        </w:rPr>
        <w:t xml:space="preserve"> Acesso em: 15 de agosto de 2017.</w:t>
      </w:r>
    </w:p>
    <w:p w14:paraId="547CFA0D" w14:textId="77777777" w:rsidR="00BD3584" w:rsidRPr="00CC3D40" w:rsidRDefault="00BD3584" w:rsidP="0060025C">
      <w:pPr>
        <w:spacing w:after="0" w:line="240" w:lineRule="auto"/>
        <w:jc w:val="both"/>
        <w:rPr>
          <w:rFonts w:ascii="Times New Roman" w:hAnsi="Times New Roman"/>
          <w:color w:val="000000" w:themeColor="text1"/>
          <w:sz w:val="24"/>
          <w:szCs w:val="24"/>
        </w:rPr>
      </w:pPr>
    </w:p>
    <w:p w14:paraId="5991A5C1" w14:textId="789F9C83"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r w:rsidRPr="00CC3D40">
        <w:rPr>
          <w:rFonts w:ascii="Times New Roman" w:hAnsi="Times New Roman"/>
          <w:color w:val="000000" w:themeColor="text1"/>
          <w:sz w:val="24"/>
          <w:szCs w:val="24"/>
          <w:lang w:eastAsia="pt-BR"/>
        </w:rPr>
        <w:t xml:space="preserve">FRANK, R. Concreto Sustentável. </w:t>
      </w:r>
      <w:proofErr w:type="spellStart"/>
      <w:r w:rsidRPr="00CC3D40">
        <w:rPr>
          <w:rFonts w:ascii="Times New Roman" w:hAnsi="Times New Roman"/>
          <w:b/>
          <w:bCs/>
          <w:color w:val="000000" w:themeColor="text1"/>
          <w:sz w:val="24"/>
          <w:szCs w:val="24"/>
          <w:lang w:eastAsia="pt-BR"/>
        </w:rPr>
        <w:t>Téchne</w:t>
      </w:r>
      <w:proofErr w:type="spellEnd"/>
      <w:r w:rsidR="00091C88" w:rsidRPr="00CC3D40">
        <w:rPr>
          <w:rFonts w:ascii="Times New Roman" w:hAnsi="Times New Roman"/>
          <w:color w:val="000000" w:themeColor="text1"/>
          <w:sz w:val="24"/>
          <w:szCs w:val="24"/>
          <w:lang w:eastAsia="pt-BR"/>
        </w:rPr>
        <w:t>. Pág. 24-28 – Edição 1</w:t>
      </w:r>
      <w:r w:rsidR="00FB0870" w:rsidRPr="00CC3D40">
        <w:rPr>
          <w:rFonts w:ascii="Times New Roman" w:hAnsi="Times New Roman"/>
          <w:color w:val="000000" w:themeColor="text1"/>
          <w:sz w:val="24"/>
          <w:szCs w:val="24"/>
          <w:lang w:eastAsia="pt-BR"/>
        </w:rPr>
        <w:t>3</w:t>
      </w:r>
      <w:r w:rsidR="00091C88" w:rsidRPr="00CC3D40">
        <w:rPr>
          <w:rFonts w:ascii="Times New Roman" w:hAnsi="Times New Roman"/>
          <w:color w:val="000000" w:themeColor="text1"/>
          <w:sz w:val="24"/>
          <w:szCs w:val="24"/>
          <w:lang w:eastAsia="pt-BR"/>
        </w:rPr>
        <w:t xml:space="preserve">9, </w:t>
      </w:r>
      <w:r w:rsidRPr="00CC3D40">
        <w:rPr>
          <w:rFonts w:ascii="Times New Roman" w:hAnsi="Times New Roman"/>
          <w:color w:val="000000" w:themeColor="text1"/>
          <w:sz w:val="24"/>
          <w:szCs w:val="24"/>
          <w:lang w:eastAsia="pt-BR"/>
        </w:rPr>
        <w:t>2008.</w:t>
      </w:r>
    </w:p>
    <w:p w14:paraId="4390BF92" w14:textId="77777777" w:rsidR="00BD3584" w:rsidRPr="00CC3D40" w:rsidRDefault="00BD3584" w:rsidP="0060025C">
      <w:pPr>
        <w:autoSpaceDE w:val="0"/>
        <w:autoSpaceDN w:val="0"/>
        <w:adjustRightInd w:val="0"/>
        <w:spacing w:after="0" w:line="240" w:lineRule="auto"/>
        <w:jc w:val="both"/>
        <w:rPr>
          <w:rFonts w:ascii="Times New Roman" w:hAnsi="Times New Roman"/>
          <w:color w:val="000000" w:themeColor="text1"/>
          <w:sz w:val="24"/>
          <w:szCs w:val="24"/>
          <w:lang w:eastAsia="pt-BR"/>
        </w:rPr>
      </w:pPr>
    </w:p>
    <w:p w14:paraId="23121171" w14:textId="77777777" w:rsidR="00BD3584" w:rsidRPr="00CC3D40" w:rsidRDefault="00BD3584" w:rsidP="0060025C">
      <w:pPr>
        <w:spacing w:after="0" w:line="240" w:lineRule="auto"/>
        <w:jc w:val="both"/>
        <w:rPr>
          <w:rFonts w:ascii="Times New Roman" w:hAnsi="Times New Roman"/>
          <w:color w:val="000000" w:themeColor="text1"/>
          <w:sz w:val="24"/>
          <w:szCs w:val="24"/>
          <w:shd w:val="clear" w:color="auto" w:fill="FFFFFF"/>
        </w:rPr>
      </w:pPr>
      <w:r w:rsidRPr="00CC3D40">
        <w:rPr>
          <w:rFonts w:ascii="Times New Roman" w:hAnsi="Times New Roman"/>
          <w:color w:val="000000" w:themeColor="text1"/>
          <w:sz w:val="24"/>
          <w:szCs w:val="24"/>
          <w:shd w:val="clear" w:color="auto" w:fill="FFFFFF"/>
        </w:rPr>
        <w:t xml:space="preserve">NUNES, I. H. S.; </w:t>
      </w:r>
      <w:r w:rsidR="00081CFA" w:rsidRPr="00CC3D40">
        <w:rPr>
          <w:rFonts w:ascii="Times New Roman" w:hAnsi="Times New Roman"/>
          <w:color w:val="000000" w:themeColor="text1"/>
          <w:sz w:val="24"/>
          <w:szCs w:val="24"/>
          <w:shd w:val="clear" w:color="auto" w:fill="FFFFFF"/>
        </w:rPr>
        <w:t>VANDERLEI</w:t>
      </w:r>
      <w:r w:rsidRPr="00CC3D40">
        <w:rPr>
          <w:rFonts w:ascii="Times New Roman" w:hAnsi="Times New Roman"/>
          <w:color w:val="000000" w:themeColor="text1"/>
          <w:sz w:val="24"/>
          <w:szCs w:val="24"/>
          <w:shd w:val="clear" w:color="auto" w:fill="FFFFFF"/>
        </w:rPr>
        <w:t>, R. D.; SECCHI, M.; ABE, M. A. P. Estudo das características físicas e químicas da cinza do bagaço de cana-de- açúcar para uso na construção.</w:t>
      </w:r>
      <w:r w:rsidRPr="00CC3D40">
        <w:rPr>
          <w:rStyle w:val="apple-converted-space"/>
          <w:rFonts w:ascii="Times New Roman" w:hAnsi="Times New Roman"/>
          <w:color w:val="000000" w:themeColor="text1"/>
          <w:sz w:val="24"/>
          <w:szCs w:val="24"/>
          <w:shd w:val="clear" w:color="auto" w:fill="FFFFFF"/>
        </w:rPr>
        <w:t> </w:t>
      </w:r>
      <w:r w:rsidRPr="00CC3D40">
        <w:rPr>
          <w:rStyle w:val="Forte"/>
          <w:rFonts w:ascii="Times New Roman" w:hAnsi="Times New Roman"/>
          <w:color w:val="000000" w:themeColor="text1"/>
          <w:sz w:val="24"/>
          <w:szCs w:val="24"/>
          <w:shd w:val="clear" w:color="auto" w:fill="FFFFFF"/>
        </w:rPr>
        <w:t>Revista Tecnológica</w:t>
      </w:r>
      <w:r w:rsidRPr="00CC3D40">
        <w:rPr>
          <w:rStyle w:val="Forte"/>
          <w:rFonts w:ascii="Times New Roman" w:hAnsi="Times New Roman"/>
          <w:b w:val="0"/>
          <w:color w:val="000000" w:themeColor="text1"/>
          <w:sz w:val="24"/>
          <w:szCs w:val="24"/>
          <w:shd w:val="clear" w:color="auto" w:fill="FFFFFF"/>
        </w:rPr>
        <w:t>,</w:t>
      </w:r>
      <w:r w:rsidRPr="00CC3D40">
        <w:rPr>
          <w:rStyle w:val="apple-converted-space"/>
          <w:rFonts w:ascii="Times New Roman" w:hAnsi="Times New Roman"/>
          <w:bCs/>
          <w:color w:val="000000" w:themeColor="text1"/>
          <w:sz w:val="24"/>
          <w:szCs w:val="24"/>
          <w:shd w:val="clear" w:color="auto" w:fill="FFFFFF"/>
        </w:rPr>
        <w:t xml:space="preserve"> </w:t>
      </w:r>
      <w:r w:rsidRPr="00CC3D40">
        <w:rPr>
          <w:rFonts w:ascii="Times New Roman" w:hAnsi="Times New Roman"/>
          <w:color w:val="000000" w:themeColor="text1"/>
          <w:sz w:val="24"/>
          <w:szCs w:val="24"/>
          <w:shd w:val="clear" w:color="auto" w:fill="FFFFFF"/>
        </w:rPr>
        <w:t>Maringá, v. 17, p.39-48, 2008.</w:t>
      </w:r>
      <w:r w:rsidR="00081CFA" w:rsidRPr="00CC3D40">
        <w:rPr>
          <w:rFonts w:ascii="Times New Roman" w:hAnsi="Times New Roman"/>
          <w:color w:val="000000" w:themeColor="text1"/>
          <w:sz w:val="24"/>
          <w:szCs w:val="24"/>
          <w:shd w:val="clear" w:color="auto" w:fill="FFFFFF"/>
        </w:rPr>
        <w:t xml:space="preserve"> Disponível em: </w:t>
      </w:r>
      <w:hyperlink r:id="rId16" w:history="1">
        <w:r w:rsidR="00081CFA" w:rsidRPr="00CC3D40">
          <w:rPr>
            <w:rStyle w:val="Hyperlink"/>
            <w:rFonts w:ascii="Times New Roman" w:hAnsi="Times New Roman"/>
            <w:color w:val="000000" w:themeColor="text1"/>
            <w:sz w:val="24"/>
            <w:szCs w:val="24"/>
            <w:shd w:val="clear" w:color="auto" w:fill="FFFFFF"/>
          </w:rPr>
          <w:t>http://dx.doi.org/10.4025/revtecnol.v17i1.8728.g5158</w:t>
        </w:r>
      </w:hyperlink>
      <w:r w:rsidR="00081CFA" w:rsidRPr="00CC3D40">
        <w:rPr>
          <w:rFonts w:ascii="Times New Roman" w:hAnsi="Times New Roman"/>
          <w:color w:val="000000" w:themeColor="text1"/>
          <w:sz w:val="24"/>
          <w:szCs w:val="24"/>
          <w:shd w:val="clear" w:color="auto" w:fill="FFFFFF"/>
        </w:rPr>
        <w:t xml:space="preserve"> Acesso em: 16 de agosto de 2016</w:t>
      </w:r>
    </w:p>
    <w:p w14:paraId="0733E7E2" w14:textId="77777777" w:rsidR="00BD3584" w:rsidRPr="00CC3D40" w:rsidRDefault="00BD3584" w:rsidP="0060025C">
      <w:pPr>
        <w:spacing w:after="0" w:line="240" w:lineRule="auto"/>
        <w:jc w:val="both"/>
        <w:rPr>
          <w:rFonts w:ascii="Times New Roman" w:hAnsi="Times New Roman"/>
          <w:color w:val="000000" w:themeColor="text1"/>
          <w:sz w:val="24"/>
          <w:szCs w:val="24"/>
          <w:shd w:val="clear" w:color="auto" w:fill="FFFFFF"/>
        </w:rPr>
      </w:pPr>
    </w:p>
    <w:p w14:paraId="6D5375AE" w14:textId="77777777" w:rsidR="00BD3584" w:rsidRPr="00CC3D40" w:rsidRDefault="00BD3584" w:rsidP="0060025C">
      <w:pPr>
        <w:spacing w:after="0" w:line="240" w:lineRule="auto"/>
        <w:jc w:val="both"/>
        <w:rPr>
          <w:rFonts w:ascii="Times New Roman" w:hAnsi="Times New Roman"/>
          <w:color w:val="000000" w:themeColor="text1"/>
          <w:sz w:val="24"/>
          <w:szCs w:val="24"/>
          <w:shd w:val="clear" w:color="auto" w:fill="FFFFFF"/>
        </w:rPr>
      </w:pPr>
      <w:r w:rsidRPr="00CC3D40">
        <w:rPr>
          <w:rFonts w:ascii="Times New Roman" w:hAnsi="Times New Roman"/>
          <w:color w:val="000000" w:themeColor="text1"/>
          <w:sz w:val="24"/>
          <w:szCs w:val="24"/>
          <w:shd w:val="clear" w:color="auto" w:fill="FFFFFF"/>
        </w:rPr>
        <w:t xml:space="preserve">PAULA, M.O.; TINÔCO, I. F. F.; RODRIGUES, C. S.; SARAZ, J. A. O. </w:t>
      </w:r>
      <w:proofErr w:type="spellStart"/>
      <w:r w:rsidRPr="00CC3D40">
        <w:rPr>
          <w:rFonts w:ascii="Times New Roman" w:hAnsi="Times New Roman"/>
          <w:color w:val="000000" w:themeColor="text1"/>
          <w:sz w:val="24"/>
          <w:szCs w:val="24"/>
          <w:shd w:val="clear" w:color="auto" w:fill="FFFFFF"/>
        </w:rPr>
        <w:t>Sugarcane</w:t>
      </w:r>
      <w:proofErr w:type="spellEnd"/>
      <w:r w:rsidRPr="00CC3D40">
        <w:rPr>
          <w:rFonts w:ascii="Times New Roman" w:hAnsi="Times New Roman"/>
          <w:color w:val="000000" w:themeColor="text1"/>
          <w:sz w:val="24"/>
          <w:szCs w:val="24"/>
          <w:shd w:val="clear" w:color="auto" w:fill="FFFFFF"/>
        </w:rPr>
        <w:t xml:space="preserve"> bagasse </w:t>
      </w:r>
      <w:proofErr w:type="spellStart"/>
      <w:r w:rsidRPr="00CC3D40">
        <w:rPr>
          <w:rFonts w:ascii="Times New Roman" w:hAnsi="Times New Roman"/>
          <w:color w:val="000000" w:themeColor="text1"/>
          <w:sz w:val="24"/>
          <w:szCs w:val="24"/>
          <w:shd w:val="clear" w:color="auto" w:fill="FFFFFF"/>
        </w:rPr>
        <w:t>ash</w:t>
      </w:r>
      <w:proofErr w:type="spellEnd"/>
      <w:r w:rsidRPr="00CC3D40">
        <w:rPr>
          <w:rFonts w:ascii="Times New Roman" w:hAnsi="Times New Roman"/>
          <w:color w:val="000000" w:themeColor="text1"/>
          <w:sz w:val="24"/>
          <w:szCs w:val="24"/>
          <w:shd w:val="clear" w:color="auto" w:fill="FFFFFF"/>
        </w:rPr>
        <w:t xml:space="preserve"> as a </w:t>
      </w:r>
      <w:proofErr w:type="spellStart"/>
      <w:r w:rsidRPr="00CC3D40">
        <w:rPr>
          <w:rFonts w:ascii="Times New Roman" w:hAnsi="Times New Roman"/>
          <w:color w:val="000000" w:themeColor="text1"/>
          <w:sz w:val="24"/>
          <w:szCs w:val="24"/>
          <w:shd w:val="clear" w:color="auto" w:fill="FFFFFF"/>
        </w:rPr>
        <w:t>partial</w:t>
      </w:r>
      <w:proofErr w:type="spellEnd"/>
      <w:r w:rsidRPr="00CC3D40">
        <w:rPr>
          <w:rFonts w:ascii="Times New Roman" w:hAnsi="Times New Roman"/>
          <w:color w:val="000000" w:themeColor="text1"/>
          <w:sz w:val="24"/>
          <w:szCs w:val="24"/>
          <w:shd w:val="clear" w:color="auto" w:fill="FFFFFF"/>
        </w:rPr>
        <w:t xml:space="preserve"> Portland </w:t>
      </w:r>
      <w:proofErr w:type="spellStart"/>
      <w:r w:rsidRPr="00CC3D40">
        <w:rPr>
          <w:rFonts w:ascii="Times New Roman" w:hAnsi="Times New Roman"/>
          <w:color w:val="000000" w:themeColor="text1"/>
          <w:sz w:val="24"/>
          <w:szCs w:val="24"/>
          <w:shd w:val="clear" w:color="auto" w:fill="FFFFFF"/>
        </w:rPr>
        <w:t>cement</w:t>
      </w:r>
      <w:proofErr w:type="spellEnd"/>
      <w:r w:rsidRPr="00CC3D40">
        <w:rPr>
          <w:rFonts w:ascii="Times New Roman" w:hAnsi="Times New Roman"/>
          <w:color w:val="000000" w:themeColor="text1"/>
          <w:sz w:val="24"/>
          <w:szCs w:val="24"/>
          <w:shd w:val="clear" w:color="auto" w:fill="FFFFFF"/>
        </w:rPr>
        <w:t xml:space="preserve"> </w:t>
      </w:r>
      <w:proofErr w:type="spellStart"/>
      <w:r w:rsidRPr="00CC3D40">
        <w:rPr>
          <w:rFonts w:ascii="Times New Roman" w:hAnsi="Times New Roman"/>
          <w:color w:val="000000" w:themeColor="text1"/>
          <w:sz w:val="24"/>
          <w:szCs w:val="24"/>
          <w:shd w:val="clear" w:color="auto" w:fill="FFFFFF"/>
        </w:rPr>
        <w:t>replacement</w:t>
      </w:r>
      <w:proofErr w:type="spellEnd"/>
      <w:r w:rsidRPr="00CC3D40">
        <w:rPr>
          <w:rFonts w:ascii="Times New Roman" w:hAnsi="Times New Roman"/>
          <w:color w:val="000000" w:themeColor="text1"/>
          <w:sz w:val="24"/>
          <w:szCs w:val="24"/>
          <w:shd w:val="clear" w:color="auto" w:fill="FFFFFF"/>
        </w:rPr>
        <w:t xml:space="preserve"> material. </w:t>
      </w:r>
      <w:proofErr w:type="spellStart"/>
      <w:r w:rsidRPr="00CC3D40">
        <w:rPr>
          <w:rFonts w:ascii="Times New Roman" w:hAnsi="Times New Roman"/>
          <w:b/>
          <w:color w:val="000000" w:themeColor="text1"/>
          <w:sz w:val="24"/>
          <w:szCs w:val="24"/>
          <w:shd w:val="clear" w:color="auto" w:fill="FFFFFF"/>
        </w:rPr>
        <w:t>Dyna</w:t>
      </w:r>
      <w:proofErr w:type="spellEnd"/>
      <w:r w:rsidRPr="00CC3D40">
        <w:rPr>
          <w:rFonts w:ascii="Times New Roman" w:hAnsi="Times New Roman"/>
          <w:color w:val="000000" w:themeColor="text1"/>
          <w:sz w:val="24"/>
          <w:szCs w:val="24"/>
          <w:shd w:val="clear" w:color="auto" w:fill="FFFFFF"/>
        </w:rPr>
        <w:t xml:space="preserve">. </w:t>
      </w:r>
      <w:proofErr w:type="spellStart"/>
      <w:r w:rsidRPr="00CC3D40">
        <w:rPr>
          <w:rFonts w:ascii="Times New Roman" w:hAnsi="Times New Roman"/>
          <w:color w:val="000000" w:themeColor="text1"/>
          <w:sz w:val="24"/>
          <w:szCs w:val="24"/>
          <w:shd w:val="clear" w:color="auto" w:fill="FFFFFF"/>
        </w:rPr>
        <w:t>Medellin</w:t>
      </w:r>
      <w:proofErr w:type="spellEnd"/>
      <w:r w:rsidRPr="00CC3D40">
        <w:rPr>
          <w:rFonts w:ascii="Times New Roman" w:hAnsi="Times New Roman"/>
          <w:color w:val="000000" w:themeColor="text1"/>
          <w:sz w:val="24"/>
          <w:szCs w:val="24"/>
          <w:shd w:val="clear" w:color="auto" w:fill="FFFFFF"/>
        </w:rPr>
        <w:t xml:space="preserve">, v. 77, n. </w:t>
      </w:r>
      <w:r w:rsidRPr="00CC3D40">
        <w:rPr>
          <w:rFonts w:ascii="Times New Roman" w:hAnsi="Times New Roman"/>
          <w:color w:val="000000" w:themeColor="text1"/>
          <w:sz w:val="24"/>
          <w:szCs w:val="24"/>
          <w:shd w:val="clear" w:color="auto" w:fill="FFFFFF"/>
        </w:rPr>
        <w:lastRenderedPageBreak/>
        <w:t>163, p. 47-54, 2010.</w:t>
      </w:r>
      <w:r w:rsidR="00081CFA" w:rsidRPr="00CC3D40">
        <w:rPr>
          <w:rFonts w:ascii="Times New Roman" w:hAnsi="Times New Roman"/>
          <w:color w:val="000000" w:themeColor="text1"/>
          <w:sz w:val="24"/>
          <w:szCs w:val="24"/>
          <w:shd w:val="clear" w:color="auto" w:fill="FFFFFF"/>
        </w:rPr>
        <w:t xml:space="preserve"> Disponível em: </w:t>
      </w:r>
      <w:hyperlink r:id="rId17" w:history="1">
        <w:r w:rsidR="00081CFA" w:rsidRPr="00CC3D40">
          <w:rPr>
            <w:rStyle w:val="Hyperlink"/>
            <w:rFonts w:ascii="Times New Roman" w:hAnsi="Times New Roman"/>
            <w:color w:val="000000" w:themeColor="text1"/>
            <w:sz w:val="24"/>
            <w:szCs w:val="24"/>
            <w:shd w:val="clear" w:color="auto" w:fill="FFFFFF"/>
          </w:rPr>
          <w:t>http://www.scielo.org.co/pdf/dyna/v77n163/a05v77n163.pdf</w:t>
        </w:r>
      </w:hyperlink>
      <w:r w:rsidR="00081CFA" w:rsidRPr="00CC3D40">
        <w:rPr>
          <w:rFonts w:ascii="Times New Roman" w:hAnsi="Times New Roman"/>
          <w:color w:val="000000" w:themeColor="text1"/>
          <w:sz w:val="24"/>
          <w:szCs w:val="24"/>
          <w:shd w:val="clear" w:color="auto" w:fill="FFFFFF"/>
        </w:rPr>
        <w:t xml:space="preserve"> Acesso em: 18 de agosto de 2016.</w:t>
      </w:r>
    </w:p>
    <w:p w14:paraId="35D69756" w14:textId="77777777" w:rsidR="00BD3584" w:rsidRPr="00CC3D40" w:rsidRDefault="00BD3584" w:rsidP="0060025C">
      <w:pPr>
        <w:spacing w:after="0" w:line="240" w:lineRule="auto"/>
        <w:jc w:val="both"/>
        <w:rPr>
          <w:rFonts w:ascii="Times New Roman" w:hAnsi="Times New Roman"/>
          <w:color w:val="000000" w:themeColor="text1"/>
          <w:sz w:val="24"/>
          <w:szCs w:val="24"/>
          <w:shd w:val="clear" w:color="auto" w:fill="FFFFFF"/>
        </w:rPr>
      </w:pPr>
    </w:p>
    <w:p w14:paraId="0478934A" w14:textId="77777777" w:rsidR="004D4D8F" w:rsidRPr="00CC3D40" w:rsidRDefault="00BD3584" w:rsidP="0060025C">
      <w:pPr>
        <w:spacing w:after="0" w:line="240" w:lineRule="auto"/>
        <w:jc w:val="both"/>
        <w:rPr>
          <w:rFonts w:ascii="Times New Roman" w:hAnsi="Times New Roman"/>
          <w:bCs/>
          <w:color w:val="000000" w:themeColor="text1"/>
          <w:sz w:val="24"/>
          <w:szCs w:val="24"/>
          <w:shd w:val="clear" w:color="auto" w:fill="FFFFFF"/>
        </w:rPr>
      </w:pPr>
      <w:r w:rsidRPr="00CC3D40">
        <w:rPr>
          <w:rFonts w:ascii="Times New Roman" w:hAnsi="Times New Roman"/>
          <w:color w:val="000000" w:themeColor="text1"/>
          <w:sz w:val="24"/>
          <w:szCs w:val="24"/>
          <w:shd w:val="clear" w:color="auto" w:fill="FFFFFF"/>
        </w:rPr>
        <w:t xml:space="preserve">PAULA, M.O.; TINÔCO, I. F. F.; RODRIGUES, C. S.; SILVA, E. N.; SOUZA, C. F. </w:t>
      </w:r>
      <w:r w:rsidRPr="00CC3D40">
        <w:rPr>
          <w:rStyle w:val="Forte"/>
          <w:rFonts w:ascii="Times New Roman" w:hAnsi="Times New Roman"/>
          <w:b w:val="0"/>
          <w:color w:val="000000" w:themeColor="text1"/>
          <w:sz w:val="24"/>
          <w:szCs w:val="24"/>
          <w:shd w:val="clear" w:color="auto" w:fill="FFFFFF"/>
        </w:rPr>
        <w:t xml:space="preserve">Potencial da cinza do bagaço da cana-de-açúcar como material de substituição parcial de cimento Portland. </w:t>
      </w:r>
      <w:r w:rsidRPr="00CC3D40">
        <w:rPr>
          <w:rStyle w:val="apple-converted-space"/>
          <w:rFonts w:ascii="Times New Roman" w:hAnsi="Times New Roman"/>
          <w:b/>
          <w:bCs/>
          <w:color w:val="000000" w:themeColor="text1"/>
          <w:sz w:val="24"/>
          <w:szCs w:val="24"/>
          <w:shd w:val="clear" w:color="auto" w:fill="FFFFFF"/>
        </w:rPr>
        <w:t>Revista Brasileira de Engenharia Agrícola e Ambiental</w:t>
      </w:r>
      <w:r w:rsidRPr="00CC3D40">
        <w:rPr>
          <w:rStyle w:val="apple-converted-space"/>
          <w:rFonts w:ascii="Times New Roman" w:hAnsi="Times New Roman"/>
          <w:bCs/>
          <w:color w:val="000000" w:themeColor="text1"/>
          <w:sz w:val="24"/>
          <w:szCs w:val="24"/>
          <w:shd w:val="clear" w:color="auto" w:fill="FFFFFF"/>
        </w:rPr>
        <w:t>.</w:t>
      </w:r>
      <w:r w:rsidRPr="00CC3D40">
        <w:rPr>
          <w:rStyle w:val="apple-converted-space"/>
          <w:rFonts w:ascii="Times New Roman" w:hAnsi="Times New Roman"/>
          <w:b/>
          <w:bCs/>
          <w:color w:val="000000" w:themeColor="text1"/>
          <w:sz w:val="24"/>
          <w:szCs w:val="24"/>
          <w:shd w:val="clear" w:color="auto" w:fill="FFFFFF"/>
        </w:rPr>
        <w:t xml:space="preserve"> </w:t>
      </w:r>
      <w:r w:rsidRPr="00CC3D40">
        <w:rPr>
          <w:rStyle w:val="apple-converted-space"/>
          <w:rFonts w:ascii="Times New Roman" w:hAnsi="Times New Roman"/>
          <w:bCs/>
          <w:color w:val="000000" w:themeColor="text1"/>
          <w:sz w:val="24"/>
          <w:szCs w:val="24"/>
          <w:shd w:val="clear" w:color="auto" w:fill="FFFFFF"/>
        </w:rPr>
        <w:t>Campina Grande, v. 13, n.3, p 353-357, 2009.</w:t>
      </w:r>
      <w:r w:rsidR="00081CFA" w:rsidRPr="00CC3D40">
        <w:rPr>
          <w:rStyle w:val="apple-converted-space"/>
          <w:rFonts w:ascii="Times New Roman" w:hAnsi="Times New Roman"/>
          <w:bCs/>
          <w:color w:val="000000" w:themeColor="text1"/>
          <w:sz w:val="24"/>
          <w:szCs w:val="24"/>
          <w:shd w:val="clear" w:color="auto" w:fill="FFFFFF"/>
        </w:rPr>
        <w:t xml:space="preserve"> Disponível em: </w:t>
      </w:r>
      <w:hyperlink r:id="rId18" w:history="1">
        <w:r w:rsidR="00081CFA" w:rsidRPr="00CC3D40">
          <w:rPr>
            <w:rStyle w:val="Hyperlink"/>
            <w:rFonts w:ascii="Times New Roman" w:hAnsi="Times New Roman"/>
            <w:color w:val="000000" w:themeColor="text1"/>
            <w:sz w:val="24"/>
            <w:szCs w:val="24"/>
            <w:shd w:val="clear" w:color="auto" w:fill="FFFFFF"/>
          </w:rPr>
          <w:t>http://dx.doi.org/10.1590/S1415-43662009000300019</w:t>
        </w:r>
      </w:hyperlink>
      <w:r w:rsidR="00081CFA" w:rsidRPr="00CC3D40">
        <w:rPr>
          <w:rStyle w:val="apple-converted-space"/>
          <w:rFonts w:ascii="Times New Roman" w:hAnsi="Times New Roman"/>
          <w:bCs/>
          <w:color w:val="000000" w:themeColor="text1"/>
          <w:sz w:val="24"/>
          <w:szCs w:val="24"/>
          <w:shd w:val="clear" w:color="auto" w:fill="FFFFFF"/>
        </w:rPr>
        <w:t xml:space="preserve"> Acesso em: 15 de agosto de 2016.</w:t>
      </w:r>
    </w:p>
    <w:sectPr w:rsidR="004D4D8F" w:rsidRPr="00CC3D40" w:rsidSect="003A4090">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43DA" w14:textId="77777777" w:rsidR="0094183F" w:rsidRDefault="0094183F" w:rsidP="002E1B31">
      <w:pPr>
        <w:spacing w:after="0" w:line="240" w:lineRule="auto"/>
      </w:pPr>
      <w:r>
        <w:separator/>
      </w:r>
    </w:p>
  </w:endnote>
  <w:endnote w:type="continuationSeparator" w:id="0">
    <w:p w14:paraId="7965055A" w14:textId="77777777" w:rsidR="0094183F" w:rsidRDefault="0094183F" w:rsidP="002E1B31">
      <w:pPr>
        <w:spacing w:after="0" w:line="240" w:lineRule="auto"/>
      </w:pPr>
      <w:r>
        <w:continuationSeparator/>
      </w:r>
    </w:p>
  </w:endnote>
  <w:endnote w:type="continuationNotice" w:id="1">
    <w:p w14:paraId="7EA62B6C" w14:textId="77777777" w:rsidR="0094183F" w:rsidRDefault="00941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D539" w14:textId="77777777" w:rsidR="002E1B31" w:rsidRDefault="002E1B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7774" w14:textId="77777777" w:rsidR="002E1B31" w:rsidRDefault="002E1B3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F037" w14:textId="77777777" w:rsidR="002E1B31" w:rsidRDefault="002E1B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1767D" w14:textId="77777777" w:rsidR="0094183F" w:rsidRDefault="0094183F" w:rsidP="002E1B31">
      <w:pPr>
        <w:spacing w:after="0" w:line="240" w:lineRule="auto"/>
      </w:pPr>
      <w:r>
        <w:separator/>
      </w:r>
    </w:p>
  </w:footnote>
  <w:footnote w:type="continuationSeparator" w:id="0">
    <w:p w14:paraId="3777D7DE" w14:textId="77777777" w:rsidR="0094183F" w:rsidRDefault="0094183F" w:rsidP="002E1B31">
      <w:pPr>
        <w:spacing w:after="0" w:line="240" w:lineRule="auto"/>
      </w:pPr>
      <w:r>
        <w:continuationSeparator/>
      </w:r>
    </w:p>
  </w:footnote>
  <w:footnote w:type="continuationNotice" w:id="1">
    <w:p w14:paraId="4332C191" w14:textId="77777777" w:rsidR="0094183F" w:rsidRDefault="00941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A671" w14:textId="77777777" w:rsidR="002E1B31" w:rsidRDefault="002E1B3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DD5D" w14:textId="77777777" w:rsidR="002E1B31" w:rsidRDefault="002E1B3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30DD" w14:textId="77777777" w:rsidR="002E1B31" w:rsidRDefault="002E1B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31"/>
    <w:rsid w:val="00001DD6"/>
    <w:rsid w:val="00004425"/>
    <w:rsid w:val="00005391"/>
    <w:rsid w:val="00021D86"/>
    <w:rsid w:val="000359A5"/>
    <w:rsid w:val="00057826"/>
    <w:rsid w:val="00057DC6"/>
    <w:rsid w:val="00060051"/>
    <w:rsid w:val="0006657B"/>
    <w:rsid w:val="000750E6"/>
    <w:rsid w:val="00077F0B"/>
    <w:rsid w:val="00081CFA"/>
    <w:rsid w:val="00091A2E"/>
    <w:rsid w:val="00091C88"/>
    <w:rsid w:val="000B4A0A"/>
    <w:rsid w:val="000C5950"/>
    <w:rsid w:val="000D0F9E"/>
    <w:rsid w:val="000D4337"/>
    <w:rsid w:val="000E29BA"/>
    <w:rsid w:val="000E306C"/>
    <w:rsid w:val="00107D17"/>
    <w:rsid w:val="0018204D"/>
    <w:rsid w:val="00186840"/>
    <w:rsid w:val="001A7538"/>
    <w:rsid w:val="001B41B1"/>
    <w:rsid w:val="001C1065"/>
    <w:rsid w:val="001D036E"/>
    <w:rsid w:val="001D1608"/>
    <w:rsid w:val="001D6CEF"/>
    <w:rsid w:val="00220FFF"/>
    <w:rsid w:val="00227577"/>
    <w:rsid w:val="002323B5"/>
    <w:rsid w:val="00246730"/>
    <w:rsid w:val="00246F50"/>
    <w:rsid w:val="00252774"/>
    <w:rsid w:val="00284036"/>
    <w:rsid w:val="0028596E"/>
    <w:rsid w:val="0028763F"/>
    <w:rsid w:val="002A3199"/>
    <w:rsid w:val="002C6C86"/>
    <w:rsid w:val="002D12DA"/>
    <w:rsid w:val="002E1B31"/>
    <w:rsid w:val="00301951"/>
    <w:rsid w:val="00302F4F"/>
    <w:rsid w:val="00306C9F"/>
    <w:rsid w:val="00310B4F"/>
    <w:rsid w:val="003111DB"/>
    <w:rsid w:val="00314F48"/>
    <w:rsid w:val="00330B1C"/>
    <w:rsid w:val="00345945"/>
    <w:rsid w:val="003524AC"/>
    <w:rsid w:val="00353DFF"/>
    <w:rsid w:val="003540DC"/>
    <w:rsid w:val="00364F42"/>
    <w:rsid w:val="003757FB"/>
    <w:rsid w:val="00392B55"/>
    <w:rsid w:val="00394A6D"/>
    <w:rsid w:val="003977FA"/>
    <w:rsid w:val="00397D4A"/>
    <w:rsid w:val="003A4090"/>
    <w:rsid w:val="003C2110"/>
    <w:rsid w:val="003D5C63"/>
    <w:rsid w:val="003D6E59"/>
    <w:rsid w:val="003D79C4"/>
    <w:rsid w:val="00405650"/>
    <w:rsid w:val="0040615F"/>
    <w:rsid w:val="004075B8"/>
    <w:rsid w:val="00407DE2"/>
    <w:rsid w:val="00474AD2"/>
    <w:rsid w:val="0049355F"/>
    <w:rsid w:val="004A4A19"/>
    <w:rsid w:val="004A7426"/>
    <w:rsid w:val="004C1FAD"/>
    <w:rsid w:val="004D132B"/>
    <w:rsid w:val="004D2EC2"/>
    <w:rsid w:val="004D4D8F"/>
    <w:rsid w:val="004D7107"/>
    <w:rsid w:val="004F223A"/>
    <w:rsid w:val="00513DFA"/>
    <w:rsid w:val="00526571"/>
    <w:rsid w:val="00546403"/>
    <w:rsid w:val="00551CD8"/>
    <w:rsid w:val="00581E24"/>
    <w:rsid w:val="005A1EBF"/>
    <w:rsid w:val="005C2B88"/>
    <w:rsid w:val="005D090E"/>
    <w:rsid w:val="005E39F6"/>
    <w:rsid w:val="005F4D01"/>
    <w:rsid w:val="0060025C"/>
    <w:rsid w:val="00624C52"/>
    <w:rsid w:val="00631A70"/>
    <w:rsid w:val="006350E1"/>
    <w:rsid w:val="0064463E"/>
    <w:rsid w:val="00647677"/>
    <w:rsid w:val="00681B75"/>
    <w:rsid w:val="006B351B"/>
    <w:rsid w:val="006F491E"/>
    <w:rsid w:val="00701848"/>
    <w:rsid w:val="0070444D"/>
    <w:rsid w:val="00722706"/>
    <w:rsid w:val="00724B2F"/>
    <w:rsid w:val="0073237B"/>
    <w:rsid w:val="00742748"/>
    <w:rsid w:val="00747A7C"/>
    <w:rsid w:val="00752341"/>
    <w:rsid w:val="007769B2"/>
    <w:rsid w:val="00781035"/>
    <w:rsid w:val="007869F5"/>
    <w:rsid w:val="00795EC2"/>
    <w:rsid w:val="007A290D"/>
    <w:rsid w:val="007B4951"/>
    <w:rsid w:val="007D3C46"/>
    <w:rsid w:val="007D4EAC"/>
    <w:rsid w:val="007E2668"/>
    <w:rsid w:val="007E54E0"/>
    <w:rsid w:val="007F2A23"/>
    <w:rsid w:val="00811C3F"/>
    <w:rsid w:val="00812184"/>
    <w:rsid w:val="00813598"/>
    <w:rsid w:val="00817411"/>
    <w:rsid w:val="00824EB3"/>
    <w:rsid w:val="00840E07"/>
    <w:rsid w:val="008441A8"/>
    <w:rsid w:val="008540FC"/>
    <w:rsid w:val="008604C9"/>
    <w:rsid w:val="00864A08"/>
    <w:rsid w:val="00866367"/>
    <w:rsid w:val="00870830"/>
    <w:rsid w:val="00870EDA"/>
    <w:rsid w:val="008846FC"/>
    <w:rsid w:val="0088671D"/>
    <w:rsid w:val="00894E7D"/>
    <w:rsid w:val="008A0460"/>
    <w:rsid w:val="008E7EAB"/>
    <w:rsid w:val="008F2551"/>
    <w:rsid w:val="008F6042"/>
    <w:rsid w:val="00901921"/>
    <w:rsid w:val="00902D50"/>
    <w:rsid w:val="0090357B"/>
    <w:rsid w:val="00904A36"/>
    <w:rsid w:val="00917D29"/>
    <w:rsid w:val="009309CA"/>
    <w:rsid w:val="00937BDE"/>
    <w:rsid w:val="0094183F"/>
    <w:rsid w:val="00967A6F"/>
    <w:rsid w:val="00973430"/>
    <w:rsid w:val="00976595"/>
    <w:rsid w:val="00981E6C"/>
    <w:rsid w:val="009C13B2"/>
    <w:rsid w:val="009C67AB"/>
    <w:rsid w:val="009C718B"/>
    <w:rsid w:val="009D64D3"/>
    <w:rsid w:val="009E4B3A"/>
    <w:rsid w:val="009E5295"/>
    <w:rsid w:val="00A12F58"/>
    <w:rsid w:val="00A15CBD"/>
    <w:rsid w:val="00A35829"/>
    <w:rsid w:val="00A42117"/>
    <w:rsid w:val="00A45D9A"/>
    <w:rsid w:val="00A526F6"/>
    <w:rsid w:val="00A64481"/>
    <w:rsid w:val="00A736E3"/>
    <w:rsid w:val="00A83F7C"/>
    <w:rsid w:val="00A92EA2"/>
    <w:rsid w:val="00A944FD"/>
    <w:rsid w:val="00AA6271"/>
    <w:rsid w:val="00AC0148"/>
    <w:rsid w:val="00AD3CD3"/>
    <w:rsid w:val="00AD441F"/>
    <w:rsid w:val="00AE1E67"/>
    <w:rsid w:val="00AE2481"/>
    <w:rsid w:val="00AE37CD"/>
    <w:rsid w:val="00AE48C4"/>
    <w:rsid w:val="00B01612"/>
    <w:rsid w:val="00B07403"/>
    <w:rsid w:val="00B07D95"/>
    <w:rsid w:val="00B2124B"/>
    <w:rsid w:val="00B22F6C"/>
    <w:rsid w:val="00B43E3B"/>
    <w:rsid w:val="00B477D5"/>
    <w:rsid w:val="00BC328F"/>
    <w:rsid w:val="00BD3584"/>
    <w:rsid w:val="00BD5FB7"/>
    <w:rsid w:val="00BD7168"/>
    <w:rsid w:val="00BE075F"/>
    <w:rsid w:val="00BE5CAA"/>
    <w:rsid w:val="00C10675"/>
    <w:rsid w:val="00C12329"/>
    <w:rsid w:val="00C26EFD"/>
    <w:rsid w:val="00C403F6"/>
    <w:rsid w:val="00C505F9"/>
    <w:rsid w:val="00C50B6F"/>
    <w:rsid w:val="00C64B80"/>
    <w:rsid w:val="00C71482"/>
    <w:rsid w:val="00C80612"/>
    <w:rsid w:val="00C83408"/>
    <w:rsid w:val="00CA27CB"/>
    <w:rsid w:val="00CC117F"/>
    <w:rsid w:val="00CC3D40"/>
    <w:rsid w:val="00CC7C4E"/>
    <w:rsid w:val="00CD2E45"/>
    <w:rsid w:val="00CE27BD"/>
    <w:rsid w:val="00D02D38"/>
    <w:rsid w:val="00D10A0A"/>
    <w:rsid w:val="00D119CA"/>
    <w:rsid w:val="00D12517"/>
    <w:rsid w:val="00D20CE3"/>
    <w:rsid w:val="00D26C15"/>
    <w:rsid w:val="00D510C8"/>
    <w:rsid w:val="00D74A34"/>
    <w:rsid w:val="00D90BCF"/>
    <w:rsid w:val="00D91E41"/>
    <w:rsid w:val="00DA6CEB"/>
    <w:rsid w:val="00DB4524"/>
    <w:rsid w:val="00DC5D8D"/>
    <w:rsid w:val="00DE2A81"/>
    <w:rsid w:val="00DF3D1B"/>
    <w:rsid w:val="00E01F2E"/>
    <w:rsid w:val="00E03ACF"/>
    <w:rsid w:val="00E32A90"/>
    <w:rsid w:val="00E42063"/>
    <w:rsid w:val="00E614FD"/>
    <w:rsid w:val="00E65219"/>
    <w:rsid w:val="00E77EB9"/>
    <w:rsid w:val="00E804D4"/>
    <w:rsid w:val="00EB5031"/>
    <w:rsid w:val="00EC254F"/>
    <w:rsid w:val="00EE073F"/>
    <w:rsid w:val="00EE21AC"/>
    <w:rsid w:val="00EF1F2E"/>
    <w:rsid w:val="00EF2B6A"/>
    <w:rsid w:val="00F30E9C"/>
    <w:rsid w:val="00F45823"/>
    <w:rsid w:val="00F83227"/>
    <w:rsid w:val="00FB0870"/>
    <w:rsid w:val="00FB0C40"/>
    <w:rsid w:val="00FB10D5"/>
    <w:rsid w:val="00FB2BE4"/>
    <w:rsid w:val="00FD581E"/>
    <w:rsid w:val="00FE3937"/>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37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C9F"/>
    <w:pPr>
      <w:spacing w:after="160" w:line="259" w:lineRule="auto"/>
    </w:pPr>
    <w:rPr>
      <w:sz w:val="22"/>
      <w:szCs w:val="22"/>
      <w:lang w:eastAsia="en-US"/>
    </w:rPr>
  </w:style>
  <w:style w:type="paragraph" w:styleId="Ttulo1">
    <w:name w:val="heading 1"/>
    <w:basedOn w:val="Normal"/>
    <w:next w:val="Normal"/>
    <w:link w:val="Ttulo1Char"/>
    <w:uiPriority w:val="9"/>
    <w:qFormat/>
    <w:rsid w:val="007A290D"/>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link w:val="Ttulo3Char"/>
    <w:uiPriority w:val="9"/>
    <w:qFormat/>
    <w:rsid w:val="0081359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next w:val="Normal"/>
    <w:link w:val="Ttulo4Char"/>
    <w:uiPriority w:val="9"/>
    <w:semiHidden/>
    <w:unhideWhenUsed/>
    <w:qFormat/>
    <w:rsid w:val="00081CFA"/>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B5031"/>
    <w:rPr>
      <w:sz w:val="22"/>
      <w:szCs w:val="22"/>
      <w:lang w:eastAsia="en-US"/>
    </w:rPr>
  </w:style>
  <w:style w:type="paragraph" w:styleId="Textodebalo">
    <w:name w:val="Balloon Text"/>
    <w:basedOn w:val="Normal"/>
    <w:link w:val="TextodebaloChar"/>
    <w:uiPriority w:val="99"/>
    <w:semiHidden/>
    <w:unhideWhenUsed/>
    <w:rsid w:val="00A92EA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92EA2"/>
    <w:rPr>
      <w:rFonts w:ascii="Tahoma" w:hAnsi="Tahoma" w:cs="Tahoma"/>
      <w:sz w:val="16"/>
      <w:szCs w:val="16"/>
    </w:rPr>
  </w:style>
  <w:style w:type="paragraph" w:customStyle="1" w:styleId="Default">
    <w:name w:val="Default"/>
    <w:rsid w:val="00A92EA2"/>
    <w:pPr>
      <w:autoSpaceDE w:val="0"/>
      <w:autoSpaceDN w:val="0"/>
      <w:adjustRightInd w:val="0"/>
    </w:pPr>
    <w:rPr>
      <w:rFonts w:ascii="Arial" w:hAnsi="Arial" w:cs="Arial"/>
      <w:color w:val="000000"/>
      <w:sz w:val="24"/>
      <w:szCs w:val="24"/>
      <w:lang w:eastAsia="en-US"/>
    </w:rPr>
  </w:style>
  <w:style w:type="character" w:styleId="Nmerodelinha">
    <w:name w:val="line number"/>
    <w:basedOn w:val="Fontepargpadro"/>
    <w:uiPriority w:val="99"/>
    <w:semiHidden/>
    <w:unhideWhenUsed/>
    <w:rsid w:val="00AE2481"/>
  </w:style>
  <w:style w:type="character" w:customStyle="1" w:styleId="fontstyle01">
    <w:name w:val="fontstyle01"/>
    <w:rsid w:val="0088671D"/>
    <w:rPr>
      <w:rFonts w:ascii="ArialMT" w:hAnsi="ArialMT" w:hint="default"/>
      <w:b w:val="0"/>
      <w:bCs w:val="0"/>
      <w:i w:val="0"/>
      <w:iCs w:val="0"/>
      <w:color w:val="000000"/>
      <w:sz w:val="22"/>
      <w:szCs w:val="22"/>
    </w:rPr>
  </w:style>
  <w:style w:type="character" w:customStyle="1" w:styleId="apple-converted-space">
    <w:name w:val="apple-converted-space"/>
    <w:basedOn w:val="Fontepargpadro"/>
    <w:rsid w:val="004D4D8F"/>
  </w:style>
  <w:style w:type="character" w:styleId="Forte">
    <w:name w:val="Strong"/>
    <w:uiPriority w:val="22"/>
    <w:qFormat/>
    <w:rsid w:val="004D4D8F"/>
    <w:rPr>
      <w:b/>
      <w:bCs/>
    </w:rPr>
  </w:style>
  <w:style w:type="character" w:styleId="Refdecomentrio">
    <w:name w:val="annotation reference"/>
    <w:uiPriority w:val="99"/>
    <w:semiHidden/>
    <w:unhideWhenUsed/>
    <w:rsid w:val="00513DFA"/>
    <w:rPr>
      <w:sz w:val="16"/>
      <w:szCs w:val="16"/>
    </w:rPr>
  </w:style>
  <w:style w:type="paragraph" w:styleId="Textodecomentrio">
    <w:name w:val="annotation text"/>
    <w:basedOn w:val="Normal"/>
    <w:link w:val="TextodecomentrioChar"/>
    <w:uiPriority w:val="99"/>
    <w:semiHidden/>
    <w:unhideWhenUsed/>
    <w:rsid w:val="00513DFA"/>
    <w:rPr>
      <w:sz w:val="20"/>
      <w:szCs w:val="20"/>
    </w:rPr>
  </w:style>
  <w:style w:type="character" w:customStyle="1" w:styleId="TextodecomentrioChar">
    <w:name w:val="Texto de comentário Char"/>
    <w:link w:val="Textodecomentrio"/>
    <w:uiPriority w:val="99"/>
    <w:semiHidden/>
    <w:rsid w:val="00513DFA"/>
    <w:rPr>
      <w:lang w:eastAsia="en-US"/>
    </w:rPr>
  </w:style>
  <w:style w:type="paragraph" w:styleId="Assuntodocomentrio">
    <w:name w:val="annotation subject"/>
    <w:basedOn w:val="Textodecomentrio"/>
    <w:next w:val="Textodecomentrio"/>
    <w:link w:val="AssuntodocomentrioChar"/>
    <w:uiPriority w:val="99"/>
    <w:semiHidden/>
    <w:unhideWhenUsed/>
    <w:rsid w:val="00513DFA"/>
    <w:rPr>
      <w:b/>
      <w:bCs/>
    </w:rPr>
  </w:style>
  <w:style w:type="character" w:customStyle="1" w:styleId="AssuntodocomentrioChar">
    <w:name w:val="Assunto do comentário Char"/>
    <w:link w:val="Assuntodocomentrio"/>
    <w:uiPriority w:val="99"/>
    <w:semiHidden/>
    <w:rsid w:val="00513DFA"/>
    <w:rPr>
      <w:b/>
      <w:bCs/>
      <w:lang w:eastAsia="en-US"/>
    </w:rPr>
  </w:style>
  <w:style w:type="character" w:customStyle="1" w:styleId="Ttulo3Char">
    <w:name w:val="Título 3 Char"/>
    <w:link w:val="Ttulo3"/>
    <w:uiPriority w:val="9"/>
    <w:rsid w:val="00813598"/>
    <w:rPr>
      <w:rFonts w:ascii="Times New Roman" w:eastAsia="Times New Roman" w:hAnsi="Times New Roman"/>
      <w:b/>
      <w:bCs/>
      <w:sz w:val="27"/>
      <w:szCs w:val="27"/>
    </w:rPr>
  </w:style>
  <w:style w:type="character" w:styleId="Hyperlink">
    <w:name w:val="Hyperlink"/>
    <w:uiPriority w:val="99"/>
    <w:unhideWhenUsed/>
    <w:rsid w:val="00813598"/>
    <w:rPr>
      <w:color w:val="0000FF"/>
      <w:u w:val="single"/>
    </w:rPr>
  </w:style>
  <w:style w:type="character" w:styleId="Meno">
    <w:name w:val="Mention"/>
    <w:uiPriority w:val="99"/>
    <w:semiHidden/>
    <w:unhideWhenUsed/>
    <w:rsid w:val="00091C88"/>
    <w:rPr>
      <w:color w:val="2B579A"/>
      <w:shd w:val="clear" w:color="auto" w:fill="E6E6E6"/>
    </w:rPr>
  </w:style>
  <w:style w:type="character" w:customStyle="1" w:styleId="Ttulo4Char">
    <w:name w:val="Título 4 Char"/>
    <w:link w:val="Ttulo4"/>
    <w:uiPriority w:val="9"/>
    <w:semiHidden/>
    <w:rsid w:val="00081CFA"/>
    <w:rPr>
      <w:rFonts w:ascii="Calibri" w:eastAsia="Times New Roman" w:hAnsi="Calibri" w:cs="Times New Roman"/>
      <w:b/>
      <w:bCs/>
      <w:sz w:val="28"/>
      <w:szCs w:val="28"/>
      <w:lang w:eastAsia="en-US"/>
    </w:rPr>
  </w:style>
  <w:style w:type="character" w:customStyle="1" w:styleId="Ttulo1Char">
    <w:name w:val="Título 1 Char"/>
    <w:link w:val="Ttulo1"/>
    <w:uiPriority w:val="9"/>
    <w:rsid w:val="007A290D"/>
    <w:rPr>
      <w:rFonts w:ascii="Calibri Light" w:eastAsia="Times New Roman" w:hAnsi="Calibri Light" w:cs="Times New Roman"/>
      <w:b/>
      <w:bCs/>
      <w:kern w:val="32"/>
      <w:sz w:val="32"/>
      <w:szCs w:val="32"/>
      <w:lang w:eastAsia="en-US"/>
    </w:rPr>
  </w:style>
  <w:style w:type="paragraph" w:styleId="Cabealho">
    <w:name w:val="header"/>
    <w:basedOn w:val="Normal"/>
    <w:link w:val="CabealhoChar"/>
    <w:uiPriority w:val="99"/>
    <w:unhideWhenUsed/>
    <w:rsid w:val="002E1B31"/>
    <w:pPr>
      <w:tabs>
        <w:tab w:val="center" w:pos="4252"/>
        <w:tab w:val="right" w:pos="8504"/>
      </w:tabs>
    </w:pPr>
  </w:style>
  <w:style w:type="character" w:customStyle="1" w:styleId="CabealhoChar">
    <w:name w:val="Cabeçalho Char"/>
    <w:link w:val="Cabealho"/>
    <w:uiPriority w:val="99"/>
    <w:rsid w:val="002E1B31"/>
    <w:rPr>
      <w:sz w:val="22"/>
      <w:szCs w:val="22"/>
      <w:lang w:eastAsia="en-US"/>
    </w:rPr>
  </w:style>
  <w:style w:type="paragraph" w:styleId="Rodap">
    <w:name w:val="footer"/>
    <w:basedOn w:val="Normal"/>
    <w:link w:val="RodapChar"/>
    <w:uiPriority w:val="99"/>
    <w:unhideWhenUsed/>
    <w:rsid w:val="002E1B31"/>
    <w:pPr>
      <w:tabs>
        <w:tab w:val="center" w:pos="4252"/>
        <w:tab w:val="right" w:pos="8504"/>
      </w:tabs>
    </w:pPr>
  </w:style>
  <w:style w:type="character" w:customStyle="1" w:styleId="RodapChar">
    <w:name w:val="Rodapé Char"/>
    <w:link w:val="Rodap"/>
    <w:uiPriority w:val="99"/>
    <w:rsid w:val="002E1B31"/>
    <w:rPr>
      <w:sz w:val="22"/>
      <w:szCs w:val="22"/>
      <w:lang w:eastAsia="en-US"/>
    </w:rPr>
  </w:style>
  <w:style w:type="character" w:customStyle="1" w:styleId="fontstyle21">
    <w:name w:val="fontstyle21"/>
    <w:basedOn w:val="Fontepargpadro"/>
    <w:rsid w:val="009E5295"/>
    <w:rPr>
      <w:rFonts w:ascii="Arial-ItalicMT" w:hAnsi="Arial-ItalicMT" w:hint="default"/>
      <w:b w:val="0"/>
      <w:bCs w:val="0"/>
      <w:i/>
      <w:iCs/>
      <w:color w:val="000000"/>
      <w:sz w:val="24"/>
      <w:szCs w:val="24"/>
    </w:rPr>
  </w:style>
  <w:style w:type="character" w:styleId="MenoPendente">
    <w:name w:val="Unresolved Mention"/>
    <w:basedOn w:val="Fontepargpadro"/>
    <w:uiPriority w:val="99"/>
    <w:semiHidden/>
    <w:unhideWhenUsed/>
    <w:rsid w:val="00854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1453">
      <w:bodyDiv w:val="1"/>
      <w:marLeft w:val="0"/>
      <w:marRight w:val="0"/>
      <w:marTop w:val="0"/>
      <w:marBottom w:val="0"/>
      <w:divBdr>
        <w:top w:val="none" w:sz="0" w:space="0" w:color="auto"/>
        <w:left w:val="none" w:sz="0" w:space="0" w:color="auto"/>
        <w:bottom w:val="none" w:sz="0" w:space="0" w:color="auto"/>
        <w:right w:val="none" w:sz="0" w:space="0" w:color="auto"/>
      </w:divBdr>
      <w:divsChild>
        <w:div w:id="1223448265">
          <w:marLeft w:val="0"/>
          <w:marRight w:val="0"/>
          <w:marTop w:val="0"/>
          <w:marBottom w:val="0"/>
          <w:divBdr>
            <w:top w:val="none" w:sz="0" w:space="0" w:color="auto"/>
            <w:left w:val="none" w:sz="0" w:space="0" w:color="auto"/>
            <w:bottom w:val="none" w:sz="0" w:space="0" w:color="auto"/>
            <w:right w:val="none" w:sz="0" w:space="0" w:color="auto"/>
          </w:divBdr>
        </w:div>
        <w:div w:id="1515725715">
          <w:marLeft w:val="0"/>
          <w:marRight w:val="0"/>
          <w:marTop w:val="0"/>
          <w:marBottom w:val="0"/>
          <w:divBdr>
            <w:top w:val="none" w:sz="0" w:space="0" w:color="auto"/>
            <w:left w:val="none" w:sz="0" w:space="0" w:color="auto"/>
            <w:bottom w:val="none" w:sz="0" w:space="0" w:color="auto"/>
            <w:right w:val="none" w:sz="0" w:space="0" w:color="auto"/>
          </w:divBdr>
        </w:div>
      </w:divsChild>
    </w:div>
    <w:div w:id="425268332">
      <w:bodyDiv w:val="1"/>
      <w:marLeft w:val="0"/>
      <w:marRight w:val="0"/>
      <w:marTop w:val="0"/>
      <w:marBottom w:val="0"/>
      <w:divBdr>
        <w:top w:val="none" w:sz="0" w:space="0" w:color="auto"/>
        <w:left w:val="none" w:sz="0" w:space="0" w:color="auto"/>
        <w:bottom w:val="none" w:sz="0" w:space="0" w:color="auto"/>
        <w:right w:val="none" w:sz="0" w:space="0" w:color="auto"/>
      </w:divBdr>
    </w:div>
    <w:div w:id="744914782">
      <w:bodyDiv w:val="1"/>
      <w:marLeft w:val="0"/>
      <w:marRight w:val="0"/>
      <w:marTop w:val="0"/>
      <w:marBottom w:val="0"/>
      <w:divBdr>
        <w:top w:val="none" w:sz="0" w:space="0" w:color="auto"/>
        <w:left w:val="none" w:sz="0" w:space="0" w:color="auto"/>
        <w:bottom w:val="none" w:sz="0" w:space="0" w:color="auto"/>
        <w:right w:val="none" w:sz="0" w:space="0" w:color="auto"/>
      </w:divBdr>
    </w:div>
    <w:div w:id="1154302245">
      <w:bodyDiv w:val="1"/>
      <w:marLeft w:val="0"/>
      <w:marRight w:val="0"/>
      <w:marTop w:val="0"/>
      <w:marBottom w:val="0"/>
      <w:divBdr>
        <w:top w:val="none" w:sz="0" w:space="0" w:color="auto"/>
        <w:left w:val="none" w:sz="0" w:space="0" w:color="auto"/>
        <w:bottom w:val="none" w:sz="0" w:space="0" w:color="auto"/>
        <w:right w:val="none" w:sz="0" w:space="0" w:color="auto"/>
      </w:divBdr>
    </w:div>
    <w:div w:id="1583295344">
      <w:bodyDiv w:val="1"/>
      <w:marLeft w:val="0"/>
      <w:marRight w:val="0"/>
      <w:marTop w:val="0"/>
      <w:marBottom w:val="0"/>
      <w:divBdr>
        <w:top w:val="none" w:sz="0" w:space="0" w:color="auto"/>
        <w:left w:val="none" w:sz="0" w:space="0" w:color="auto"/>
        <w:bottom w:val="none" w:sz="0" w:space="0" w:color="auto"/>
        <w:right w:val="none" w:sz="0" w:space="0" w:color="auto"/>
      </w:divBdr>
    </w:div>
    <w:div w:id="1671568114">
      <w:bodyDiv w:val="1"/>
      <w:marLeft w:val="0"/>
      <w:marRight w:val="0"/>
      <w:marTop w:val="0"/>
      <w:marBottom w:val="0"/>
      <w:divBdr>
        <w:top w:val="none" w:sz="0" w:space="0" w:color="auto"/>
        <w:left w:val="none" w:sz="0" w:space="0" w:color="auto"/>
        <w:bottom w:val="none" w:sz="0" w:space="0" w:color="auto"/>
        <w:right w:val="none" w:sz="0" w:space="0" w:color="auto"/>
      </w:divBdr>
    </w:div>
    <w:div w:id="1830555099">
      <w:bodyDiv w:val="1"/>
      <w:marLeft w:val="0"/>
      <w:marRight w:val="0"/>
      <w:marTop w:val="0"/>
      <w:marBottom w:val="0"/>
      <w:divBdr>
        <w:top w:val="none" w:sz="0" w:space="0" w:color="auto"/>
        <w:left w:val="none" w:sz="0" w:space="0" w:color="auto"/>
        <w:bottom w:val="none" w:sz="0" w:space="0" w:color="auto"/>
        <w:right w:val="none" w:sz="0" w:space="0" w:color="auto"/>
      </w:divBdr>
    </w:div>
    <w:div w:id="21026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emconcomp.2008.01.001" TargetMode="External"/><Relationship Id="rId18" Type="http://schemas.openxmlformats.org/officeDocument/2006/relationships/hyperlink" Target="http://dx.doi.org/10.1590/S1415-43662009000300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ielo.br/pdf/riem/v3n1/en_04.pdf" TargetMode="External"/><Relationship Id="rId17" Type="http://schemas.openxmlformats.org/officeDocument/2006/relationships/hyperlink" Target="http://www.scielo.org.co/pdf/dyna/v77n163/a05v77n16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4025/revtecnol.v17i1.8728.g515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tp://ip20017719.eng.ufjf.br/Public/AnaisEventosCientificos/ENTAC_2004/trabalhos/PAP0688d.pdf"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eopolymer.org/fichiers_pdf/5GWPROCE.pdf"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0c36d50fd9e631a2/Artigos%20e%20Trabalhos/Artigos/Artigo%20Cinzas/RESULTAD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1d17887aefb2139c/UEM%202016/Orienta&#231;&#245;es/TCC/TCC-Angelo/TCC/artig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0c36d50fd9e631a2/Artigos%20e%20Trabalhos/Artigos/Artigo%20Cinzas/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[RESULTADOS.xlsx]estatistica!$B$54</c:f>
              <c:strCache>
                <c:ptCount val="1"/>
                <c:pt idx="0">
                  <c:v>7D</c:v>
                </c:pt>
              </c:strCache>
            </c:strRef>
          </c:tx>
          <c:spPr>
            <a:ln w="28575" cap="rnd">
              <a:noFill/>
              <a:round/>
            </a:ln>
            <a:effectLst/>
          </c:spPr>
          <c:marker>
            <c:symbol val="circle"/>
            <c:size val="5"/>
            <c:spPr>
              <a:solidFill>
                <a:schemeClr val="bg1">
                  <a:lumMod val="65000"/>
                </a:schemeClr>
              </a:solidFill>
              <a:ln w="9525">
                <a:solidFill>
                  <a:schemeClr val="bg1">
                    <a:lumMod val="50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bg1">
                    <a:lumMod val="50000"/>
                  </a:schemeClr>
                </a:solidFill>
                <a:prstDash val="sysDot"/>
              </a:ln>
              <a:effectLst/>
            </c:spPr>
            <c:trendlineType val="linear"/>
            <c:dispRSqr val="1"/>
            <c:dispEq val="0"/>
            <c:trendlineLbl>
              <c:layout>
                <c:manualLayout>
                  <c:x val="-0.52703124248964583"/>
                  <c:y val="-0.62206819975184935"/>
                </c:manualLayout>
              </c:layout>
              <c:numFmt formatCode="General" sourceLinked="0"/>
              <c:spPr>
                <a:noFill/>
                <a:ln>
                  <a:noFill/>
                </a:ln>
                <a:effectLst/>
              </c:spPr>
              <c:txPr>
                <a:bodyPr rot="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xVal>
            <c:numRef>
              <c:f>[RESULTADOS.xlsx]estatistica!$A$54:$A$57</c:f>
              <c:numCache>
                <c:formatCode>General</c:formatCode>
                <c:ptCount val="4"/>
                <c:pt idx="0">
                  <c:v>0</c:v>
                </c:pt>
                <c:pt idx="1">
                  <c:v>10</c:v>
                </c:pt>
                <c:pt idx="2">
                  <c:v>20</c:v>
                </c:pt>
                <c:pt idx="3">
                  <c:v>50</c:v>
                </c:pt>
              </c:numCache>
            </c:numRef>
          </c:xVal>
          <c:yVal>
            <c:numRef>
              <c:f>[RESULTADOS.xlsx]estatistica!$C$54:$C$57</c:f>
              <c:numCache>
                <c:formatCode>General</c:formatCode>
                <c:ptCount val="4"/>
                <c:pt idx="0">
                  <c:v>11.814010931114328</c:v>
                </c:pt>
                <c:pt idx="1">
                  <c:v>8.1579703109960882</c:v>
                </c:pt>
                <c:pt idx="2">
                  <c:v>5.5270239405048143</c:v>
                </c:pt>
                <c:pt idx="3">
                  <c:v>3.4039114526104184</c:v>
                </c:pt>
              </c:numCache>
            </c:numRef>
          </c:yVal>
          <c:smooth val="0"/>
          <c:extLst>
            <c:ext xmlns:c16="http://schemas.microsoft.com/office/drawing/2014/chart" uri="{C3380CC4-5D6E-409C-BE32-E72D297353CC}">
              <c16:uniqueId val="{00000002-EC95-40AB-89F6-D091837A99EF}"/>
            </c:ext>
          </c:extLst>
        </c:ser>
        <c:ser>
          <c:idx val="1"/>
          <c:order val="1"/>
          <c:tx>
            <c:strRef>
              <c:f>[RESULTADOS.xlsx]estatistica!$B$58</c:f>
              <c:strCache>
                <c:ptCount val="1"/>
                <c:pt idx="0">
                  <c:v>28D</c:v>
                </c:pt>
              </c:strCache>
            </c:strRef>
          </c:tx>
          <c:spPr>
            <a:ln w="25400" cap="rnd">
              <a:noFill/>
              <a:round/>
            </a:ln>
            <a:effectLst/>
          </c:spPr>
          <c:marker>
            <c:symbol val="circle"/>
            <c:size val="5"/>
            <c:spPr>
              <a:solidFill>
                <a:schemeClr val="tx1">
                  <a:lumMod val="95000"/>
                  <a:lumOff val="5000"/>
                </a:schemeClr>
              </a:solidFill>
              <a:ln w="9525">
                <a:solidFill>
                  <a:schemeClr val="tx1"/>
                </a:solidFill>
              </a:ln>
              <a:effectLst/>
            </c:spPr>
          </c:marker>
          <c:dPt>
            <c:idx val="5"/>
            <c:marker>
              <c:symbol val="circle"/>
              <c:size val="5"/>
              <c:spPr>
                <a:solidFill>
                  <a:schemeClr val="tx1">
                    <a:lumMod val="95000"/>
                    <a:lumOff val="5000"/>
                  </a:schemeClr>
                </a:solidFill>
                <a:ln w="9525">
                  <a:solidFill>
                    <a:schemeClr val="tx1"/>
                  </a:solidFill>
                </a:ln>
                <a:effectLst/>
              </c:spPr>
            </c:marker>
            <c:bubble3D val="0"/>
            <c:extLst>
              <c:ext xmlns:c16="http://schemas.microsoft.com/office/drawing/2014/chart" uri="{C3380CC4-5D6E-409C-BE32-E72D297353CC}">
                <c16:uniqueId val="{00000003-EC95-40AB-89F6-D091837A99EF}"/>
              </c:ext>
            </c:extLst>
          </c:dPt>
          <c:trendline>
            <c:spPr>
              <a:ln w="19050" cap="rnd">
                <a:solidFill>
                  <a:sysClr val="windowText" lastClr="000000"/>
                </a:solidFill>
                <a:prstDash val="sysDot"/>
              </a:ln>
              <a:effectLst/>
            </c:spPr>
            <c:trendlineType val="linear"/>
            <c:dispRSqr val="1"/>
            <c:dispEq val="0"/>
            <c:trendlineLbl>
              <c:layout>
                <c:manualLayout>
                  <c:x val="-0.17361769103276115"/>
                  <c:y val="-0.51995730626170344"/>
                </c:manualLayout>
              </c:layout>
              <c:numFmt formatCode="General" sourceLinked="0"/>
              <c:spPr>
                <a:noFill/>
                <a:ln>
                  <a:noFill/>
                </a:ln>
                <a:effectLst/>
              </c:spPr>
              <c:txPr>
                <a:bodyPr rot="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xVal>
            <c:numRef>
              <c:f>[RESULTADOS.xlsx]estatistica!$A$58:$A$61</c:f>
              <c:numCache>
                <c:formatCode>General</c:formatCode>
                <c:ptCount val="4"/>
                <c:pt idx="0">
                  <c:v>0</c:v>
                </c:pt>
                <c:pt idx="1">
                  <c:v>10</c:v>
                </c:pt>
                <c:pt idx="2">
                  <c:v>20</c:v>
                </c:pt>
                <c:pt idx="3">
                  <c:v>50</c:v>
                </c:pt>
              </c:numCache>
            </c:numRef>
          </c:xVal>
          <c:yVal>
            <c:numRef>
              <c:f>[RESULTADOS.xlsx]estatistica!$C$58:$C$61</c:f>
              <c:numCache>
                <c:formatCode>General</c:formatCode>
                <c:ptCount val="4"/>
                <c:pt idx="0">
                  <c:v>11.185614330840197</c:v>
                </c:pt>
                <c:pt idx="1">
                  <c:v>13.650040644462726</c:v>
                </c:pt>
                <c:pt idx="2">
                  <c:v>9.9878591198985909</c:v>
                </c:pt>
                <c:pt idx="3">
                  <c:v>4.4065749838706383</c:v>
                </c:pt>
              </c:numCache>
            </c:numRef>
          </c:yVal>
          <c:smooth val="0"/>
          <c:extLst>
            <c:ext xmlns:c16="http://schemas.microsoft.com/office/drawing/2014/chart" uri="{C3380CC4-5D6E-409C-BE32-E72D297353CC}">
              <c16:uniqueId val="{00000005-EC95-40AB-89F6-D091837A99EF}"/>
            </c:ext>
          </c:extLst>
        </c:ser>
        <c:dLbls>
          <c:showLegendKey val="0"/>
          <c:showVal val="0"/>
          <c:showCatName val="0"/>
          <c:showSerName val="0"/>
          <c:showPercent val="0"/>
          <c:showBubbleSize val="0"/>
        </c:dLbls>
        <c:axId val="569551960"/>
        <c:axId val="569551632"/>
      </c:scatterChart>
      <c:valAx>
        <c:axId val="569551960"/>
        <c:scaling>
          <c:orientation val="minMax"/>
          <c:max val="5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b="0" i="0" u="none" strike="noStrike" baseline="0">
                    <a:effectLst/>
                  </a:rPr>
                  <a:t>Taxa de CBCA (%) </a:t>
                </a:r>
                <a:r>
                  <a: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p>
            </c:rich>
          </c:tx>
          <c:layout>
            <c:manualLayout>
              <c:xMode val="edge"/>
              <c:yMode val="edge"/>
              <c:x val="0.41591585017258126"/>
              <c:y val="0.91532229336351645"/>
            </c:manualLayout>
          </c:layout>
          <c:overlay val="0"/>
          <c:spPr>
            <a:noFill/>
            <a:ln>
              <a:noFill/>
            </a:ln>
            <a:effectLst/>
          </c:spPr>
          <c:txPr>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551632"/>
        <c:crosses val="autoZero"/>
        <c:crossBetween val="midCat"/>
        <c:majorUnit val="10"/>
      </c:valAx>
      <c:valAx>
        <c:axId val="569551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Resistência (MPa)</a:t>
                </a:r>
              </a:p>
            </c:rich>
          </c:tx>
          <c:layout>
            <c:manualLayout>
              <c:xMode val="edge"/>
              <c:yMode val="edge"/>
              <c:x val="1.977138749409145E-2"/>
              <c:y val="0.31693917083275641"/>
            </c:manualLayout>
          </c:layout>
          <c:overlay val="0"/>
          <c:spPr>
            <a:noFill/>
            <a:ln>
              <a:noFill/>
            </a:ln>
            <a:effectLst/>
          </c:spPr>
          <c:txPr>
            <a:bodyPr rot="-54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551960"/>
        <c:crosses val="autoZero"/>
        <c:crossBetween val="midCat"/>
      </c:valAx>
      <c:spPr>
        <a:noFill/>
        <a:ln>
          <a:noFill/>
        </a:ln>
        <a:effectLst/>
      </c:spPr>
    </c:plotArea>
    <c:legend>
      <c:legendPos val="t"/>
      <c:legendEntry>
        <c:idx val="2"/>
        <c:delete val="1"/>
      </c:legendEntry>
      <c:legendEntry>
        <c:idx val="3"/>
        <c:delete val="1"/>
      </c:legendEntry>
      <c:legendEntry>
        <c:idx val="4"/>
        <c:delete val="1"/>
      </c:legendEntry>
      <c:layout>
        <c:manualLayout>
          <c:xMode val="edge"/>
          <c:yMode val="edge"/>
          <c:x val="0"/>
          <c:y val="3.4144236546969162E-3"/>
          <c:w val="0.9925857296897157"/>
          <c:h val="5.9920500782997668E-2"/>
        </c:manualLayout>
      </c:layout>
      <c:overlay val="0"/>
      <c:spPr>
        <a:noFill/>
        <a:ln>
          <a:noFill/>
        </a:ln>
        <a:effectLst/>
      </c:spPr>
      <c:txPr>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[artigo.xlsx]Planilha1!$B$17</c:f>
              <c:strCache>
                <c:ptCount val="1"/>
                <c:pt idx="0">
                  <c:v>C1</c:v>
                </c:pt>
              </c:strCache>
            </c:strRef>
          </c:tx>
          <c:spPr>
            <a:solidFill>
              <a:schemeClr val="accent3">
                <a:tint val="58000"/>
              </a:schemeClr>
            </a:solidFill>
            <a:ln>
              <a:noFill/>
            </a:ln>
            <a:effectLst/>
          </c:spPr>
          <c:invertIfNegative val="0"/>
          <c:dLbls>
            <c:dLbl>
              <c:idx val="0"/>
              <c:tx>
                <c:rich>
                  <a:bodyPr/>
                  <a:lstStyle/>
                  <a:p>
                    <a:r>
                      <a:rPr lang="en-US"/>
                      <a:t>aA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9E-4329-B487-1B145778CACA}"/>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9E-4329-B487-1B145778CA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[artigo.xlsx]Planilha1!$A$18:$A$19</c:f>
              <c:strCache>
                <c:ptCount val="2"/>
                <c:pt idx="0">
                  <c:v>7D</c:v>
                </c:pt>
                <c:pt idx="1">
                  <c:v>28D</c:v>
                </c:pt>
              </c:strCache>
            </c:strRef>
          </c:cat>
          <c:val>
            <c:numRef>
              <c:f>[artigo.xlsx]Planilha1!$B$18:$B$19</c:f>
              <c:numCache>
                <c:formatCode>General</c:formatCode>
                <c:ptCount val="2"/>
                <c:pt idx="0">
                  <c:v>16.02</c:v>
                </c:pt>
                <c:pt idx="1">
                  <c:v>21.713999999999999</c:v>
                </c:pt>
              </c:numCache>
            </c:numRef>
          </c:val>
          <c:extLst>
            <c:ext xmlns:c16="http://schemas.microsoft.com/office/drawing/2014/chart" uri="{C3380CC4-5D6E-409C-BE32-E72D297353CC}">
              <c16:uniqueId val="{00000002-C39E-4329-B487-1B145778CACA}"/>
            </c:ext>
          </c:extLst>
        </c:ser>
        <c:ser>
          <c:idx val="1"/>
          <c:order val="1"/>
          <c:tx>
            <c:strRef>
              <c:f>[artigo.xlsx]Planilha1!$C$17</c:f>
              <c:strCache>
                <c:ptCount val="1"/>
                <c:pt idx="0">
                  <c:v>C2</c:v>
                </c:pt>
              </c:strCache>
            </c:strRef>
          </c:tx>
          <c:spPr>
            <a:solidFill>
              <a:schemeClr val="accent3">
                <a:tint val="86000"/>
              </a:schemeClr>
            </a:solidFill>
            <a:ln>
              <a:noFill/>
            </a:ln>
            <a:effectLst/>
          </c:spPr>
          <c:invertIfNegative val="0"/>
          <c:dLbls>
            <c:dLbl>
              <c:idx val="0"/>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9E-4329-B487-1B145778CACA}"/>
                </c:ext>
              </c:extLst>
            </c:dLbl>
            <c:dLbl>
              <c:idx val="1"/>
              <c:tx>
                <c:rich>
                  <a:bodyPr/>
                  <a:lstStyle/>
                  <a:p>
                    <a:r>
                      <a:rPr lang="en-US"/>
                      <a:t>bB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9E-4329-B487-1B145778CA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[artigo.xlsx]Planilha1!$A$18:$A$19</c:f>
              <c:strCache>
                <c:ptCount val="2"/>
                <c:pt idx="0">
                  <c:v>7D</c:v>
                </c:pt>
                <c:pt idx="1">
                  <c:v>28D</c:v>
                </c:pt>
              </c:strCache>
            </c:strRef>
          </c:cat>
          <c:val>
            <c:numRef>
              <c:f>[artigo.xlsx]Planilha1!$C$18:$C$19</c:f>
              <c:numCache>
                <c:formatCode>General</c:formatCode>
                <c:ptCount val="2"/>
                <c:pt idx="0">
                  <c:v>10.068</c:v>
                </c:pt>
                <c:pt idx="1">
                  <c:v>15.148</c:v>
                </c:pt>
              </c:numCache>
            </c:numRef>
          </c:val>
          <c:extLst>
            <c:ext xmlns:c16="http://schemas.microsoft.com/office/drawing/2014/chart" uri="{C3380CC4-5D6E-409C-BE32-E72D297353CC}">
              <c16:uniqueId val="{00000005-C39E-4329-B487-1B145778CACA}"/>
            </c:ext>
          </c:extLst>
        </c:ser>
        <c:ser>
          <c:idx val="2"/>
          <c:order val="2"/>
          <c:tx>
            <c:strRef>
              <c:f>[artigo.xlsx]Planilha1!$D$17</c:f>
              <c:strCache>
                <c:ptCount val="1"/>
                <c:pt idx="0">
                  <c:v>C3</c:v>
                </c:pt>
              </c:strCache>
            </c:strRef>
          </c:tx>
          <c:spPr>
            <a:solidFill>
              <a:schemeClr val="accent3">
                <a:shade val="86000"/>
              </a:schemeClr>
            </a:solidFill>
            <a:ln>
              <a:noFill/>
            </a:ln>
            <a:effectLst/>
          </c:spPr>
          <c:invertIfNegative val="0"/>
          <c:dLbls>
            <c:dLbl>
              <c:idx val="0"/>
              <c:tx>
                <c:rich>
                  <a:bodyPr/>
                  <a:lstStyle/>
                  <a:p>
                    <a:r>
                      <a:rPr lang="en-US"/>
                      <a:t>bA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9E-4329-B487-1B145778CACA}"/>
                </c:ext>
              </c:extLst>
            </c:dLbl>
            <c:dLbl>
              <c:idx val="1"/>
              <c:tx>
                <c:rich>
                  <a:bodyPr/>
                  <a:lstStyle/>
                  <a:p>
                    <a:r>
                      <a:rPr lang="en-US"/>
                      <a:t>bB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9E-4329-B487-1B145778CA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[artigo.xlsx]Planilha1!$A$18:$A$19</c:f>
              <c:strCache>
                <c:ptCount val="2"/>
                <c:pt idx="0">
                  <c:v>7D</c:v>
                </c:pt>
                <c:pt idx="1">
                  <c:v>28D</c:v>
                </c:pt>
              </c:strCache>
            </c:strRef>
          </c:cat>
          <c:val>
            <c:numRef>
              <c:f>[artigo.xlsx]Planilha1!$D$18:$D$19</c:f>
              <c:numCache>
                <c:formatCode>General</c:formatCode>
                <c:ptCount val="2"/>
                <c:pt idx="0">
                  <c:v>7.6319999999999997</c:v>
                </c:pt>
                <c:pt idx="1">
                  <c:v>14.372</c:v>
                </c:pt>
              </c:numCache>
            </c:numRef>
          </c:val>
          <c:extLst>
            <c:ext xmlns:c16="http://schemas.microsoft.com/office/drawing/2014/chart" uri="{C3380CC4-5D6E-409C-BE32-E72D297353CC}">
              <c16:uniqueId val="{00000008-C39E-4329-B487-1B145778CACA}"/>
            </c:ext>
          </c:extLst>
        </c:ser>
        <c:ser>
          <c:idx val="3"/>
          <c:order val="3"/>
          <c:tx>
            <c:strRef>
              <c:f>[artigo.xlsx]Planilha1!$E$17</c:f>
              <c:strCache>
                <c:ptCount val="1"/>
                <c:pt idx="0">
                  <c:v>C4</c:v>
                </c:pt>
              </c:strCache>
            </c:strRef>
          </c:tx>
          <c:spPr>
            <a:solidFill>
              <a:schemeClr val="accent3">
                <a:shade val="58000"/>
              </a:schemeClr>
            </a:solidFill>
            <a:ln>
              <a:noFill/>
            </a:ln>
            <a:effectLst/>
          </c:spPr>
          <c:invertIfNegative val="0"/>
          <c:dLbls>
            <c:dLbl>
              <c:idx val="0"/>
              <c:tx>
                <c:rich>
                  <a:bodyPr/>
                  <a:lstStyle/>
                  <a:p>
                    <a:r>
                      <a:rPr lang="en-US"/>
                      <a:t>cA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9E-4329-B487-1B145778CACA}"/>
                </c:ext>
              </c:extLst>
            </c:dLbl>
            <c:dLbl>
              <c:idx val="1"/>
              <c:tx>
                <c:rich>
                  <a:bodyPr/>
                  <a:lstStyle/>
                  <a:p>
                    <a:r>
                      <a:rPr lang="en-US"/>
                      <a:t>cA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9E-4329-B487-1B145778CA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[artigo.xlsx]Planilha1!$A$18:$A$19</c:f>
              <c:strCache>
                <c:ptCount val="2"/>
                <c:pt idx="0">
                  <c:v>7D</c:v>
                </c:pt>
                <c:pt idx="1">
                  <c:v>28D</c:v>
                </c:pt>
              </c:strCache>
            </c:strRef>
          </c:cat>
          <c:val>
            <c:numRef>
              <c:f>[artigo.xlsx]Planilha1!$E$18:$E$19</c:f>
              <c:numCache>
                <c:formatCode>General</c:formatCode>
                <c:ptCount val="2"/>
                <c:pt idx="0">
                  <c:v>3.464</c:v>
                </c:pt>
                <c:pt idx="1">
                  <c:v>4.5359999999999996</c:v>
                </c:pt>
              </c:numCache>
            </c:numRef>
          </c:val>
          <c:extLst>
            <c:ext xmlns:c16="http://schemas.microsoft.com/office/drawing/2014/chart" uri="{C3380CC4-5D6E-409C-BE32-E72D297353CC}">
              <c16:uniqueId val="{0000000B-C39E-4329-B487-1B145778CACA}"/>
            </c:ext>
          </c:extLst>
        </c:ser>
        <c:dLbls>
          <c:dLblPos val="outEnd"/>
          <c:showLegendKey val="0"/>
          <c:showVal val="1"/>
          <c:showCatName val="0"/>
          <c:showSerName val="0"/>
          <c:showPercent val="0"/>
          <c:showBubbleSize val="0"/>
        </c:dLbls>
        <c:gapWidth val="150"/>
        <c:axId val="142629440"/>
        <c:axId val="142632392"/>
      </c:barChart>
      <c:catAx>
        <c:axId val="1426294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Dias de cura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42632392"/>
        <c:crosses val="autoZero"/>
        <c:auto val="1"/>
        <c:lblAlgn val="ctr"/>
        <c:lblOffset val="100"/>
        <c:noMultiLvlLbl val="0"/>
      </c:catAx>
      <c:valAx>
        <c:axId val="1426323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Resistência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42629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[RESULTADOS.xlsx]estatistica!$G$55</c:f>
              <c:strCache>
                <c:ptCount val="1"/>
                <c:pt idx="0">
                  <c:v>7D</c:v>
                </c:pt>
              </c:strCache>
            </c:strRef>
          </c:tx>
          <c:spPr>
            <a:ln w="28575" cap="rnd">
              <a:noFill/>
              <a:round/>
            </a:ln>
            <a:effectLst/>
          </c:spPr>
          <c:marker>
            <c:symbol val="circle"/>
            <c:size val="5"/>
            <c:spPr>
              <a:solidFill>
                <a:schemeClr val="bg1">
                  <a:lumMod val="65000"/>
                </a:schemeClr>
              </a:solidFill>
              <a:ln w="9525">
                <a:solidFill>
                  <a:schemeClr val="bg1">
                    <a:lumMod val="50000"/>
                  </a:schemeClr>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bg1">
                    <a:lumMod val="50000"/>
                  </a:schemeClr>
                </a:solidFill>
                <a:prstDash val="sysDot"/>
              </a:ln>
              <a:effectLst/>
            </c:spPr>
            <c:trendlineType val="linear"/>
            <c:dispRSqr val="1"/>
            <c:dispEq val="0"/>
            <c:trendlineLbl>
              <c:layout>
                <c:manualLayout>
                  <c:x val="-0.5319740893631687"/>
                  <c:y val="-0.66279420838469527"/>
                </c:manualLayout>
              </c:layout>
              <c:numFmt formatCode="General" sourceLinked="0"/>
              <c:spPr>
                <a:noFill/>
                <a:ln>
                  <a:noFill/>
                </a:ln>
                <a:effectLst/>
              </c:spPr>
              <c:txPr>
                <a:bodyPr rot="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xVal>
            <c:numRef>
              <c:f>[RESULTADOS.xlsx]estatistica!$F$54:$F$57</c:f>
              <c:numCache>
                <c:formatCode>General</c:formatCode>
                <c:ptCount val="4"/>
                <c:pt idx="0">
                  <c:v>0</c:v>
                </c:pt>
                <c:pt idx="1">
                  <c:v>10</c:v>
                </c:pt>
                <c:pt idx="2">
                  <c:v>20</c:v>
                </c:pt>
                <c:pt idx="3">
                  <c:v>50</c:v>
                </c:pt>
              </c:numCache>
            </c:numRef>
          </c:xVal>
          <c:yVal>
            <c:numRef>
              <c:f>[RESULTADOS.xlsx]estatistica!$H$54:$H$57</c:f>
              <c:numCache>
                <c:formatCode>General</c:formatCode>
                <c:ptCount val="4"/>
                <c:pt idx="0">
                  <c:v>16.021505638254141</c:v>
                </c:pt>
                <c:pt idx="1">
                  <c:v>10.068389097423909</c:v>
                </c:pt>
                <c:pt idx="2">
                  <c:v>7.6316046385621004</c:v>
                </c:pt>
                <c:pt idx="3">
                  <c:v>3.4652503665762082</c:v>
                </c:pt>
              </c:numCache>
            </c:numRef>
          </c:yVal>
          <c:smooth val="0"/>
          <c:extLst>
            <c:ext xmlns:c16="http://schemas.microsoft.com/office/drawing/2014/chart" uri="{C3380CC4-5D6E-409C-BE32-E72D297353CC}">
              <c16:uniqueId val="{00000002-361F-4DE4-896D-B9039F90B3C1}"/>
            </c:ext>
          </c:extLst>
        </c:ser>
        <c:ser>
          <c:idx val="1"/>
          <c:order val="1"/>
          <c:tx>
            <c:strRef>
              <c:f>[RESULTADOS.xlsx]estatistica!$G$58</c:f>
              <c:strCache>
                <c:ptCount val="1"/>
                <c:pt idx="0">
                  <c:v>28D</c:v>
                </c:pt>
              </c:strCache>
            </c:strRef>
          </c:tx>
          <c:spPr>
            <a:ln w="25400" cap="rnd">
              <a:noFill/>
              <a:round/>
            </a:ln>
            <a:effectLst/>
          </c:spPr>
          <c:marker>
            <c:symbol val="circle"/>
            <c:size val="5"/>
            <c:spPr>
              <a:solidFill>
                <a:schemeClr val="tx1">
                  <a:lumMod val="95000"/>
                  <a:lumOff val="5000"/>
                </a:schemeClr>
              </a:solidFill>
              <a:ln w="9525">
                <a:solidFill>
                  <a:schemeClr val="tx1"/>
                </a:solidFill>
              </a:ln>
              <a:effectLst/>
            </c:spPr>
          </c:marker>
          <c:dPt>
            <c:idx val="5"/>
            <c:marker>
              <c:symbol val="circle"/>
              <c:size val="5"/>
              <c:spPr>
                <a:solidFill>
                  <a:schemeClr val="tx1">
                    <a:lumMod val="95000"/>
                    <a:lumOff val="5000"/>
                  </a:schemeClr>
                </a:solidFill>
                <a:ln w="9525">
                  <a:solidFill>
                    <a:schemeClr val="tx1"/>
                  </a:solidFill>
                </a:ln>
                <a:effectLst/>
              </c:spPr>
            </c:marker>
            <c:bubble3D val="0"/>
            <c:extLst>
              <c:ext xmlns:c16="http://schemas.microsoft.com/office/drawing/2014/chart" uri="{C3380CC4-5D6E-409C-BE32-E72D297353CC}">
                <c16:uniqueId val="{00000003-361F-4DE4-896D-B9039F90B3C1}"/>
              </c:ext>
            </c:extLst>
          </c:dPt>
          <c:trendline>
            <c:spPr>
              <a:ln w="19050" cap="rnd">
                <a:solidFill>
                  <a:sysClr val="windowText" lastClr="000000"/>
                </a:solidFill>
                <a:prstDash val="sysDot"/>
              </a:ln>
              <a:effectLst/>
            </c:spPr>
            <c:trendlineType val="linear"/>
            <c:dispRSqr val="1"/>
            <c:dispEq val="0"/>
            <c:trendlineLbl>
              <c:layout>
                <c:manualLayout>
                  <c:x val="-0.18103196134304544"/>
                  <c:y val="-0.61187009596681285"/>
                </c:manualLayout>
              </c:layout>
              <c:numFmt formatCode="General" sourceLinked="0"/>
              <c:spPr>
                <a:noFill/>
                <a:ln>
                  <a:noFill/>
                </a:ln>
                <a:effectLst/>
              </c:spPr>
              <c:txPr>
                <a:bodyPr rot="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rendlineLbl>
          </c:trendline>
          <c:xVal>
            <c:numRef>
              <c:f>[RESULTADOS.xlsx]estatistica!$F$58:$F$61</c:f>
              <c:numCache>
                <c:formatCode>General</c:formatCode>
                <c:ptCount val="4"/>
                <c:pt idx="0">
                  <c:v>0</c:v>
                </c:pt>
                <c:pt idx="1">
                  <c:v>10</c:v>
                </c:pt>
                <c:pt idx="2">
                  <c:v>20</c:v>
                </c:pt>
                <c:pt idx="3">
                  <c:v>50</c:v>
                </c:pt>
              </c:numCache>
            </c:numRef>
          </c:xVal>
          <c:yVal>
            <c:numRef>
              <c:f>[RESULTADOS.xlsx]estatistica!$H$58:$H$61</c:f>
              <c:numCache>
                <c:formatCode>General</c:formatCode>
                <c:ptCount val="4"/>
                <c:pt idx="0">
                  <c:v>21.713326788297287</c:v>
                </c:pt>
                <c:pt idx="1">
                  <c:v>15.148061650982868</c:v>
                </c:pt>
                <c:pt idx="2">
                  <c:v>14.373258784251664</c:v>
                </c:pt>
                <c:pt idx="3">
                  <c:v>4.5364918206695348</c:v>
                </c:pt>
              </c:numCache>
            </c:numRef>
          </c:yVal>
          <c:smooth val="0"/>
          <c:extLst>
            <c:ext xmlns:c16="http://schemas.microsoft.com/office/drawing/2014/chart" uri="{C3380CC4-5D6E-409C-BE32-E72D297353CC}">
              <c16:uniqueId val="{00000005-361F-4DE4-896D-B9039F90B3C1}"/>
            </c:ext>
          </c:extLst>
        </c:ser>
        <c:dLbls>
          <c:showLegendKey val="0"/>
          <c:showVal val="0"/>
          <c:showCatName val="0"/>
          <c:showSerName val="0"/>
          <c:showPercent val="0"/>
          <c:showBubbleSize val="0"/>
        </c:dLbls>
        <c:axId val="569551960"/>
        <c:axId val="569551632"/>
      </c:scatterChart>
      <c:valAx>
        <c:axId val="569551960"/>
        <c:scaling>
          <c:orientation val="minMax"/>
          <c:max val="5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b="0" i="0" u="none" strike="noStrike" baseline="0">
                    <a:effectLst/>
                  </a:rPr>
                  <a:t>Taxa de CBCA (%) </a:t>
                </a:r>
                <a:r>
                  <a: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p>
            </c:rich>
          </c:tx>
          <c:layout>
            <c:manualLayout>
              <c:xMode val="edge"/>
              <c:yMode val="edge"/>
              <c:x val="0.41591585017258126"/>
              <c:y val="0.91532229336351645"/>
            </c:manualLayout>
          </c:layout>
          <c:overlay val="0"/>
          <c:spPr>
            <a:noFill/>
            <a:ln>
              <a:noFill/>
            </a:ln>
            <a:effectLst/>
          </c:spPr>
          <c:txPr>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551632"/>
        <c:crosses val="autoZero"/>
        <c:crossBetween val="midCat"/>
        <c:majorUnit val="10"/>
      </c:valAx>
      <c:valAx>
        <c:axId val="569551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Resistência (MPa)</a:t>
                </a:r>
              </a:p>
            </c:rich>
          </c:tx>
          <c:layout>
            <c:manualLayout>
              <c:xMode val="edge"/>
              <c:yMode val="edge"/>
              <c:x val="1.977138749409145E-2"/>
              <c:y val="0.31693917083275641"/>
            </c:manualLayout>
          </c:layout>
          <c:overlay val="0"/>
          <c:spPr>
            <a:noFill/>
            <a:ln>
              <a:noFill/>
            </a:ln>
            <a:effectLst/>
          </c:spPr>
          <c:txPr>
            <a:bodyPr rot="-5400000" spcFirstLastPara="1" vertOverflow="ellipsis" vert="horz" wrap="square" anchor="ctr" anchorCtr="1"/>
            <a:lstStyle/>
            <a:p>
              <a:pPr algn="ctr">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69551960"/>
        <c:crosses val="autoZero"/>
        <c:crossBetween val="midCat"/>
      </c:valAx>
      <c:spPr>
        <a:noFill/>
        <a:ln>
          <a:noFill/>
        </a:ln>
        <a:effectLst/>
      </c:spPr>
    </c:plotArea>
    <c:legend>
      <c:legendPos val="t"/>
      <c:legendEntry>
        <c:idx val="2"/>
        <c:delete val="1"/>
      </c:legendEntry>
      <c:legendEntry>
        <c:idx val="3"/>
        <c:delete val="1"/>
      </c:legendEntry>
      <c:legendEntry>
        <c:idx val="4"/>
        <c:delete val="1"/>
      </c:legendEntry>
      <c:layout>
        <c:manualLayout>
          <c:xMode val="edge"/>
          <c:yMode val="edge"/>
          <c:x val="0"/>
          <c:y val="3.4144236546969162E-3"/>
          <c:w val="0.9925857296897157"/>
          <c:h val="5.9920500782997668E-2"/>
        </c:manualLayout>
      </c:layout>
      <c:overlay val="0"/>
      <c:spPr>
        <a:noFill/>
        <a:ln>
          <a:noFill/>
        </a:ln>
        <a:effectLst/>
      </c:spPr>
      <c:txPr>
        <a:bodyPr rot="0" spcFirstLastPara="1" vertOverflow="ellipsis" vert="horz" wrap="square" anchor="ctr" anchorCtr="1"/>
        <a:lstStyle/>
        <a:p>
          <a:pPr algn="ctr" rtl="0">
            <a:defRPr lang="pt-B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E59E6-F984-4C1B-80E1-0524B888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3110</Words>
  <Characters>16798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19869</CharactersWithSpaces>
  <SharedDoc>false</SharedDoc>
  <HLinks>
    <vt:vector size="42" baseType="variant">
      <vt:variant>
        <vt:i4>4784156</vt:i4>
      </vt:variant>
      <vt:variant>
        <vt:i4>18</vt:i4>
      </vt:variant>
      <vt:variant>
        <vt:i4>0</vt:i4>
      </vt:variant>
      <vt:variant>
        <vt:i4>5</vt:i4>
      </vt:variant>
      <vt:variant>
        <vt:lpwstr>http://dx.doi.org/10.1590/S1415-43662009000300019</vt:lpwstr>
      </vt:variant>
      <vt:variant>
        <vt:lpwstr/>
      </vt:variant>
      <vt:variant>
        <vt:i4>5636124</vt:i4>
      </vt:variant>
      <vt:variant>
        <vt:i4>15</vt:i4>
      </vt:variant>
      <vt:variant>
        <vt:i4>0</vt:i4>
      </vt:variant>
      <vt:variant>
        <vt:i4>5</vt:i4>
      </vt:variant>
      <vt:variant>
        <vt:lpwstr>http://www.scielo.org.co/pdf/dyna/v77n163/a05v77n163.pdf</vt:lpwstr>
      </vt:variant>
      <vt:variant>
        <vt:lpwstr/>
      </vt:variant>
      <vt:variant>
        <vt:i4>4194393</vt:i4>
      </vt:variant>
      <vt:variant>
        <vt:i4>12</vt:i4>
      </vt:variant>
      <vt:variant>
        <vt:i4>0</vt:i4>
      </vt:variant>
      <vt:variant>
        <vt:i4>5</vt:i4>
      </vt:variant>
      <vt:variant>
        <vt:lpwstr>http://dx.doi.org/10.4025/revtecnol.v17i1.8728.g5158</vt:lpwstr>
      </vt:variant>
      <vt:variant>
        <vt:lpwstr/>
      </vt:variant>
      <vt:variant>
        <vt:i4>3342355</vt:i4>
      </vt:variant>
      <vt:variant>
        <vt:i4>9</vt:i4>
      </vt:variant>
      <vt:variant>
        <vt:i4>0</vt:i4>
      </vt:variant>
      <vt:variant>
        <vt:i4>5</vt:i4>
      </vt:variant>
      <vt:variant>
        <vt:lpwstr>ftp://ip20017719.eng.ufjf.br/Public/AnaisEventosCientificos/ENTAC_2004/trabalhos/PAP0688d.pdf</vt:lpwstr>
      </vt:variant>
      <vt:variant>
        <vt:lpwstr/>
      </vt:variant>
      <vt:variant>
        <vt:i4>2555984</vt:i4>
      </vt:variant>
      <vt:variant>
        <vt:i4>6</vt:i4>
      </vt:variant>
      <vt:variant>
        <vt:i4>0</vt:i4>
      </vt:variant>
      <vt:variant>
        <vt:i4>5</vt:i4>
      </vt:variant>
      <vt:variant>
        <vt:lpwstr>https://www.geopolymer.org/fichiers_pdf/5GWPROCE.pdf</vt:lpwstr>
      </vt:variant>
      <vt:variant>
        <vt:lpwstr/>
      </vt:variant>
      <vt:variant>
        <vt:i4>3473432</vt:i4>
      </vt:variant>
      <vt:variant>
        <vt:i4>3</vt:i4>
      </vt:variant>
      <vt:variant>
        <vt:i4>0</vt:i4>
      </vt:variant>
      <vt:variant>
        <vt:i4>5</vt:i4>
      </vt:variant>
      <vt:variant>
        <vt:lpwstr>http://www.scielo.br/pdf/riem/v3n1/en_04.pdf</vt:lpwstr>
      </vt:variant>
      <vt:variant>
        <vt:lpwstr/>
      </vt:variant>
      <vt:variant>
        <vt:i4>3932193</vt:i4>
      </vt:variant>
      <vt:variant>
        <vt:i4>0</vt:i4>
      </vt:variant>
      <vt:variant>
        <vt:i4>0</vt:i4>
      </vt:variant>
      <vt:variant>
        <vt:i4>5</vt:i4>
      </vt:variant>
      <vt:variant>
        <vt:lpwstr>http://www.abcp.org.br/cms/imprensa/noticias/pesquisa-inedita-e-exclusiva-revela-cenario-do-mercado-brasileiro-de-concreto/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2018-10-25T19:09:00Z</dcterms:created>
  <dcterms:modified xsi:type="dcterms:W3CDTF">2018-10-25T20:21:00Z</dcterms:modified>
</cp:coreProperties>
</file>