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9DC2B" w14:textId="77777777" w:rsidR="006535CF" w:rsidRDefault="006535CF">
      <w:pPr>
        <w:rPr>
          <w:rFonts w:ascii="Times New Roman" w:hAnsi="Times New Roman" w:cs="Times New Roman"/>
          <w:b/>
          <w:noProof/>
          <w:sz w:val="28"/>
          <w:szCs w:val="28"/>
        </w:rPr>
      </w:pPr>
      <w:r w:rsidRPr="00492E9C">
        <w:rPr>
          <w:rFonts w:ascii="Times New Roman" w:hAnsi="Times New Roman" w:cs="Times New Roman"/>
          <w:b/>
          <w:noProof/>
          <w:sz w:val="28"/>
          <w:szCs w:val="28"/>
        </w:rPr>
        <w:t>A DIMENSÃO REGIONAL DA DESIGUALDADE DE RENDA NOS GOVERNOS FHC E LULA</w:t>
      </w:r>
      <w:r>
        <w:rPr>
          <w:rFonts w:ascii="Times New Roman" w:hAnsi="Times New Roman" w:cs="Times New Roman"/>
          <w:b/>
          <w:noProof/>
          <w:sz w:val="28"/>
          <w:szCs w:val="28"/>
        </w:rPr>
        <w:t xml:space="preserve"> </w:t>
      </w:r>
    </w:p>
    <w:p w14:paraId="1CB267F7" w14:textId="77777777" w:rsidR="006535CF" w:rsidRDefault="006535CF">
      <w:pPr>
        <w:rPr>
          <w:rFonts w:ascii="Times New Roman" w:hAnsi="Times New Roman" w:cs="Times New Roman"/>
          <w:b/>
          <w:noProof/>
          <w:sz w:val="28"/>
          <w:szCs w:val="28"/>
        </w:rPr>
      </w:pPr>
    </w:p>
    <w:p w14:paraId="605023D6" w14:textId="7467214F" w:rsidR="006535CF" w:rsidRPr="004E4BA0" w:rsidRDefault="006535CF" w:rsidP="006535CF">
      <w:pPr>
        <w:jc w:val="right"/>
        <w:rPr>
          <w:rFonts w:ascii="Times New Roman" w:hAnsi="Times New Roman" w:cs="Times New Roman"/>
          <w:b/>
          <w:noProof/>
        </w:rPr>
      </w:pPr>
      <w:r w:rsidRPr="004E4BA0">
        <w:rPr>
          <w:rFonts w:ascii="Times New Roman" w:hAnsi="Times New Roman" w:cs="Times New Roman"/>
          <w:b/>
          <w:noProof/>
        </w:rPr>
        <w:t>Solange de Cassia In</w:t>
      </w:r>
      <w:r w:rsidR="004E4BA0" w:rsidRPr="004E4BA0">
        <w:rPr>
          <w:rFonts w:ascii="Times New Roman" w:hAnsi="Times New Roman" w:cs="Times New Roman"/>
          <w:b/>
          <w:noProof/>
        </w:rPr>
        <w:t>for</w:t>
      </w:r>
      <w:r w:rsidRPr="004E4BA0">
        <w:rPr>
          <w:rFonts w:ascii="Times New Roman" w:hAnsi="Times New Roman" w:cs="Times New Roman"/>
          <w:b/>
          <w:noProof/>
        </w:rPr>
        <w:t>zato de Souza</w:t>
      </w:r>
    </w:p>
    <w:p w14:paraId="60BFBFB1" w14:textId="77777777" w:rsidR="004E4BA0" w:rsidRDefault="004E4BA0" w:rsidP="006535CF">
      <w:pPr>
        <w:jc w:val="right"/>
        <w:rPr>
          <w:rFonts w:ascii="Times New Roman" w:hAnsi="Times New Roman" w:cs="Times New Roman"/>
          <w:noProof/>
          <w:sz w:val="22"/>
          <w:szCs w:val="22"/>
        </w:rPr>
      </w:pPr>
      <w:r w:rsidRPr="004E4BA0">
        <w:rPr>
          <w:rFonts w:ascii="Times New Roman" w:hAnsi="Times New Roman" w:cs="Times New Roman"/>
          <w:noProof/>
          <w:sz w:val="22"/>
          <w:szCs w:val="22"/>
        </w:rPr>
        <w:t>Professora associada da Universidade Estadual de  Londrina</w:t>
      </w:r>
    </w:p>
    <w:p w14:paraId="28AD6F4B" w14:textId="3F11E5FD" w:rsidR="004E4BA0" w:rsidRPr="004E4BA0" w:rsidRDefault="004E4BA0" w:rsidP="006535CF">
      <w:pPr>
        <w:jc w:val="right"/>
        <w:rPr>
          <w:rFonts w:ascii="Times New Roman" w:hAnsi="Times New Roman" w:cs="Times New Roman"/>
          <w:noProof/>
          <w:sz w:val="22"/>
          <w:szCs w:val="22"/>
        </w:rPr>
      </w:pPr>
      <w:r>
        <w:rPr>
          <w:rFonts w:ascii="Times New Roman" w:hAnsi="Times New Roman" w:cs="Times New Roman"/>
          <w:noProof/>
          <w:sz w:val="22"/>
          <w:szCs w:val="22"/>
        </w:rPr>
        <w:t xml:space="preserve"> e d</w:t>
      </w:r>
      <w:r w:rsidRPr="004E4BA0">
        <w:rPr>
          <w:rFonts w:ascii="Times New Roman" w:hAnsi="Times New Roman" w:cs="Times New Roman"/>
          <w:noProof/>
          <w:sz w:val="22"/>
          <w:szCs w:val="22"/>
        </w:rPr>
        <w:t>o Pr</w:t>
      </w:r>
      <w:r w:rsidR="00D42A5C">
        <w:rPr>
          <w:rFonts w:ascii="Times New Roman" w:hAnsi="Times New Roman" w:cs="Times New Roman"/>
          <w:noProof/>
          <w:sz w:val="22"/>
          <w:szCs w:val="22"/>
        </w:rPr>
        <w:t>ograma de Mestrado em Economia R</w:t>
      </w:r>
      <w:r w:rsidRPr="004E4BA0">
        <w:rPr>
          <w:rFonts w:ascii="Times New Roman" w:hAnsi="Times New Roman" w:cs="Times New Roman"/>
          <w:noProof/>
          <w:sz w:val="22"/>
          <w:szCs w:val="22"/>
        </w:rPr>
        <w:t>egional da UEL</w:t>
      </w:r>
    </w:p>
    <w:p w14:paraId="3922492E" w14:textId="7AF28404" w:rsidR="004E4BA0" w:rsidRPr="004E4BA0" w:rsidRDefault="004E4BA0" w:rsidP="006535CF">
      <w:pPr>
        <w:jc w:val="right"/>
        <w:rPr>
          <w:rFonts w:ascii="Times New Roman" w:hAnsi="Times New Roman" w:cs="Times New Roman"/>
          <w:noProof/>
          <w:sz w:val="22"/>
          <w:szCs w:val="22"/>
        </w:rPr>
      </w:pPr>
      <w:r w:rsidRPr="004E4BA0">
        <w:rPr>
          <w:rFonts w:ascii="Times New Roman" w:hAnsi="Times New Roman" w:cs="Times New Roman"/>
          <w:noProof/>
          <w:sz w:val="22"/>
          <w:szCs w:val="22"/>
        </w:rPr>
        <w:t>Universidade Estadual de Londrina</w:t>
      </w:r>
    </w:p>
    <w:p w14:paraId="44BF7CF2" w14:textId="5DDF77DE" w:rsidR="004E4BA0" w:rsidRPr="004E4BA0" w:rsidRDefault="00D42A5C" w:rsidP="006535CF">
      <w:pPr>
        <w:jc w:val="right"/>
        <w:rPr>
          <w:rFonts w:ascii="Times New Roman" w:hAnsi="Times New Roman" w:cs="Times New Roman"/>
          <w:noProof/>
          <w:sz w:val="22"/>
          <w:szCs w:val="22"/>
        </w:rPr>
      </w:pPr>
      <w:r>
        <w:rPr>
          <w:rFonts w:ascii="Times New Roman" w:hAnsi="Times New Roman" w:cs="Times New Roman"/>
          <w:noProof/>
          <w:sz w:val="22"/>
          <w:szCs w:val="22"/>
        </w:rPr>
        <w:t>Rodovia Celso G</w:t>
      </w:r>
      <w:r w:rsidR="004E4BA0" w:rsidRPr="004E4BA0">
        <w:rPr>
          <w:rFonts w:ascii="Times New Roman" w:hAnsi="Times New Roman" w:cs="Times New Roman"/>
          <w:noProof/>
          <w:sz w:val="22"/>
          <w:szCs w:val="22"/>
        </w:rPr>
        <w:t>arcia Cid, Pr 445 Km 380</w:t>
      </w:r>
    </w:p>
    <w:p w14:paraId="352414C0" w14:textId="60ADEA7D" w:rsidR="004E4BA0" w:rsidRPr="004E4BA0" w:rsidRDefault="004E4BA0" w:rsidP="006535CF">
      <w:pPr>
        <w:jc w:val="right"/>
        <w:rPr>
          <w:rFonts w:ascii="Times New Roman" w:hAnsi="Times New Roman" w:cs="Times New Roman"/>
          <w:noProof/>
          <w:sz w:val="22"/>
          <w:szCs w:val="22"/>
        </w:rPr>
      </w:pPr>
      <w:r w:rsidRPr="004E4BA0">
        <w:rPr>
          <w:rFonts w:ascii="Times New Roman" w:hAnsi="Times New Roman" w:cs="Times New Roman"/>
          <w:noProof/>
          <w:sz w:val="22"/>
          <w:szCs w:val="22"/>
        </w:rPr>
        <w:t>Cep: 86.057-970</w:t>
      </w:r>
    </w:p>
    <w:p w14:paraId="0B09A56A" w14:textId="7CE275DC" w:rsidR="004E4BA0" w:rsidRDefault="004E4BA0" w:rsidP="006535CF">
      <w:pPr>
        <w:jc w:val="right"/>
        <w:rPr>
          <w:rFonts w:ascii="Times New Roman" w:hAnsi="Times New Roman" w:cs="Times New Roman"/>
          <w:noProof/>
          <w:sz w:val="22"/>
          <w:szCs w:val="22"/>
        </w:rPr>
      </w:pPr>
      <w:r w:rsidRPr="004E4BA0">
        <w:rPr>
          <w:rFonts w:ascii="Times New Roman" w:hAnsi="Times New Roman" w:cs="Times New Roman"/>
          <w:noProof/>
          <w:sz w:val="22"/>
          <w:szCs w:val="22"/>
        </w:rPr>
        <w:t>Londrina/Pr</w:t>
      </w:r>
    </w:p>
    <w:p w14:paraId="16D06E43" w14:textId="3D40EF6E" w:rsidR="004E4BA0" w:rsidRDefault="004E4BA0" w:rsidP="006535CF">
      <w:pPr>
        <w:jc w:val="right"/>
        <w:rPr>
          <w:rFonts w:ascii="Times New Roman" w:hAnsi="Times New Roman" w:cs="Times New Roman"/>
          <w:noProof/>
          <w:sz w:val="22"/>
          <w:szCs w:val="22"/>
        </w:rPr>
      </w:pPr>
      <w:hyperlink r:id="rId8" w:history="1">
        <w:r w:rsidRPr="0044090F">
          <w:rPr>
            <w:rStyle w:val="Hyperlink"/>
            <w:rFonts w:ascii="Times New Roman" w:hAnsi="Times New Roman" w:cs="Times New Roman"/>
            <w:noProof/>
            <w:sz w:val="22"/>
            <w:szCs w:val="22"/>
          </w:rPr>
          <w:t>solangecassia@uol.com.br</w:t>
        </w:r>
      </w:hyperlink>
    </w:p>
    <w:p w14:paraId="15C81B32" w14:textId="77777777" w:rsidR="004E4BA0" w:rsidRPr="004E4BA0" w:rsidRDefault="004E4BA0" w:rsidP="006535CF">
      <w:pPr>
        <w:jc w:val="right"/>
        <w:rPr>
          <w:rFonts w:ascii="Times New Roman" w:hAnsi="Times New Roman" w:cs="Times New Roman"/>
          <w:noProof/>
          <w:sz w:val="22"/>
          <w:szCs w:val="22"/>
        </w:rPr>
      </w:pPr>
    </w:p>
    <w:p w14:paraId="5E1EF044" w14:textId="77777777" w:rsidR="004E4BA0" w:rsidRPr="004E4BA0" w:rsidRDefault="004E4BA0" w:rsidP="006535CF">
      <w:pPr>
        <w:jc w:val="right"/>
        <w:rPr>
          <w:rFonts w:ascii="Times New Roman" w:hAnsi="Times New Roman" w:cs="Times New Roman"/>
          <w:noProof/>
          <w:sz w:val="28"/>
          <w:szCs w:val="28"/>
        </w:rPr>
      </w:pPr>
    </w:p>
    <w:p w14:paraId="588CC9C0" w14:textId="36204598" w:rsidR="006535CF" w:rsidRPr="004E4BA0" w:rsidRDefault="004E4BA0" w:rsidP="006535CF">
      <w:pPr>
        <w:jc w:val="right"/>
        <w:rPr>
          <w:rFonts w:ascii="Times New Roman" w:hAnsi="Times New Roman" w:cs="Times New Roman"/>
          <w:b/>
          <w:noProof/>
        </w:rPr>
      </w:pPr>
      <w:r w:rsidRPr="004E4BA0">
        <w:rPr>
          <w:rFonts w:ascii="Times New Roman" w:hAnsi="Times New Roman" w:cs="Times New Roman"/>
          <w:b/>
          <w:noProof/>
        </w:rPr>
        <w:t>Isadora Dib Visconti Oliveira</w:t>
      </w:r>
    </w:p>
    <w:p w14:paraId="55178646" w14:textId="3C5E9114" w:rsidR="006535CF" w:rsidRPr="00D42A5C" w:rsidRDefault="004E4BA0" w:rsidP="006535CF">
      <w:pPr>
        <w:jc w:val="right"/>
        <w:rPr>
          <w:rFonts w:ascii="Times" w:hAnsi="Times" w:cs="Arial"/>
          <w:sz w:val="22"/>
          <w:szCs w:val="22"/>
        </w:rPr>
      </w:pPr>
      <w:r w:rsidRPr="00D42A5C">
        <w:rPr>
          <w:rFonts w:ascii="Times" w:hAnsi="Times" w:cs="Arial"/>
          <w:sz w:val="22"/>
          <w:szCs w:val="22"/>
        </w:rPr>
        <w:t xml:space="preserve">Bolsista </w:t>
      </w:r>
      <w:r w:rsidRPr="00D42A5C">
        <w:rPr>
          <w:rFonts w:ascii="Times" w:hAnsi="Times" w:cs="Arial"/>
          <w:sz w:val="22"/>
          <w:szCs w:val="22"/>
        </w:rPr>
        <w:t>PIBIC/Fundação Araucária e CNPq</w:t>
      </w:r>
    </w:p>
    <w:p w14:paraId="12F08A15" w14:textId="7F4B1D95" w:rsidR="004E4BA0" w:rsidRPr="00D42A5C" w:rsidRDefault="004E4BA0" w:rsidP="006535CF">
      <w:pPr>
        <w:jc w:val="right"/>
        <w:rPr>
          <w:rFonts w:ascii="Times New Roman" w:hAnsi="Times New Roman" w:cs="Times New Roman"/>
          <w:noProof/>
          <w:sz w:val="22"/>
          <w:szCs w:val="22"/>
        </w:rPr>
      </w:pPr>
      <w:r w:rsidRPr="00D42A5C">
        <w:rPr>
          <w:rFonts w:ascii="Times New Roman" w:hAnsi="Times New Roman" w:cs="Times New Roman"/>
          <w:noProof/>
          <w:sz w:val="22"/>
          <w:szCs w:val="22"/>
        </w:rPr>
        <w:t>Rua Caracas, 1200, apto 1205</w:t>
      </w:r>
    </w:p>
    <w:p w14:paraId="38C5A480" w14:textId="0EA0D1F2" w:rsidR="004E4BA0" w:rsidRPr="00D42A5C" w:rsidRDefault="004E4BA0" w:rsidP="006535CF">
      <w:pPr>
        <w:jc w:val="right"/>
        <w:rPr>
          <w:rFonts w:ascii="Times New Roman" w:hAnsi="Times New Roman" w:cs="Times New Roman"/>
          <w:noProof/>
          <w:sz w:val="22"/>
          <w:szCs w:val="22"/>
        </w:rPr>
      </w:pPr>
      <w:r w:rsidRPr="00D42A5C">
        <w:rPr>
          <w:rFonts w:ascii="Times New Roman" w:hAnsi="Times New Roman" w:cs="Times New Roman"/>
          <w:noProof/>
          <w:sz w:val="22"/>
          <w:szCs w:val="22"/>
        </w:rPr>
        <w:t>Londrina/Pr</w:t>
      </w:r>
    </w:p>
    <w:p w14:paraId="4AA2F626" w14:textId="55A91C47" w:rsidR="004E4BA0" w:rsidRPr="00426384" w:rsidRDefault="00D42A5C" w:rsidP="006535CF">
      <w:pPr>
        <w:jc w:val="right"/>
        <w:rPr>
          <w:rFonts w:ascii="Times New Roman" w:hAnsi="Times New Roman" w:cs="Times New Roman"/>
          <w:noProof/>
          <w:sz w:val="22"/>
          <w:szCs w:val="22"/>
        </w:rPr>
      </w:pPr>
      <w:hyperlink r:id="rId9" w:history="1">
        <w:r w:rsidRPr="00426384">
          <w:rPr>
            <w:rStyle w:val="Hyperlink"/>
            <w:rFonts w:ascii="Times New Roman" w:hAnsi="Times New Roman" w:cs="Times New Roman"/>
            <w:noProof/>
            <w:sz w:val="22"/>
            <w:szCs w:val="22"/>
          </w:rPr>
          <w:t>isadib@hotmail.com</w:t>
        </w:r>
      </w:hyperlink>
    </w:p>
    <w:p w14:paraId="0C92A11C" w14:textId="77777777" w:rsidR="00D42A5C" w:rsidRPr="004E4BA0" w:rsidRDefault="00D42A5C" w:rsidP="006535CF">
      <w:pPr>
        <w:jc w:val="right"/>
        <w:rPr>
          <w:rFonts w:ascii="Times New Roman" w:hAnsi="Times New Roman" w:cs="Times New Roman"/>
          <w:noProof/>
          <w:sz w:val="28"/>
          <w:szCs w:val="28"/>
        </w:rPr>
      </w:pPr>
    </w:p>
    <w:p w14:paraId="2BEF297A" w14:textId="133127F4" w:rsidR="006535CF" w:rsidRPr="00D42A5C" w:rsidRDefault="004E4BA0" w:rsidP="006535CF">
      <w:pPr>
        <w:jc w:val="right"/>
        <w:rPr>
          <w:rFonts w:ascii="Times New Roman" w:hAnsi="Times New Roman" w:cs="Times New Roman"/>
          <w:b/>
          <w:noProof/>
        </w:rPr>
      </w:pPr>
      <w:r w:rsidRPr="00D42A5C">
        <w:rPr>
          <w:rFonts w:ascii="Times New Roman" w:hAnsi="Times New Roman" w:cs="Times New Roman"/>
          <w:b/>
          <w:noProof/>
        </w:rPr>
        <w:t>Carlos Roberto Ferreira</w:t>
      </w:r>
    </w:p>
    <w:p w14:paraId="2379B4B8" w14:textId="0E6D9370" w:rsidR="00D42A5C" w:rsidRDefault="00D42A5C" w:rsidP="00D42A5C">
      <w:pPr>
        <w:jc w:val="right"/>
        <w:rPr>
          <w:rFonts w:ascii="Times New Roman" w:hAnsi="Times New Roman" w:cs="Times New Roman"/>
          <w:noProof/>
          <w:sz w:val="22"/>
          <w:szCs w:val="22"/>
        </w:rPr>
      </w:pPr>
      <w:r w:rsidRPr="004E4BA0">
        <w:rPr>
          <w:rFonts w:ascii="Times New Roman" w:hAnsi="Times New Roman" w:cs="Times New Roman"/>
          <w:noProof/>
          <w:sz w:val="22"/>
          <w:szCs w:val="22"/>
        </w:rPr>
        <w:t>Professor</w:t>
      </w:r>
      <w:r>
        <w:rPr>
          <w:rFonts w:ascii="Times New Roman" w:hAnsi="Times New Roman" w:cs="Times New Roman"/>
          <w:noProof/>
          <w:sz w:val="22"/>
          <w:szCs w:val="22"/>
        </w:rPr>
        <w:t xml:space="preserve"> associado</w:t>
      </w:r>
      <w:r w:rsidRPr="004E4BA0">
        <w:rPr>
          <w:rFonts w:ascii="Times New Roman" w:hAnsi="Times New Roman" w:cs="Times New Roman"/>
          <w:noProof/>
          <w:sz w:val="22"/>
          <w:szCs w:val="22"/>
        </w:rPr>
        <w:t xml:space="preserve"> da Universidade Estadual de  Londrina</w:t>
      </w:r>
    </w:p>
    <w:p w14:paraId="0F16C0CD" w14:textId="3DDBED95" w:rsidR="00D42A5C" w:rsidRPr="004E4BA0" w:rsidRDefault="00D42A5C" w:rsidP="00D42A5C">
      <w:pPr>
        <w:jc w:val="right"/>
        <w:rPr>
          <w:rFonts w:ascii="Times New Roman" w:hAnsi="Times New Roman" w:cs="Times New Roman"/>
          <w:noProof/>
          <w:sz w:val="22"/>
          <w:szCs w:val="22"/>
        </w:rPr>
      </w:pPr>
      <w:r>
        <w:rPr>
          <w:rFonts w:ascii="Times New Roman" w:hAnsi="Times New Roman" w:cs="Times New Roman"/>
          <w:noProof/>
          <w:sz w:val="22"/>
          <w:szCs w:val="22"/>
        </w:rPr>
        <w:t xml:space="preserve"> e d</w:t>
      </w:r>
      <w:r w:rsidRPr="004E4BA0">
        <w:rPr>
          <w:rFonts w:ascii="Times New Roman" w:hAnsi="Times New Roman" w:cs="Times New Roman"/>
          <w:noProof/>
          <w:sz w:val="22"/>
          <w:szCs w:val="22"/>
        </w:rPr>
        <w:t>o Pr</w:t>
      </w:r>
      <w:r>
        <w:rPr>
          <w:rFonts w:ascii="Times New Roman" w:hAnsi="Times New Roman" w:cs="Times New Roman"/>
          <w:noProof/>
          <w:sz w:val="22"/>
          <w:szCs w:val="22"/>
        </w:rPr>
        <w:t>ograma de Mestrado em Economia R</w:t>
      </w:r>
      <w:r w:rsidRPr="004E4BA0">
        <w:rPr>
          <w:rFonts w:ascii="Times New Roman" w:hAnsi="Times New Roman" w:cs="Times New Roman"/>
          <w:noProof/>
          <w:sz w:val="22"/>
          <w:szCs w:val="22"/>
        </w:rPr>
        <w:t>egional da UEL</w:t>
      </w:r>
    </w:p>
    <w:p w14:paraId="76EF36A9" w14:textId="77777777" w:rsidR="00D42A5C" w:rsidRPr="004E4BA0" w:rsidRDefault="00D42A5C" w:rsidP="00D42A5C">
      <w:pPr>
        <w:jc w:val="right"/>
        <w:rPr>
          <w:rFonts w:ascii="Times New Roman" w:hAnsi="Times New Roman" w:cs="Times New Roman"/>
          <w:noProof/>
          <w:sz w:val="22"/>
          <w:szCs w:val="22"/>
        </w:rPr>
      </w:pPr>
      <w:r w:rsidRPr="004E4BA0">
        <w:rPr>
          <w:rFonts w:ascii="Times New Roman" w:hAnsi="Times New Roman" w:cs="Times New Roman"/>
          <w:noProof/>
          <w:sz w:val="22"/>
          <w:szCs w:val="22"/>
        </w:rPr>
        <w:t>Universidade Estadual de Londrina</w:t>
      </w:r>
    </w:p>
    <w:p w14:paraId="5210E874" w14:textId="07315304" w:rsidR="00D42A5C" w:rsidRPr="004E4BA0" w:rsidRDefault="00D42A5C" w:rsidP="00D42A5C">
      <w:pPr>
        <w:jc w:val="right"/>
        <w:rPr>
          <w:rFonts w:ascii="Times New Roman" w:hAnsi="Times New Roman" w:cs="Times New Roman"/>
          <w:noProof/>
          <w:sz w:val="22"/>
          <w:szCs w:val="22"/>
        </w:rPr>
      </w:pPr>
      <w:r>
        <w:rPr>
          <w:rFonts w:ascii="Times New Roman" w:hAnsi="Times New Roman" w:cs="Times New Roman"/>
          <w:noProof/>
          <w:sz w:val="22"/>
          <w:szCs w:val="22"/>
        </w:rPr>
        <w:t>Rodovia Celso G</w:t>
      </w:r>
      <w:r w:rsidRPr="004E4BA0">
        <w:rPr>
          <w:rFonts w:ascii="Times New Roman" w:hAnsi="Times New Roman" w:cs="Times New Roman"/>
          <w:noProof/>
          <w:sz w:val="22"/>
          <w:szCs w:val="22"/>
        </w:rPr>
        <w:t>arcia Cid, Pr 445 Km 380</w:t>
      </w:r>
    </w:p>
    <w:p w14:paraId="6DB29C1B" w14:textId="77777777" w:rsidR="00D42A5C" w:rsidRPr="004E4BA0" w:rsidRDefault="00D42A5C" w:rsidP="00D42A5C">
      <w:pPr>
        <w:jc w:val="right"/>
        <w:rPr>
          <w:rFonts w:ascii="Times New Roman" w:hAnsi="Times New Roman" w:cs="Times New Roman"/>
          <w:noProof/>
          <w:sz w:val="22"/>
          <w:szCs w:val="22"/>
        </w:rPr>
      </w:pPr>
      <w:r w:rsidRPr="004E4BA0">
        <w:rPr>
          <w:rFonts w:ascii="Times New Roman" w:hAnsi="Times New Roman" w:cs="Times New Roman"/>
          <w:noProof/>
          <w:sz w:val="22"/>
          <w:szCs w:val="22"/>
        </w:rPr>
        <w:t>Cep: 86.057-970</w:t>
      </w:r>
    </w:p>
    <w:p w14:paraId="781B9C36" w14:textId="12F81D41" w:rsidR="00D42A5C" w:rsidRDefault="00D42A5C" w:rsidP="00D42A5C">
      <w:pPr>
        <w:jc w:val="right"/>
        <w:rPr>
          <w:rFonts w:ascii="Times New Roman" w:hAnsi="Times New Roman" w:cs="Times New Roman"/>
          <w:noProof/>
          <w:sz w:val="22"/>
          <w:szCs w:val="22"/>
        </w:rPr>
      </w:pPr>
      <w:r w:rsidRPr="004E4BA0">
        <w:rPr>
          <w:rFonts w:ascii="Times New Roman" w:hAnsi="Times New Roman" w:cs="Times New Roman"/>
          <w:noProof/>
          <w:sz w:val="22"/>
          <w:szCs w:val="22"/>
        </w:rPr>
        <w:t>Londrina/Pr</w:t>
      </w:r>
    </w:p>
    <w:p w14:paraId="538714B0" w14:textId="6D03662E" w:rsidR="00D42A5C" w:rsidRDefault="00D42A5C" w:rsidP="00D42A5C">
      <w:pPr>
        <w:jc w:val="right"/>
        <w:rPr>
          <w:rFonts w:ascii="Times New Roman" w:hAnsi="Times New Roman" w:cs="Times New Roman"/>
          <w:noProof/>
          <w:sz w:val="22"/>
          <w:szCs w:val="22"/>
        </w:rPr>
      </w:pPr>
      <w:hyperlink r:id="rId10" w:history="1">
        <w:r w:rsidRPr="0044090F">
          <w:rPr>
            <w:rStyle w:val="Hyperlink"/>
            <w:rFonts w:ascii="Times New Roman" w:hAnsi="Times New Roman" w:cs="Times New Roman"/>
            <w:noProof/>
            <w:sz w:val="22"/>
            <w:szCs w:val="22"/>
          </w:rPr>
          <w:t>robert@uel.br</w:t>
        </w:r>
      </w:hyperlink>
    </w:p>
    <w:p w14:paraId="5DC83617" w14:textId="725458B2" w:rsidR="00D42A5C" w:rsidRDefault="00D42A5C" w:rsidP="00D42A5C">
      <w:pPr>
        <w:jc w:val="right"/>
        <w:rPr>
          <w:rFonts w:ascii="Times New Roman" w:hAnsi="Times New Roman" w:cs="Times New Roman"/>
          <w:noProof/>
          <w:sz w:val="22"/>
          <w:szCs w:val="22"/>
        </w:rPr>
      </w:pPr>
    </w:p>
    <w:p w14:paraId="28DB9030" w14:textId="630B53B8" w:rsidR="00D42A5C" w:rsidRDefault="00D42A5C" w:rsidP="00D42A5C">
      <w:pPr>
        <w:jc w:val="right"/>
        <w:rPr>
          <w:rFonts w:ascii="Times New Roman" w:hAnsi="Times New Roman" w:cs="Times New Roman"/>
          <w:noProof/>
          <w:sz w:val="22"/>
          <w:szCs w:val="22"/>
        </w:rPr>
      </w:pPr>
    </w:p>
    <w:p w14:paraId="44979A34" w14:textId="5AB7D2BC" w:rsidR="00D42A5C" w:rsidRDefault="00D42A5C" w:rsidP="00D42A5C">
      <w:pPr>
        <w:jc w:val="right"/>
        <w:rPr>
          <w:rFonts w:ascii="Times New Roman" w:hAnsi="Times New Roman" w:cs="Times New Roman"/>
          <w:noProof/>
          <w:sz w:val="22"/>
          <w:szCs w:val="22"/>
        </w:rPr>
      </w:pPr>
    </w:p>
    <w:p w14:paraId="591C6D5B" w14:textId="4DFFC6EB" w:rsidR="00D42A5C" w:rsidRDefault="00D42A5C" w:rsidP="00D42A5C">
      <w:pPr>
        <w:jc w:val="right"/>
        <w:rPr>
          <w:rFonts w:ascii="Times New Roman" w:hAnsi="Times New Roman" w:cs="Times New Roman"/>
          <w:noProof/>
          <w:sz w:val="22"/>
          <w:szCs w:val="22"/>
        </w:rPr>
      </w:pPr>
    </w:p>
    <w:p w14:paraId="687F07E6" w14:textId="47AA9D09" w:rsidR="00D42A5C" w:rsidRDefault="00D42A5C" w:rsidP="00D42A5C">
      <w:pPr>
        <w:jc w:val="right"/>
        <w:rPr>
          <w:rFonts w:ascii="Times New Roman" w:hAnsi="Times New Roman" w:cs="Times New Roman"/>
          <w:noProof/>
          <w:sz w:val="22"/>
          <w:szCs w:val="22"/>
        </w:rPr>
      </w:pPr>
    </w:p>
    <w:p w14:paraId="775736A3" w14:textId="3E6E66F6" w:rsidR="00D42A5C" w:rsidRDefault="00D42A5C" w:rsidP="00D42A5C">
      <w:pPr>
        <w:jc w:val="right"/>
        <w:rPr>
          <w:rFonts w:ascii="Times New Roman" w:hAnsi="Times New Roman" w:cs="Times New Roman"/>
          <w:noProof/>
          <w:sz w:val="22"/>
          <w:szCs w:val="22"/>
        </w:rPr>
      </w:pPr>
    </w:p>
    <w:p w14:paraId="7343EBA7" w14:textId="77777777" w:rsidR="00D42A5C" w:rsidRDefault="00D42A5C" w:rsidP="00D42A5C">
      <w:pPr>
        <w:widowControl w:val="0"/>
        <w:autoSpaceDE w:val="0"/>
        <w:autoSpaceDN w:val="0"/>
        <w:adjustRightInd w:val="0"/>
        <w:spacing w:after="240" w:line="360" w:lineRule="auto"/>
        <w:contextualSpacing/>
        <w:jc w:val="both"/>
        <w:rPr>
          <w:rFonts w:ascii="Times" w:hAnsi="Times" w:cs="Times New Roman"/>
          <w:b/>
          <w:noProof/>
        </w:rPr>
      </w:pPr>
      <w:r w:rsidRPr="001C520E">
        <w:rPr>
          <w:rFonts w:ascii="Times" w:hAnsi="Times" w:cs="Times New Roman"/>
          <w:b/>
          <w:noProof/>
        </w:rPr>
        <w:t>AGRADECIMENTOS</w:t>
      </w:r>
    </w:p>
    <w:p w14:paraId="0FB45AEF" w14:textId="77777777" w:rsidR="00D42A5C" w:rsidRPr="001C520E" w:rsidRDefault="00D42A5C" w:rsidP="00D42A5C">
      <w:pPr>
        <w:jc w:val="both"/>
        <w:rPr>
          <w:rFonts w:ascii="Times" w:hAnsi="Times" w:cs="Arial"/>
        </w:rPr>
      </w:pPr>
      <w:r w:rsidRPr="001C520E">
        <w:rPr>
          <w:rFonts w:ascii="Times" w:hAnsi="Times" w:cs="Arial"/>
        </w:rPr>
        <w:t xml:space="preserve">Ao programa PIBIC/Fundação Araucária </w:t>
      </w:r>
      <w:r>
        <w:rPr>
          <w:rFonts w:ascii="Times" w:hAnsi="Times" w:cs="Arial"/>
        </w:rPr>
        <w:t xml:space="preserve">e CNPq </w:t>
      </w:r>
      <w:r w:rsidRPr="001C520E">
        <w:rPr>
          <w:rFonts w:ascii="Times" w:hAnsi="Times" w:cs="Arial"/>
        </w:rPr>
        <w:t>pelo financiamento do projeto de pesquisa e à UEL pela concessão d</w:t>
      </w:r>
      <w:r>
        <w:rPr>
          <w:rFonts w:ascii="Times" w:hAnsi="Times" w:cs="Arial"/>
        </w:rPr>
        <w:t>a bolsa de Iniciação Científica.</w:t>
      </w:r>
    </w:p>
    <w:p w14:paraId="2C70B313" w14:textId="77777777" w:rsidR="00D42A5C" w:rsidRDefault="00D42A5C" w:rsidP="00D42A5C">
      <w:pPr>
        <w:jc w:val="both"/>
        <w:rPr>
          <w:rFonts w:ascii="Times New Roman" w:hAnsi="Times New Roman" w:cs="Times New Roman"/>
          <w:noProof/>
          <w:sz w:val="22"/>
          <w:szCs w:val="22"/>
        </w:rPr>
      </w:pPr>
    </w:p>
    <w:p w14:paraId="6A65895C" w14:textId="4B12D12B" w:rsidR="006535CF" w:rsidRPr="004E4BA0" w:rsidRDefault="006535CF">
      <w:pPr>
        <w:rPr>
          <w:rFonts w:ascii="Times New Roman" w:hAnsi="Times New Roman" w:cs="Times New Roman"/>
          <w:b/>
          <w:noProof/>
          <w:sz w:val="28"/>
          <w:szCs w:val="28"/>
        </w:rPr>
      </w:pPr>
      <w:r w:rsidRPr="004E4BA0">
        <w:rPr>
          <w:rFonts w:ascii="Times New Roman" w:hAnsi="Times New Roman" w:cs="Times New Roman"/>
          <w:b/>
          <w:noProof/>
          <w:sz w:val="28"/>
          <w:szCs w:val="28"/>
        </w:rPr>
        <w:br w:type="page"/>
      </w:r>
    </w:p>
    <w:p w14:paraId="74B00F92" w14:textId="1D2332EE" w:rsidR="00B4668E" w:rsidRPr="00492E9C" w:rsidRDefault="00CC671E" w:rsidP="006535CF">
      <w:pPr>
        <w:jc w:val="right"/>
        <w:rPr>
          <w:rFonts w:ascii="Times New Roman" w:hAnsi="Times New Roman" w:cs="Times New Roman"/>
          <w:b/>
          <w:noProof/>
          <w:sz w:val="28"/>
          <w:szCs w:val="28"/>
        </w:rPr>
      </w:pPr>
      <w:r w:rsidRPr="00492E9C">
        <w:rPr>
          <w:rFonts w:ascii="Times New Roman" w:hAnsi="Times New Roman" w:cs="Times New Roman"/>
          <w:b/>
          <w:noProof/>
          <w:sz w:val="28"/>
          <w:szCs w:val="28"/>
        </w:rPr>
        <w:lastRenderedPageBreak/>
        <w:t xml:space="preserve">A </w:t>
      </w:r>
      <w:r w:rsidR="00C80826" w:rsidRPr="00492E9C">
        <w:rPr>
          <w:rFonts w:ascii="Times New Roman" w:hAnsi="Times New Roman" w:cs="Times New Roman"/>
          <w:b/>
          <w:noProof/>
          <w:sz w:val="28"/>
          <w:szCs w:val="28"/>
        </w:rPr>
        <w:t xml:space="preserve">DIMENSÃO REGIONAL DA </w:t>
      </w:r>
      <w:r w:rsidR="00AD6E82" w:rsidRPr="00492E9C">
        <w:rPr>
          <w:rFonts w:ascii="Times New Roman" w:hAnsi="Times New Roman" w:cs="Times New Roman"/>
          <w:b/>
          <w:noProof/>
          <w:sz w:val="28"/>
          <w:szCs w:val="28"/>
        </w:rPr>
        <w:t>DESIGU</w:t>
      </w:r>
      <w:r w:rsidR="006509D2" w:rsidRPr="00492E9C">
        <w:rPr>
          <w:rFonts w:ascii="Times New Roman" w:hAnsi="Times New Roman" w:cs="Times New Roman"/>
          <w:b/>
          <w:noProof/>
          <w:sz w:val="28"/>
          <w:szCs w:val="28"/>
        </w:rPr>
        <w:t>A</w:t>
      </w:r>
      <w:r w:rsidR="00AD6E82" w:rsidRPr="00492E9C">
        <w:rPr>
          <w:rFonts w:ascii="Times New Roman" w:hAnsi="Times New Roman" w:cs="Times New Roman"/>
          <w:b/>
          <w:noProof/>
          <w:sz w:val="28"/>
          <w:szCs w:val="28"/>
        </w:rPr>
        <w:t>LDADE DE RENDA</w:t>
      </w:r>
      <w:r w:rsidRPr="00492E9C">
        <w:rPr>
          <w:rFonts w:ascii="Times New Roman" w:hAnsi="Times New Roman" w:cs="Times New Roman"/>
          <w:b/>
          <w:noProof/>
          <w:sz w:val="28"/>
          <w:szCs w:val="28"/>
        </w:rPr>
        <w:t xml:space="preserve"> NOS GOVERNOS FHC E LULA</w:t>
      </w:r>
    </w:p>
    <w:p w14:paraId="6B0427E5" w14:textId="77777777" w:rsidR="006537BF" w:rsidRPr="006119A1" w:rsidRDefault="00FE32C3" w:rsidP="00B776DD">
      <w:pPr>
        <w:widowControl w:val="0"/>
        <w:autoSpaceDE w:val="0"/>
        <w:autoSpaceDN w:val="0"/>
        <w:adjustRightInd w:val="0"/>
        <w:spacing w:line="360" w:lineRule="auto"/>
        <w:jc w:val="center"/>
        <w:rPr>
          <w:rFonts w:ascii="Times" w:hAnsi="Times" w:cs="Calibri"/>
        </w:rPr>
      </w:pPr>
      <w:r w:rsidRPr="006119A1">
        <w:rPr>
          <w:rFonts w:ascii="Times" w:hAnsi="Times" w:cs="Times"/>
          <w:b/>
          <w:bCs/>
        </w:rPr>
        <w:t>RESUMO</w:t>
      </w:r>
    </w:p>
    <w:p w14:paraId="55DAF3CC" w14:textId="29C80836" w:rsidR="00F62D39" w:rsidRDefault="00FE32C3" w:rsidP="006535CF">
      <w:pPr>
        <w:widowControl w:val="0"/>
        <w:autoSpaceDE w:val="0"/>
        <w:autoSpaceDN w:val="0"/>
        <w:adjustRightInd w:val="0"/>
        <w:jc w:val="both"/>
        <w:rPr>
          <w:rFonts w:ascii="Times" w:hAnsi="Times" w:cs="Times New Roman"/>
          <w:noProof/>
        </w:rPr>
      </w:pPr>
      <w:r w:rsidRPr="00492E9C">
        <w:rPr>
          <w:rFonts w:ascii="Times" w:hAnsi="Times" w:cs="Times"/>
          <w:b/>
          <w:bCs/>
        </w:rPr>
        <w:t> </w:t>
      </w:r>
      <w:r w:rsidR="00D63C15" w:rsidRPr="00492E9C">
        <w:rPr>
          <w:rFonts w:ascii="Times New Roman" w:hAnsi="Times New Roman" w:cs="Times New Roman"/>
        </w:rPr>
        <w:t xml:space="preserve">O objetivo deste estudo </w:t>
      </w:r>
      <w:r w:rsidR="00D63C15" w:rsidRPr="007F0EFC">
        <w:rPr>
          <w:rFonts w:ascii="Times New Roman" w:hAnsi="Times New Roman" w:cs="Times New Roman"/>
        </w:rPr>
        <w:t xml:space="preserve">é </w:t>
      </w:r>
      <w:r w:rsidR="001F7E48" w:rsidRPr="007F0EFC">
        <w:rPr>
          <w:rFonts w:ascii="Times New Roman" w:hAnsi="Times New Roman" w:cs="Times New Roman"/>
        </w:rPr>
        <w:t>analisar a dimensão regional da desigualdade</w:t>
      </w:r>
      <w:r w:rsidR="00D63C15" w:rsidRPr="007F0EFC">
        <w:rPr>
          <w:rFonts w:ascii="Times New Roman" w:hAnsi="Times New Roman" w:cs="Times New Roman"/>
        </w:rPr>
        <w:t xml:space="preserve"> da renda nos períodos de FHC e Lula, a partir dos dados das PNAD’s(Pesquisa Nacional por Amostra de Domicílios)</w:t>
      </w:r>
      <w:r w:rsidR="001F7E48" w:rsidRPr="007F0EFC">
        <w:rPr>
          <w:rFonts w:ascii="Times New Roman" w:hAnsi="Times New Roman" w:cs="Times New Roman"/>
        </w:rPr>
        <w:t xml:space="preserve"> para a região sul do Brasil</w:t>
      </w:r>
      <w:r w:rsidR="00D63C15" w:rsidRPr="007F0EFC">
        <w:rPr>
          <w:rFonts w:ascii="Times New Roman" w:hAnsi="Times New Roman" w:cs="Times New Roman"/>
        </w:rPr>
        <w:t xml:space="preserve">. </w:t>
      </w:r>
      <w:r w:rsidR="001F7E48" w:rsidRPr="007F0EFC">
        <w:rPr>
          <w:rFonts w:ascii="Times New Roman" w:hAnsi="Times New Roman" w:cs="Times New Roman"/>
        </w:rPr>
        <w:t xml:space="preserve">A </w:t>
      </w:r>
      <w:r w:rsidR="001645EC">
        <w:rPr>
          <w:rFonts w:ascii="Times New Roman" w:hAnsi="Times New Roman" w:cs="Times New Roman"/>
        </w:rPr>
        <w:t>d</w:t>
      </w:r>
      <w:r w:rsidR="00D63C15" w:rsidRPr="007F0EFC">
        <w:rPr>
          <w:rFonts w:ascii="Times New Roman" w:hAnsi="Times New Roman" w:cs="Times New Roman"/>
        </w:rPr>
        <w:t xml:space="preserve">ecomposição do índice de Gini do rendimento domiciliar </w:t>
      </w:r>
      <w:r w:rsidR="00D63C15" w:rsidRPr="007F0EFC">
        <w:rPr>
          <w:rFonts w:ascii="Times New Roman" w:hAnsi="Times New Roman" w:cs="Times New Roman"/>
          <w:i/>
        </w:rPr>
        <w:t>per capita</w:t>
      </w:r>
      <w:r w:rsidR="001F7E48" w:rsidRPr="007F0EFC">
        <w:rPr>
          <w:rFonts w:ascii="Times New Roman" w:hAnsi="Times New Roman" w:cs="Times New Roman"/>
        </w:rPr>
        <w:t xml:space="preserve"> constatou que</w:t>
      </w:r>
      <w:r w:rsidR="00D24213" w:rsidRPr="007F0EFC">
        <w:rPr>
          <w:rFonts w:ascii="Times New Roman" w:hAnsi="Times New Roman" w:cs="Times New Roman"/>
        </w:rPr>
        <w:t xml:space="preserve"> </w:t>
      </w:r>
      <w:r w:rsidR="00152116">
        <w:rPr>
          <w:rFonts w:ascii="Times" w:hAnsi="Times" w:cs="Times New Roman"/>
          <w:noProof/>
        </w:rPr>
        <w:t xml:space="preserve">houve uma mudança no padrão da evolução da composição das fontes de renda nos domicílios, </w:t>
      </w:r>
      <w:r w:rsidR="001645EC">
        <w:rPr>
          <w:rFonts w:ascii="Times" w:hAnsi="Times" w:cs="Times New Roman"/>
          <w:noProof/>
        </w:rPr>
        <w:t>favorável</w:t>
      </w:r>
      <w:r w:rsidR="00152116">
        <w:rPr>
          <w:rFonts w:ascii="Times" w:hAnsi="Times" w:cs="Times New Roman"/>
          <w:noProof/>
        </w:rPr>
        <w:t xml:space="preserve"> à renda do trabalho nos governos Lula,</w:t>
      </w:r>
      <w:r w:rsidR="00F62D39">
        <w:rPr>
          <w:rFonts w:ascii="Times" w:hAnsi="Times" w:cs="Times New Roman"/>
          <w:noProof/>
        </w:rPr>
        <w:t xml:space="preserve"> mais intensa na região sul,</w:t>
      </w:r>
      <w:r w:rsidR="00152116">
        <w:rPr>
          <w:rFonts w:ascii="Times" w:hAnsi="Times" w:cs="Times New Roman"/>
          <w:noProof/>
        </w:rPr>
        <w:t xml:space="preserve"> invertendo a trajetória de deterioração do mercado de trabalho nos períodos FHC.</w:t>
      </w:r>
      <w:r w:rsidR="00152116">
        <w:rPr>
          <w:rFonts w:ascii="Times" w:hAnsi="Times" w:cs="Times New Roman"/>
          <w:noProof/>
        </w:rPr>
        <w:t xml:space="preserve"> </w:t>
      </w:r>
      <w:r w:rsidR="001645EC">
        <w:rPr>
          <w:rFonts w:ascii="Times" w:hAnsi="Times" w:cs="Times New Roman"/>
          <w:noProof/>
        </w:rPr>
        <w:t>A</w:t>
      </w:r>
      <w:r w:rsidR="00152116">
        <w:rPr>
          <w:rFonts w:ascii="Times" w:hAnsi="Times" w:cs="Times New Roman"/>
          <w:noProof/>
        </w:rPr>
        <w:t xml:space="preserve">s </w:t>
      </w:r>
      <w:r w:rsidR="00152116">
        <w:rPr>
          <w:rFonts w:ascii="Times" w:hAnsi="Times" w:cs="Times New Roman"/>
          <w:noProof/>
        </w:rPr>
        <w:t xml:space="preserve">rendas das aposentadorias e pensões e de outras rendas </w:t>
      </w:r>
      <w:r w:rsidR="00F94060">
        <w:rPr>
          <w:rFonts w:ascii="Times" w:hAnsi="Times" w:cs="Times New Roman"/>
          <w:noProof/>
        </w:rPr>
        <w:t xml:space="preserve">ocuparam </w:t>
      </w:r>
      <w:r w:rsidR="00F62D39">
        <w:rPr>
          <w:rFonts w:ascii="Times" w:hAnsi="Times" w:cs="Times New Roman"/>
          <w:noProof/>
        </w:rPr>
        <w:t xml:space="preserve">maior </w:t>
      </w:r>
      <w:r w:rsidR="00152116">
        <w:rPr>
          <w:rFonts w:ascii="Times" w:hAnsi="Times" w:cs="Times New Roman"/>
          <w:noProof/>
        </w:rPr>
        <w:t>espaço n</w:t>
      </w:r>
      <w:r w:rsidR="00F62D39">
        <w:rPr>
          <w:rFonts w:ascii="Times" w:hAnsi="Times" w:cs="Times New Roman"/>
          <w:noProof/>
        </w:rPr>
        <w:t>a</w:t>
      </w:r>
      <w:r w:rsidR="00152116">
        <w:rPr>
          <w:rFonts w:ascii="Times" w:hAnsi="Times" w:cs="Times New Roman"/>
          <w:noProof/>
        </w:rPr>
        <w:t xml:space="preserve"> renda</w:t>
      </w:r>
      <w:r w:rsidR="001645EC">
        <w:rPr>
          <w:rFonts w:ascii="Times" w:hAnsi="Times" w:cs="Times New Roman"/>
          <w:noProof/>
        </w:rPr>
        <w:t xml:space="preserve"> domiciliar</w:t>
      </w:r>
      <w:r w:rsidR="00F62D39">
        <w:rPr>
          <w:rFonts w:ascii="Times" w:hAnsi="Times" w:cs="Times New Roman"/>
          <w:noProof/>
        </w:rPr>
        <w:t>, sendo que a primeira</w:t>
      </w:r>
      <w:r w:rsidR="00152116">
        <w:rPr>
          <w:rFonts w:ascii="Times" w:hAnsi="Times" w:cs="Times New Roman"/>
          <w:noProof/>
        </w:rPr>
        <w:t xml:space="preserve"> cresce</w:t>
      </w:r>
      <w:r w:rsidR="00F62D39">
        <w:rPr>
          <w:rFonts w:ascii="Times" w:hAnsi="Times" w:cs="Times New Roman"/>
          <w:noProof/>
        </w:rPr>
        <w:t>u</w:t>
      </w:r>
      <w:r w:rsidR="00152116">
        <w:rPr>
          <w:rFonts w:ascii="Times" w:hAnsi="Times" w:cs="Times New Roman"/>
          <w:noProof/>
        </w:rPr>
        <w:t xml:space="preserve"> mais fortemente na região sul</w:t>
      </w:r>
      <w:r w:rsidR="00F62D39">
        <w:rPr>
          <w:rFonts w:ascii="Times" w:hAnsi="Times" w:cs="Times New Roman"/>
          <w:noProof/>
        </w:rPr>
        <w:t xml:space="preserve"> e a segunda</w:t>
      </w:r>
      <w:r w:rsidR="00152116">
        <w:rPr>
          <w:rFonts w:ascii="Times" w:hAnsi="Times" w:cs="Times New Roman"/>
          <w:noProof/>
        </w:rPr>
        <w:t xml:space="preserve"> evolui</w:t>
      </w:r>
      <w:r w:rsidR="00F62D39">
        <w:rPr>
          <w:rFonts w:ascii="Times" w:hAnsi="Times" w:cs="Times New Roman"/>
          <w:noProof/>
        </w:rPr>
        <w:t xml:space="preserve">u </w:t>
      </w:r>
      <w:r w:rsidR="00152116">
        <w:rPr>
          <w:rFonts w:ascii="Times" w:hAnsi="Times" w:cs="Times New Roman"/>
          <w:noProof/>
        </w:rPr>
        <w:t>menos na região</w:t>
      </w:r>
      <w:r w:rsidR="00F62D39">
        <w:rPr>
          <w:rFonts w:ascii="Times" w:hAnsi="Times" w:cs="Times New Roman"/>
          <w:noProof/>
        </w:rPr>
        <w:t>.</w:t>
      </w:r>
      <w:r w:rsidR="00152116">
        <w:rPr>
          <w:rFonts w:ascii="Times" w:hAnsi="Times" w:cs="Times New Roman"/>
          <w:noProof/>
        </w:rPr>
        <w:t xml:space="preserve"> </w:t>
      </w:r>
      <w:r w:rsidR="00F94060">
        <w:rPr>
          <w:rFonts w:ascii="Times" w:hAnsi="Times" w:cs="Times New Roman"/>
          <w:noProof/>
        </w:rPr>
        <w:t>As re</w:t>
      </w:r>
      <w:r w:rsidR="00F62D39">
        <w:rPr>
          <w:rFonts w:ascii="Times" w:hAnsi="Times" w:cs="Times New Roman"/>
          <w:bCs/>
          <w:noProof/>
        </w:rPr>
        <w:t>ndas das aposentadorias e pensões contribu</w:t>
      </w:r>
      <w:r w:rsidR="00F94060">
        <w:rPr>
          <w:rFonts w:ascii="Times" w:hAnsi="Times" w:cs="Times New Roman"/>
          <w:bCs/>
          <w:noProof/>
        </w:rPr>
        <w:t>em</w:t>
      </w:r>
      <w:r w:rsidR="00F62D39">
        <w:rPr>
          <w:rFonts w:ascii="Times" w:hAnsi="Times" w:cs="Times New Roman"/>
          <w:bCs/>
          <w:noProof/>
        </w:rPr>
        <w:t xml:space="preserve"> para a concentração de renda no Brasil </w:t>
      </w:r>
      <w:r w:rsidR="00F94060">
        <w:rPr>
          <w:rFonts w:ascii="Times" w:hAnsi="Times" w:cs="Times New Roman"/>
          <w:bCs/>
          <w:noProof/>
        </w:rPr>
        <w:t xml:space="preserve">no </w:t>
      </w:r>
      <w:r w:rsidR="00F62D39">
        <w:rPr>
          <w:rFonts w:ascii="Times" w:hAnsi="Times" w:cs="Times New Roman"/>
          <w:bCs/>
          <w:noProof/>
        </w:rPr>
        <w:t xml:space="preserve">segundo governo FHC </w:t>
      </w:r>
      <w:r w:rsidR="00F94060">
        <w:rPr>
          <w:rFonts w:ascii="Times" w:hAnsi="Times" w:cs="Times New Roman"/>
          <w:bCs/>
          <w:noProof/>
        </w:rPr>
        <w:t>e n</w:t>
      </w:r>
      <w:r w:rsidR="00F62D39">
        <w:rPr>
          <w:rFonts w:ascii="Times" w:hAnsi="Times" w:cs="Times New Roman"/>
          <w:bCs/>
          <w:noProof/>
        </w:rPr>
        <w:t>os governos Lula</w:t>
      </w:r>
      <w:r w:rsidR="00F94060">
        <w:rPr>
          <w:rFonts w:ascii="Times" w:hAnsi="Times" w:cs="Times New Roman"/>
          <w:bCs/>
          <w:noProof/>
        </w:rPr>
        <w:t>,</w:t>
      </w:r>
      <w:r w:rsidR="00F62D39">
        <w:rPr>
          <w:rFonts w:ascii="Times" w:hAnsi="Times" w:cs="Times New Roman"/>
          <w:bCs/>
          <w:noProof/>
        </w:rPr>
        <w:t xml:space="preserve"> mas</w:t>
      </w:r>
      <w:r w:rsidR="00F94060">
        <w:rPr>
          <w:rFonts w:ascii="Times" w:hAnsi="Times" w:cs="Times New Roman"/>
          <w:bCs/>
          <w:noProof/>
        </w:rPr>
        <w:t xml:space="preserve"> n</w:t>
      </w:r>
      <w:r w:rsidR="00F62D39">
        <w:rPr>
          <w:rFonts w:ascii="Times" w:hAnsi="Times" w:cs="Times New Roman"/>
          <w:bCs/>
          <w:noProof/>
        </w:rPr>
        <w:t>a região sul está restrita a alguns anos</w:t>
      </w:r>
      <w:r w:rsidR="00F94060">
        <w:rPr>
          <w:rFonts w:ascii="Times" w:hAnsi="Times" w:cs="Times New Roman"/>
          <w:bCs/>
          <w:noProof/>
        </w:rPr>
        <w:t>.</w:t>
      </w:r>
      <w:r w:rsidR="00F62D39">
        <w:rPr>
          <w:rFonts w:ascii="Times" w:hAnsi="Times" w:cs="Times New Roman"/>
          <w:bCs/>
          <w:noProof/>
        </w:rPr>
        <w:t xml:space="preserve"> </w:t>
      </w:r>
      <w:r w:rsidR="001645EC">
        <w:rPr>
          <w:rFonts w:ascii="Times" w:hAnsi="Times" w:cs="Times New Roman"/>
          <w:bCs/>
          <w:noProof/>
        </w:rPr>
        <w:t>Nacional e regionalmente, os</w:t>
      </w:r>
      <w:r w:rsidR="00F62D39">
        <w:rPr>
          <w:rFonts w:ascii="Times" w:hAnsi="Times" w:cs="Times New Roman"/>
          <w:bCs/>
          <w:noProof/>
        </w:rPr>
        <w:t xml:space="preserve"> rendimentos do trabalho não colaboram para concentrar renda nos domicílios brasileiros nos dois governos analisados, acentuando a relevância do trabalho na economia e sua repercussão nas desigualdades brasileiras.</w:t>
      </w:r>
    </w:p>
    <w:p w14:paraId="0F9980EF" w14:textId="77777777" w:rsidR="006535CF" w:rsidRDefault="006535CF" w:rsidP="006535CF">
      <w:pPr>
        <w:widowControl w:val="0"/>
        <w:autoSpaceDE w:val="0"/>
        <w:autoSpaceDN w:val="0"/>
        <w:adjustRightInd w:val="0"/>
        <w:jc w:val="both"/>
        <w:rPr>
          <w:rFonts w:ascii="Times" w:hAnsi="Times" w:cs="Times"/>
          <w:b/>
          <w:bCs/>
        </w:rPr>
      </w:pPr>
    </w:p>
    <w:p w14:paraId="785380C6" w14:textId="3FA194BD" w:rsidR="006537BF" w:rsidRDefault="00FE32C3" w:rsidP="006535CF">
      <w:pPr>
        <w:widowControl w:val="0"/>
        <w:autoSpaceDE w:val="0"/>
        <w:autoSpaceDN w:val="0"/>
        <w:adjustRightInd w:val="0"/>
        <w:jc w:val="both"/>
        <w:rPr>
          <w:rFonts w:ascii="Times" w:hAnsi="Times" w:cs="Times"/>
          <w:lang w:val="en-US"/>
        </w:rPr>
      </w:pPr>
      <w:r w:rsidRPr="006119A1">
        <w:rPr>
          <w:rFonts w:ascii="Times" w:hAnsi="Times" w:cs="Times"/>
          <w:b/>
          <w:bCs/>
        </w:rPr>
        <w:t xml:space="preserve">Palavras-chave: </w:t>
      </w:r>
      <w:r w:rsidRPr="006119A1">
        <w:rPr>
          <w:rFonts w:ascii="Times" w:hAnsi="Times" w:cs="Times"/>
        </w:rPr>
        <w:t xml:space="preserve">Concentração de Renda. </w:t>
      </w:r>
      <w:r w:rsidR="006535CF">
        <w:rPr>
          <w:rFonts w:ascii="Times" w:hAnsi="Times" w:cs="Times"/>
        </w:rPr>
        <w:t>FHC e Lula</w:t>
      </w:r>
      <w:r w:rsidRPr="00D7599C">
        <w:rPr>
          <w:rFonts w:ascii="Times" w:hAnsi="Times" w:cs="Times"/>
          <w:lang w:val="en-US"/>
        </w:rPr>
        <w:t>. Região Sul.</w:t>
      </w:r>
    </w:p>
    <w:p w14:paraId="015DE7EB" w14:textId="77777777" w:rsidR="006535CF" w:rsidRPr="00D7599C" w:rsidRDefault="006535CF" w:rsidP="006535CF">
      <w:pPr>
        <w:widowControl w:val="0"/>
        <w:autoSpaceDE w:val="0"/>
        <w:autoSpaceDN w:val="0"/>
        <w:adjustRightInd w:val="0"/>
        <w:jc w:val="both"/>
        <w:rPr>
          <w:rFonts w:ascii="Times" w:hAnsi="Times" w:cs="Calibri"/>
          <w:lang w:val="en-US"/>
        </w:rPr>
      </w:pPr>
    </w:p>
    <w:p w14:paraId="2F62A2B7" w14:textId="125551FF" w:rsidR="00C90F2E" w:rsidRPr="00492E9C" w:rsidRDefault="00C90F2E" w:rsidP="006535CF">
      <w:pPr>
        <w:widowControl w:val="0"/>
        <w:autoSpaceDE w:val="0"/>
        <w:autoSpaceDN w:val="0"/>
        <w:adjustRightInd w:val="0"/>
        <w:spacing w:after="240"/>
        <w:jc w:val="right"/>
        <w:rPr>
          <w:rFonts w:ascii="Times New Roman" w:hAnsi="Times New Roman" w:cs="Times New Roman"/>
          <w:b/>
          <w:noProof/>
          <w:sz w:val="28"/>
          <w:szCs w:val="28"/>
        </w:rPr>
      </w:pPr>
      <w:r w:rsidRPr="00492E9C">
        <w:rPr>
          <w:rFonts w:ascii="Times" w:hAnsi="Times" w:cs="Times New Roman"/>
          <w:b/>
          <w:noProof/>
          <w:sz w:val="28"/>
          <w:szCs w:val="28"/>
        </w:rPr>
        <w:t>REGIONAL DIMENSION OF INCOME INEQUALITY IN FHC AND LULA PERIOD</w:t>
      </w:r>
      <w:r w:rsidR="006535CF">
        <w:rPr>
          <w:rFonts w:ascii="Times" w:hAnsi="Times" w:cs="Times New Roman"/>
          <w:b/>
          <w:noProof/>
          <w:sz w:val="28"/>
          <w:szCs w:val="28"/>
        </w:rPr>
        <w:t>S</w:t>
      </w:r>
    </w:p>
    <w:p w14:paraId="6A3BD35C" w14:textId="77777777" w:rsidR="008459E9" w:rsidRDefault="008459E9" w:rsidP="00300DD1">
      <w:pPr>
        <w:spacing w:line="360" w:lineRule="auto"/>
        <w:jc w:val="center"/>
        <w:rPr>
          <w:rFonts w:ascii="Times" w:hAnsi="Times"/>
          <w:b/>
          <w:lang w:val="en-US"/>
        </w:rPr>
      </w:pPr>
      <w:r w:rsidRPr="006E660F">
        <w:rPr>
          <w:rFonts w:ascii="Times" w:hAnsi="Times"/>
          <w:b/>
          <w:lang w:val="en-US"/>
        </w:rPr>
        <w:t>ABSTRACT</w:t>
      </w:r>
    </w:p>
    <w:p w14:paraId="5C7F3C13" w14:textId="46DF6256" w:rsidR="004306AB" w:rsidRPr="00F35354" w:rsidRDefault="00F35354" w:rsidP="00F35354">
      <w:pPr>
        <w:jc w:val="both"/>
        <w:rPr>
          <w:rFonts w:ascii="Times New Roman" w:hAnsi="Times New Roman" w:cs="Times New Roman"/>
          <w:b/>
          <w:lang w:val="en-US"/>
        </w:rPr>
      </w:pPr>
      <w:r w:rsidRPr="00F35354">
        <w:rPr>
          <w:rFonts w:ascii="Times New Roman" w:hAnsi="Times New Roman" w:cs="Times New Roman"/>
          <w:lang w:val="en"/>
        </w:rPr>
        <w:t xml:space="preserve">The aim of this study is to analyze the regional dimension of inequality of income in periods of FHC and Lula, from the data of the </w:t>
      </w:r>
      <w:r>
        <w:rPr>
          <w:rFonts w:ascii="Times New Roman" w:hAnsi="Times New Roman" w:cs="Times New Roman"/>
          <w:lang w:val="en"/>
        </w:rPr>
        <w:t>PNADs</w:t>
      </w:r>
      <w:r w:rsidRPr="00F35354">
        <w:rPr>
          <w:rFonts w:ascii="Times New Roman" w:hAnsi="Times New Roman" w:cs="Times New Roman"/>
          <w:lang w:val="en"/>
        </w:rPr>
        <w:t xml:space="preserve"> (National Survey by Household Sampling) to the southern region of Brazil. The decomposition of the Gini coefficient of per capita household income </w:t>
      </w:r>
      <w:r>
        <w:rPr>
          <w:rFonts w:ascii="Times New Roman" w:hAnsi="Times New Roman" w:cs="Times New Roman"/>
          <w:lang w:val="en"/>
        </w:rPr>
        <w:t>showed</w:t>
      </w:r>
      <w:r w:rsidRPr="00F35354">
        <w:rPr>
          <w:rFonts w:ascii="Times New Roman" w:hAnsi="Times New Roman" w:cs="Times New Roman"/>
          <w:lang w:val="en"/>
        </w:rPr>
        <w:t xml:space="preserve"> that there was a change in the pattern of changes in the composition of the sources of income in households, favorable to labor income in Lula, more intense in the south, reversing the trend of deterioration labor market in the FHC periods. Income from pensions and other incomes occupied more space in household income, the first of which grew strongly in the southern region and the second least developed in the region. Income from pensions contribute</w:t>
      </w:r>
      <w:r w:rsidR="006535CF">
        <w:rPr>
          <w:rFonts w:ascii="Times New Roman" w:hAnsi="Times New Roman" w:cs="Times New Roman"/>
          <w:lang w:val="en"/>
        </w:rPr>
        <w:t>d</w:t>
      </w:r>
      <w:r w:rsidRPr="00F35354">
        <w:rPr>
          <w:rFonts w:ascii="Times New Roman" w:hAnsi="Times New Roman" w:cs="Times New Roman"/>
          <w:lang w:val="en"/>
        </w:rPr>
        <w:t xml:space="preserve"> to the concentration of income in Brazil in the second FHC and Lula governments, but in the southern region is restricted to a few years. National and regional level, labor income </w:t>
      </w:r>
      <w:r w:rsidR="006535CF">
        <w:rPr>
          <w:rFonts w:ascii="Times New Roman" w:hAnsi="Times New Roman" w:cs="Times New Roman"/>
          <w:lang w:val="en"/>
        </w:rPr>
        <w:t xml:space="preserve">did </w:t>
      </w:r>
      <w:r w:rsidRPr="00F35354">
        <w:rPr>
          <w:rFonts w:ascii="Times New Roman" w:hAnsi="Times New Roman" w:cs="Times New Roman"/>
          <w:lang w:val="en"/>
        </w:rPr>
        <w:t>not collaborate to concentrate income in Brazilian households in the two governments analyzed, stressing the importance of work in the economy and its impact on Brazilian inequality</w:t>
      </w:r>
    </w:p>
    <w:p w14:paraId="1E5B26C0" w14:textId="22CD3CCA" w:rsidR="00F03AE5" w:rsidRPr="00F35354" w:rsidRDefault="008459E9" w:rsidP="00F35354">
      <w:pPr>
        <w:jc w:val="both"/>
        <w:rPr>
          <w:rFonts w:ascii="Times New Roman" w:hAnsi="Times New Roman" w:cs="Times New Roman"/>
          <w:lang w:val="en-US"/>
        </w:rPr>
      </w:pPr>
      <w:r w:rsidRPr="00F35354">
        <w:rPr>
          <w:rFonts w:ascii="Times New Roman" w:hAnsi="Times New Roman" w:cs="Times New Roman"/>
          <w:b/>
          <w:lang w:val="en-US"/>
        </w:rPr>
        <w:t>Keyword</w:t>
      </w:r>
      <w:r w:rsidR="00F24F4E" w:rsidRPr="00F35354">
        <w:rPr>
          <w:rFonts w:ascii="Times New Roman" w:hAnsi="Times New Roman" w:cs="Times New Roman"/>
          <w:b/>
          <w:lang w:val="en-US"/>
        </w:rPr>
        <w:t>s</w:t>
      </w:r>
      <w:r w:rsidRPr="00F35354">
        <w:rPr>
          <w:rFonts w:ascii="Times New Roman" w:hAnsi="Times New Roman" w:cs="Times New Roman"/>
          <w:b/>
          <w:lang w:val="en-US"/>
        </w:rPr>
        <w:t>:</w:t>
      </w:r>
      <w:r w:rsidRPr="00F35354">
        <w:rPr>
          <w:rFonts w:ascii="Times New Roman" w:hAnsi="Times New Roman" w:cs="Times New Roman"/>
          <w:lang w:val="en-US"/>
        </w:rPr>
        <w:t xml:space="preserve"> Concentration </w:t>
      </w:r>
      <w:r w:rsidR="00566D9B" w:rsidRPr="00F35354">
        <w:rPr>
          <w:rFonts w:ascii="Times New Roman" w:hAnsi="Times New Roman" w:cs="Times New Roman"/>
          <w:lang w:val="en-US"/>
        </w:rPr>
        <w:t xml:space="preserve">of </w:t>
      </w:r>
      <w:r w:rsidRPr="00F35354">
        <w:rPr>
          <w:rFonts w:ascii="Times New Roman" w:hAnsi="Times New Roman" w:cs="Times New Roman"/>
          <w:lang w:val="en-US"/>
        </w:rPr>
        <w:t>income</w:t>
      </w:r>
      <w:r w:rsidR="00F24F4E" w:rsidRPr="00F35354">
        <w:rPr>
          <w:rFonts w:ascii="Times New Roman" w:hAnsi="Times New Roman" w:cs="Times New Roman"/>
          <w:lang w:val="en-US"/>
        </w:rPr>
        <w:t xml:space="preserve">. </w:t>
      </w:r>
      <w:r w:rsidR="006535CF">
        <w:rPr>
          <w:rFonts w:ascii="Times New Roman" w:hAnsi="Times New Roman" w:cs="Times New Roman"/>
          <w:lang w:val="en-US"/>
        </w:rPr>
        <w:t>FHC e Lula</w:t>
      </w:r>
      <w:r w:rsidR="00F24F4E" w:rsidRPr="00F35354">
        <w:rPr>
          <w:rFonts w:ascii="Times New Roman" w:hAnsi="Times New Roman" w:cs="Times New Roman"/>
          <w:lang w:val="en-US"/>
        </w:rPr>
        <w:t>.</w:t>
      </w:r>
      <w:r w:rsidRPr="00F35354">
        <w:rPr>
          <w:rFonts w:ascii="Times New Roman" w:hAnsi="Times New Roman" w:cs="Times New Roman"/>
          <w:lang w:val="en-US"/>
        </w:rPr>
        <w:t xml:space="preserve"> Region South</w:t>
      </w:r>
      <w:r w:rsidR="00F24F4E" w:rsidRPr="00F35354">
        <w:rPr>
          <w:rFonts w:ascii="Times New Roman" w:hAnsi="Times New Roman" w:cs="Times New Roman"/>
          <w:lang w:val="en-US"/>
        </w:rPr>
        <w:t>.</w:t>
      </w:r>
    </w:p>
    <w:p w14:paraId="23223445" w14:textId="4F21BB80" w:rsidR="006535CF" w:rsidRDefault="006535CF" w:rsidP="00F35354">
      <w:pPr>
        <w:jc w:val="both"/>
        <w:rPr>
          <w:rFonts w:ascii="Times New Roman" w:hAnsi="Times New Roman" w:cs="Times New Roman"/>
          <w:lang w:val="en-US"/>
        </w:rPr>
      </w:pPr>
    </w:p>
    <w:p w14:paraId="5C230E91" w14:textId="77777777" w:rsidR="006535CF" w:rsidRPr="00F35354" w:rsidRDefault="006535CF" w:rsidP="00F35354">
      <w:pPr>
        <w:jc w:val="both"/>
        <w:rPr>
          <w:rFonts w:ascii="Times New Roman" w:hAnsi="Times New Roman" w:cs="Times New Roman"/>
          <w:lang w:val="en-US"/>
        </w:rPr>
      </w:pPr>
    </w:p>
    <w:p w14:paraId="1B45730C" w14:textId="77777777" w:rsidR="00B4668E" w:rsidRPr="006119A1" w:rsidRDefault="00E23CB5" w:rsidP="00347B57">
      <w:pPr>
        <w:spacing w:line="360" w:lineRule="auto"/>
        <w:jc w:val="both"/>
        <w:rPr>
          <w:rFonts w:ascii="Times" w:hAnsi="Times" w:cs="Times New Roman"/>
          <w:b/>
          <w:noProof/>
        </w:rPr>
      </w:pPr>
      <w:r>
        <w:rPr>
          <w:rFonts w:ascii="Times" w:hAnsi="Times" w:cs="Times New Roman"/>
          <w:b/>
          <w:noProof/>
        </w:rPr>
        <w:t>1</w:t>
      </w:r>
      <w:r w:rsidR="006B7CC3" w:rsidRPr="006119A1">
        <w:rPr>
          <w:rFonts w:ascii="Times" w:hAnsi="Times" w:cs="Times New Roman"/>
          <w:b/>
          <w:noProof/>
        </w:rPr>
        <w:t xml:space="preserve"> INTRODUÇÃO</w:t>
      </w:r>
    </w:p>
    <w:p w14:paraId="4BE424C0" w14:textId="77777777" w:rsidR="004306AB" w:rsidRDefault="004306AB" w:rsidP="00347B57">
      <w:pPr>
        <w:widowControl w:val="0"/>
        <w:autoSpaceDE w:val="0"/>
        <w:autoSpaceDN w:val="0"/>
        <w:adjustRightInd w:val="0"/>
        <w:spacing w:line="360" w:lineRule="auto"/>
        <w:ind w:firstLine="720"/>
        <w:jc w:val="both"/>
        <w:rPr>
          <w:rFonts w:ascii="Times" w:hAnsi="Times" w:cs="Times"/>
        </w:rPr>
      </w:pPr>
    </w:p>
    <w:p w14:paraId="525B55E5" w14:textId="4BAD2152" w:rsidR="005A069E" w:rsidRPr="00CC671E" w:rsidRDefault="005A069E" w:rsidP="00347B57">
      <w:pPr>
        <w:widowControl w:val="0"/>
        <w:autoSpaceDE w:val="0"/>
        <w:autoSpaceDN w:val="0"/>
        <w:adjustRightInd w:val="0"/>
        <w:spacing w:line="360" w:lineRule="auto"/>
        <w:ind w:firstLine="720"/>
        <w:jc w:val="both"/>
        <w:rPr>
          <w:rFonts w:ascii="Times" w:hAnsi="Times"/>
        </w:rPr>
      </w:pPr>
      <w:r>
        <w:rPr>
          <w:rFonts w:ascii="Times" w:hAnsi="Times" w:cs="Times"/>
        </w:rPr>
        <w:t>O</w:t>
      </w:r>
      <w:r w:rsidR="006B4422" w:rsidRPr="006119A1">
        <w:rPr>
          <w:rFonts w:ascii="Times" w:hAnsi="Times" w:cs="Times"/>
        </w:rPr>
        <w:t xml:space="preserve"> Brasil </w:t>
      </w:r>
      <w:r w:rsidR="00BE550E">
        <w:rPr>
          <w:rFonts w:ascii="Times" w:hAnsi="Times" w:cs="Times"/>
        </w:rPr>
        <w:t xml:space="preserve">documentou e </w:t>
      </w:r>
      <w:r w:rsidR="00982253" w:rsidRPr="006119A1">
        <w:rPr>
          <w:rFonts w:ascii="Times" w:hAnsi="Times" w:cs="Times"/>
        </w:rPr>
        <w:t xml:space="preserve">revelou </w:t>
      </w:r>
      <w:r w:rsidR="00BE550E">
        <w:rPr>
          <w:rFonts w:ascii="Times" w:hAnsi="Times" w:cs="Times"/>
        </w:rPr>
        <w:t xml:space="preserve">elevados níveis de </w:t>
      </w:r>
      <w:r w:rsidR="006B4422" w:rsidRPr="006119A1">
        <w:rPr>
          <w:rFonts w:ascii="Times" w:hAnsi="Times" w:cs="Times"/>
        </w:rPr>
        <w:t xml:space="preserve">desigualdade na distribuição de renda e </w:t>
      </w:r>
      <w:r w:rsidR="00BE550E">
        <w:rPr>
          <w:rFonts w:ascii="Times" w:hAnsi="Times" w:cs="Times"/>
        </w:rPr>
        <w:t>de</w:t>
      </w:r>
      <w:r w:rsidR="006B4422" w:rsidRPr="006119A1">
        <w:rPr>
          <w:rFonts w:ascii="Times" w:hAnsi="Times" w:cs="Times"/>
        </w:rPr>
        <w:t xml:space="preserve"> pobreza</w:t>
      </w:r>
      <w:r>
        <w:rPr>
          <w:rFonts w:ascii="Times" w:hAnsi="Times" w:cs="Times"/>
        </w:rPr>
        <w:t xml:space="preserve"> n</w:t>
      </w:r>
      <w:r w:rsidRPr="006119A1">
        <w:rPr>
          <w:rFonts w:ascii="Times" w:hAnsi="Times" w:cs="Times"/>
        </w:rPr>
        <w:t>as décadas de 1960 a 1990</w:t>
      </w:r>
      <w:r w:rsidR="0019356C">
        <w:rPr>
          <w:rFonts w:ascii="Times" w:hAnsi="Times" w:cs="Times"/>
        </w:rPr>
        <w:t xml:space="preserve">. Desde meados de 1990 </w:t>
      </w:r>
      <w:r w:rsidR="008158B2">
        <w:rPr>
          <w:rFonts w:ascii="Times" w:hAnsi="Times" w:cs="Times"/>
        </w:rPr>
        <w:t>e, especialmente, a</w:t>
      </w:r>
      <w:r>
        <w:rPr>
          <w:rFonts w:ascii="Times" w:hAnsi="Times" w:cs="Times"/>
        </w:rPr>
        <w:t xml:space="preserve"> partir </w:t>
      </w:r>
      <w:r w:rsidR="006B4422" w:rsidRPr="00A07316">
        <w:rPr>
          <w:rFonts w:ascii="Times" w:hAnsi="Times"/>
        </w:rPr>
        <w:t>de 2001</w:t>
      </w:r>
      <w:r w:rsidR="00B56C8B" w:rsidRPr="00A07316">
        <w:rPr>
          <w:rFonts w:ascii="Times" w:hAnsi="Times"/>
        </w:rPr>
        <w:t>,</w:t>
      </w:r>
      <w:r w:rsidR="006B4422" w:rsidRPr="00A07316">
        <w:rPr>
          <w:rFonts w:ascii="Times" w:hAnsi="Times"/>
        </w:rPr>
        <w:t xml:space="preserve"> </w:t>
      </w:r>
      <w:r w:rsidR="0019356C">
        <w:rPr>
          <w:rFonts w:ascii="Times" w:hAnsi="Times"/>
        </w:rPr>
        <w:t xml:space="preserve">a despeito das posições desfavoráveis do país no ranking mundial, </w:t>
      </w:r>
      <w:r w:rsidR="006B4422" w:rsidRPr="00A07316">
        <w:rPr>
          <w:rFonts w:ascii="Times" w:hAnsi="Times"/>
        </w:rPr>
        <w:t xml:space="preserve">a </w:t>
      </w:r>
      <w:r w:rsidR="00BE550E">
        <w:rPr>
          <w:rFonts w:ascii="Times" w:hAnsi="Times"/>
        </w:rPr>
        <w:t xml:space="preserve">reversão dessa </w:t>
      </w:r>
      <w:r w:rsidR="006B4422" w:rsidRPr="00A07316">
        <w:rPr>
          <w:rFonts w:ascii="Times" w:hAnsi="Times"/>
        </w:rPr>
        <w:t xml:space="preserve">desigualdade </w:t>
      </w:r>
      <w:r w:rsidR="0019356C">
        <w:rPr>
          <w:rFonts w:ascii="Times" w:hAnsi="Times"/>
        </w:rPr>
        <w:t>motivou estudos relacionados ao tema no âmbito nacional.</w:t>
      </w:r>
    </w:p>
    <w:p w14:paraId="7FBE4CEB" w14:textId="218A51B1" w:rsidR="006B4422" w:rsidRDefault="00F03AE5" w:rsidP="00347B57">
      <w:pPr>
        <w:widowControl w:val="0"/>
        <w:autoSpaceDE w:val="0"/>
        <w:autoSpaceDN w:val="0"/>
        <w:adjustRightInd w:val="0"/>
        <w:spacing w:line="360" w:lineRule="auto"/>
        <w:jc w:val="both"/>
        <w:rPr>
          <w:rFonts w:ascii="Times" w:hAnsi="Times"/>
        </w:rPr>
      </w:pPr>
      <w:r w:rsidRPr="006119A1">
        <w:rPr>
          <w:rFonts w:ascii="Times" w:hAnsi="Times"/>
        </w:rPr>
        <w:tab/>
      </w:r>
      <w:r w:rsidR="0019356C">
        <w:rPr>
          <w:rFonts w:ascii="Times" w:hAnsi="Times"/>
        </w:rPr>
        <w:t xml:space="preserve">A magnitude continental do Brasil e as diferenças regionais também se destacam nas </w:t>
      </w:r>
      <w:r w:rsidR="0019356C">
        <w:rPr>
          <w:rFonts w:ascii="Times" w:hAnsi="Times"/>
        </w:rPr>
        <w:lastRenderedPageBreak/>
        <w:t>agendas das pesquisas econômicas e sociais.</w:t>
      </w:r>
      <w:r w:rsidR="006B4422" w:rsidRPr="006119A1">
        <w:rPr>
          <w:rFonts w:ascii="Times" w:hAnsi="Times"/>
        </w:rPr>
        <w:t xml:space="preserve"> </w:t>
      </w:r>
      <w:r w:rsidR="0019356C">
        <w:rPr>
          <w:rFonts w:ascii="Times" w:hAnsi="Times"/>
        </w:rPr>
        <w:t xml:space="preserve">A </w:t>
      </w:r>
      <w:r w:rsidR="009927C1">
        <w:rPr>
          <w:rFonts w:ascii="Times" w:hAnsi="Times"/>
        </w:rPr>
        <w:t>população residente na região sul</w:t>
      </w:r>
      <w:r w:rsidR="009927C1" w:rsidRPr="006119A1">
        <w:rPr>
          <w:rFonts w:ascii="Times" w:hAnsi="Times" w:cs="Times New Roman"/>
        </w:rPr>
        <w:t xml:space="preserve"> </w:t>
      </w:r>
      <w:r w:rsidR="009927C1">
        <w:rPr>
          <w:rFonts w:ascii="Times" w:hAnsi="Times" w:cs="Times New Roman"/>
        </w:rPr>
        <w:t xml:space="preserve">tem </w:t>
      </w:r>
      <w:r w:rsidR="009927C1" w:rsidRPr="006119A1">
        <w:rPr>
          <w:rFonts w:ascii="Times" w:hAnsi="Times" w:cs="Times New Roman"/>
        </w:rPr>
        <w:t xml:space="preserve">melhores condições </w:t>
      </w:r>
      <w:r w:rsidR="009927C1">
        <w:rPr>
          <w:rFonts w:ascii="Times" w:hAnsi="Times" w:cs="Times New Roman"/>
        </w:rPr>
        <w:t xml:space="preserve">de vida </w:t>
      </w:r>
      <w:r w:rsidR="009927C1" w:rsidRPr="006119A1">
        <w:rPr>
          <w:rFonts w:ascii="Times" w:hAnsi="Times" w:cs="Times New Roman"/>
        </w:rPr>
        <w:t xml:space="preserve">que </w:t>
      </w:r>
      <w:r w:rsidR="009927C1">
        <w:rPr>
          <w:rFonts w:ascii="Times" w:hAnsi="Times" w:cs="Times New Roman"/>
        </w:rPr>
        <w:t>a média da população brasileira, cujos indicadores do P</w:t>
      </w:r>
      <w:r w:rsidR="009927C1" w:rsidRPr="006119A1">
        <w:rPr>
          <w:rFonts w:ascii="Times" w:hAnsi="Times" w:cs="Times New Roman"/>
        </w:rPr>
        <w:t xml:space="preserve">IB </w:t>
      </w:r>
      <w:r w:rsidR="009927C1" w:rsidRPr="006119A1">
        <w:rPr>
          <w:rFonts w:ascii="Times" w:hAnsi="Times" w:cs="Times New Roman"/>
          <w:i/>
        </w:rPr>
        <w:t>per capita</w:t>
      </w:r>
      <w:r w:rsidR="009927C1" w:rsidRPr="006119A1">
        <w:rPr>
          <w:rFonts w:ascii="Times" w:hAnsi="Times" w:cs="Times New Roman"/>
        </w:rPr>
        <w:t>, escolaridade</w:t>
      </w:r>
      <w:r w:rsidR="009927C1">
        <w:rPr>
          <w:rFonts w:ascii="Times" w:hAnsi="Times" w:cs="Times New Roman"/>
        </w:rPr>
        <w:t xml:space="preserve"> e</w:t>
      </w:r>
      <w:r w:rsidR="009927C1" w:rsidRPr="006119A1">
        <w:rPr>
          <w:rFonts w:ascii="Times" w:hAnsi="Times" w:cs="Times New Roman"/>
        </w:rPr>
        <w:t xml:space="preserve"> saneamento da região </w:t>
      </w:r>
      <w:r w:rsidR="009927C1">
        <w:rPr>
          <w:rFonts w:ascii="Times" w:hAnsi="Times" w:cs="Times New Roman"/>
        </w:rPr>
        <w:t xml:space="preserve">são </w:t>
      </w:r>
      <w:r w:rsidR="009927C1" w:rsidRPr="006119A1">
        <w:rPr>
          <w:rFonts w:ascii="Times" w:hAnsi="Times" w:cs="Times New Roman"/>
        </w:rPr>
        <w:t xml:space="preserve">mais elevados que os mesmos índices do país, enquanto a taxa de desemprego, a extrema pobreza e a </w:t>
      </w:r>
      <w:r w:rsidR="009927C1" w:rsidRPr="00A07316">
        <w:rPr>
          <w:rFonts w:ascii="Times" w:hAnsi="Times" w:cs="Times New Roman"/>
        </w:rPr>
        <w:t>mortalidade infantil são mais baixos</w:t>
      </w:r>
      <w:r w:rsidR="004306AB">
        <w:rPr>
          <w:rFonts w:ascii="Times" w:hAnsi="Times" w:cs="Times New Roman"/>
        </w:rPr>
        <w:t xml:space="preserve"> (IPEA, 2013; IPEADATA, 2014)</w:t>
      </w:r>
      <w:r w:rsidR="009927C1">
        <w:rPr>
          <w:rFonts w:ascii="Times" w:hAnsi="Times" w:cs="Times New Roman"/>
        </w:rPr>
        <w:t>. Apesar disso</w:t>
      </w:r>
      <w:r w:rsidR="002E403F">
        <w:rPr>
          <w:rFonts w:ascii="Times" w:hAnsi="Times" w:cs="Times New Roman"/>
        </w:rPr>
        <w:t>,</w:t>
      </w:r>
      <w:r w:rsidR="009927C1">
        <w:rPr>
          <w:rFonts w:ascii="Times" w:hAnsi="Times" w:cs="Times New Roman"/>
        </w:rPr>
        <w:t xml:space="preserve"> persistem desigualdades de renda que suscitam uma investigação </w:t>
      </w:r>
      <w:r w:rsidR="002E403F">
        <w:rPr>
          <w:rFonts w:ascii="Times" w:hAnsi="Times" w:cs="Times New Roman"/>
        </w:rPr>
        <w:t>no âmbito regional.</w:t>
      </w:r>
    </w:p>
    <w:p w14:paraId="13458F30" w14:textId="5C7FFB89" w:rsidR="008158B2" w:rsidRPr="00A07316" w:rsidRDefault="008158B2" w:rsidP="008158B2">
      <w:pPr>
        <w:widowControl w:val="0"/>
        <w:autoSpaceDE w:val="0"/>
        <w:autoSpaceDN w:val="0"/>
        <w:adjustRightInd w:val="0"/>
        <w:spacing w:line="360" w:lineRule="auto"/>
        <w:ind w:firstLine="720"/>
        <w:jc w:val="both"/>
        <w:rPr>
          <w:rFonts w:ascii="Times" w:hAnsi="Times"/>
        </w:rPr>
      </w:pPr>
      <w:r w:rsidRPr="006119A1">
        <w:rPr>
          <w:rFonts w:ascii="Times" w:hAnsi="Times" w:cs="Times New Roman"/>
          <w:noProof/>
        </w:rPr>
        <w:t>Na literatura sobre o assunto prevalecem controvérsias sobre as causas reais da recomposição favorável na distribuição da renda brasileira</w:t>
      </w:r>
      <w:r w:rsidR="002E403F">
        <w:rPr>
          <w:rFonts w:ascii="Times" w:hAnsi="Times" w:cs="Times New Roman"/>
          <w:noProof/>
        </w:rPr>
        <w:t xml:space="preserve"> e regional</w:t>
      </w:r>
      <w:r>
        <w:rPr>
          <w:rFonts w:ascii="Times" w:hAnsi="Times" w:cs="Times New Roman"/>
          <w:noProof/>
        </w:rPr>
        <w:t>, que</w:t>
      </w:r>
      <w:r w:rsidR="00836542">
        <w:rPr>
          <w:rFonts w:ascii="Times" w:hAnsi="Times" w:cs="Times New Roman"/>
          <w:noProof/>
        </w:rPr>
        <w:t xml:space="preserve"> envolvem</w:t>
      </w:r>
      <w:r w:rsidRPr="006119A1">
        <w:rPr>
          <w:rFonts w:ascii="Times" w:hAnsi="Times"/>
        </w:rPr>
        <w:t xml:space="preserve"> a estabilização macroeconômica</w:t>
      </w:r>
      <w:r w:rsidR="00836542">
        <w:rPr>
          <w:rFonts w:ascii="Times" w:hAnsi="Times"/>
        </w:rPr>
        <w:t xml:space="preserve"> e o controle</w:t>
      </w:r>
      <w:r w:rsidRPr="006119A1">
        <w:rPr>
          <w:rFonts w:ascii="Times" w:hAnsi="Times"/>
        </w:rPr>
        <w:t xml:space="preserve"> da inflação, </w:t>
      </w:r>
      <w:r w:rsidR="00836542" w:rsidRPr="006119A1">
        <w:rPr>
          <w:rFonts w:ascii="Times" w:hAnsi="Times"/>
        </w:rPr>
        <w:t xml:space="preserve">o crescimento do PIB </w:t>
      </w:r>
      <w:r w:rsidRPr="006119A1">
        <w:rPr>
          <w:rFonts w:ascii="Times" w:hAnsi="Times"/>
        </w:rPr>
        <w:t>os programas de transferência de renda e as melhorias no mercado de trabalho.</w:t>
      </w:r>
      <w:r>
        <w:rPr>
          <w:rFonts w:ascii="Times" w:hAnsi="Times"/>
        </w:rPr>
        <w:t xml:space="preserve"> O endereçamento dos méritos também </w:t>
      </w:r>
      <w:r w:rsidR="0037474B">
        <w:rPr>
          <w:rFonts w:ascii="Times" w:hAnsi="Times"/>
        </w:rPr>
        <w:t>é</w:t>
      </w:r>
      <w:r>
        <w:rPr>
          <w:rFonts w:ascii="Times" w:hAnsi="Times"/>
        </w:rPr>
        <w:t xml:space="preserve"> disputado pelas ações efetuadas nos governos Fernando Henrique Cardoso e de Luiz Inácio Lula da Silva.</w:t>
      </w:r>
    </w:p>
    <w:p w14:paraId="4299C689" w14:textId="2DD7284D" w:rsidR="006B0862" w:rsidRDefault="006B4422" w:rsidP="006B0862">
      <w:pPr>
        <w:widowControl w:val="0"/>
        <w:autoSpaceDE w:val="0"/>
        <w:autoSpaceDN w:val="0"/>
        <w:adjustRightInd w:val="0"/>
        <w:spacing w:line="360" w:lineRule="auto"/>
        <w:jc w:val="both"/>
        <w:rPr>
          <w:rFonts w:ascii="Times New Roman" w:hAnsi="Times New Roman" w:cs="Times New Roman"/>
        </w:rPr>
      </w:pPr>
      <w:r w:rsidRPr="00A07316">
        <w:rPr>
          <w:rFonts w:ascii="Times New Roman" w:hAnsi="Times New Roman" w:cs="Times New Roman"/>
        </w:rPr>
        <w:tab/>
      </w:r>
      <w:r w:rsidR="00EF7051" w:rsidRPr="00A07316">
        <w:rPr>
          <w:rFonts w:ascii="Times New Roman" w:hAnsi="Times New Roman" w:cs="Times New Roman"/>
        </w:rPr>
        <w:t xml:space="preserve">O objetivo deste estudo é dimensionar a participação e a concentração da renda domiciliar na Região Sul do Brasil, com ênfase nos períodos de FHC e Lula, a partir dos </w:t>
      </w:r>
      <w:r w:rsidR="00CE79B0">
        <w:rPr>
          <w:rFonts w:ascii="Times New Roman" w:hAnsi="Times New Roman" w:cs="Times New Roman"/>
        </w:rPr>
        <w:t>micro</w:t>
      </w:r>
      <w:r w:rsidR="00EF7051" w:rsidRPr="00A07316">
        <w:rPr>
          <w:rFonts w:ascii="Times New Roman" w:hAnsi="Times New Roman" w:cs="Times New Roman"/>
        </w:rPr>
        <w:t>dados da Pesquisa Naciona</w:t>
      </w:r>
      <w:r w:rsidR="00E1293D">
        <w:rPr>
          <w:rFonts w:ascii="Times New Roman" w:hAnsi="Times New Roman" w:cs="Times New Roman"/>
        </w:rPr>
        <w:t>l</w:t>
      </w:r>
      <w:r w:rsidR="00EF7051" w:rsidRPr="00A07316">
        <w:rPr>
          <w:rFonts w:ascii="Times New Roman" w:hAnsi="Times New Roman" w:cs="Times New Roman"/>
        </w:rPr>
        <w:t xml:space="preserve"> por Amostra de Domicílios (PNAD)</w:t>
      </w:r>
      <w:r w:rsidR="006B5748" w:rsidRPr="00A07316">
        <w:rPr>
          <w:rFonts w:ascii="Times New Roman" w:hAnsi="Times New Roman" w:cs="Times New Roman"/>
        </w:rPr>
        <w:t>.</w:t>
      </w:r>
      <w:r w:rsidR="00EF7051" w:rsidRPr="00A07316">
        <w:rPr>
          <w:rFonts w:ascii="Times New Roman" w:hAnsi="Times New Roman" w:cs="Times New Roman"/>
        </w:rPr>
        <w:t xml:space="preserve"> </w:t>
      </w:r>
      <w:r w:rsidR="006B0862">
        <w:rPr>
          <w:rFonts w:ascii="Times New Roman" w:hAnsi="Times New Roman" w:cs="Times New Roman"/>
        </w:rPr>
        <w:t>Os cálculos são executados pela</w:t>
      </w:r>
      <w:r w:rsidR="00EF7051" w:rsidRPr="00A07316">
        <w:rPr>
          <w:rFonts w:ascii="Times New Roman" w:hAnsi="Times New Roman" w:cs="Times New Roman"/>
        </w:rPr>
        <w:t xml:space="preserve"> </w:t>
      </w:r>
      <w:r w:rsidR="00E1293D">
        <w:rPr>
          <w:rFonts w:ascii="Times New Roman" w:hAnsi="Times New Roman" w:cs="Times New Roman"/>
        </w:rPr>
        <w:t xml:space="preserve">técnica de </w:t>
      </w:r>
      <w:r w:rsidR="00EF7051" w:rsidRPr="00A07316">
        <w:rPr>
          <w:rFonts w:ascii="Times New Roman" w:hAnsi="Times New Roman" w:cs="Times New Roman"/>
        </w:rPr>
        <w:t xml:space="preserve">decomposição do índice de Gini do rendimento domiciliar </w:t>
      </w:r>
      <w:r w:rsidR="00EF7051" w:rsidRPr="00A07316">
        <w:rPr>
          <w:rFonts w:ascii="Times New Roman" w:hAnsi="Times New Roman" w:cs="Times New Roman"/>
          <w:i/>
        </w:rPr>
        <w:t>per capita</w:t>
      </w:r>
      <w:r w:rsidR="00BA771D">
        <w:rPr>
          <w:rFonts w:ascii="Times New Roman" w:hAnsi="Times New Roman" w:cs="Times New Roman"/>
          <w:i/>
        </w:rPr>
        <w:t>.</w:t>
      </w:r>
    </w:p>
    <w:p w14:paraId="206256A7" w14:textId="4118D210" w:rsidR="006B4422" w:rsidRPr="006119A1" w:rsidRDefault="007F6E97" w:rsidP="006B0862">
      <w:pPr>
        <w:widowControl w:val="0"/>
        <w:autoSpaceDE w:val="0"/>
        <w:autoSpaceDN w:val="0"/>
        <w:adjustRightInd w:val="0"/>
        <w:spacing w:line="360" w:lineRule="auto"/>
        <w:ind w:firstLine="720"/>
        <w:jc w:val="both"/>
        <w:rPr>
          <w:rFonts w:ascii="Times" w:hAnsi="Times"/>
        </w:rPr>
      </w:pPr>
      <w:r w:rsidRPr="006119A1">
        <w:rPr>
          <w:rFonts w:ascii="Times" w:hAnsi="Times"/>
        </w:rPr>
        <w:t>Es</w:t>
      </w:r>
      <w:r w:rsidR="009C34DF" w:rsidRPr="006119A1">
        <w:rPr>
          <w:rFonts w:ascii="Times" w:hAnsi="Times"/>
        </w:rPr>
        <w:t xml:space="preserve">te artigo está organizado em </w:t>
      </w:r>
      <w:r w:rsidR="00BF4894" w:rsidRPr="006119A1">
        <w:rPr>
          <w:rFonts w:ascii="Times" w:hAnsi="Times"/>
        </w:rPr>
        <w:t>quatro</w:t>
      </w:r>
      <w:r w:rsidR="00574173" w:rsidRPr="006119A1">
        <w:rPr>
          <w:rFonts w:ascii="Times" w:hAnsi="Times"/>
        </w:rPr>
        <w:t xml:space="preserve"> </w:t>
      </w:r>
      <w:r w:rsidRPr="006119A1">
        <w:rPr>
          <w:rFonts w:ascii="Times" w:hAnsi="Times"/>
        </w:rPr>
        <w:t>seções</w:t>
      </w:r>
      <w:r w:rsidR="00BF4894" w:rsidRPr="006119A1">
        <w:rPr>
          <w:rFonts w:ascii="Times" w:hAnsi="Times"/>
        </w:rPr>
        <w:t>,</w:t>
      </w:r>
      <w:r w:rsidR="00574173" w:rsidRPr="006119A1">
        <w:rPr>
          <w:rFonts w:ascii="Times" w:hAnsi="Times"/>
        </w:rPr>
        <w:t xml:space="preserve"> alé</w:t>
      </w:r>
      <w:r w:rsidRPr="006119A1">
        <w:rPr>
          <w:rFonts w:ascii="Times" w:hAnsi="Times"/>
        </w:rPr>
        <w:t xml:space="preserve">m desta </w:t>
      </w:r>
      <w:r w:rsidR="00BF4894" w:rsidRPr="006119A1">
        <w:rPr>
          <w:rFonts w:ascii="Times" w:hAnsi="Times"/>
        </w:rPr>
        <w:t>Introdução</w:t>
      </w:r>
      <w:r w:rsidRPr="006119A1">
        <w:rPr>
          <w:rFonts w:ascii="Times" w:hAnsi="Times"/>
        </w:rPr>
        <w:t xml:space="preserve">. Na </w:t>
      </w:r>
      <w:r w:rsidR="009C34DF" w:rsidRPr="006119A1">
        <w:rPr>
          <w:rFonts w:ascii="Times" w:hAnsi="Times"/>
        </w:rPr>
        <w:t>segund</w:t>
      </w:r>
      <w:r w:rsidRPr="006119A1">
        <w:rPr>
          <w:rFonts w:ascii="Times" w:hAnsi="Times"/>
        </w:rPr>
        <w:t>a seção apresenta</w:t>
      </w:r>
      <w:r w:rsidR="00BF4894" w:rsidRPr="006119A1">
        <w:rPr>
          <w:rFonts w:ascii="Times" w:hAnsi="Times"/>
        </w:rPr>
        <w:t>-se</w:t>
      </w:r>
      <w:r w:rsidRPr="006119A1">
        <w:rPr>
          <w:rFonts w:ascii="Times" w:hAnsi="Times"/>
        </w:rPr>
        <w:t xml:space="preserve"> a d</w:t>
      </w:r>
      <w:r w:rsidR="009C34DF" w:rsidRPr="006119A1">
        <w:rPr>
          <w:rFonts w:ascii="Times" w:hAnsi="Times"/>
        </w:rPr>
        <w:t>esigualdade de renda</w:t>
      </w:r>
      <w:r w:rsidR="003F197D" w:rsidRPr="006119A1">
        <w:rPr>
          <w:rFonts w:ascii="Times" w:hAnsi="Times"/>
        </w:rPr>
        <w:t xml:space="preserve"> e pobreza no Brasil</w:t>
      </w:r>
      <w:r w:rsidR="004A5F92">
        <w:rPr>
          <w:rFonts w:ascii="Times" w:hAnsi="Times"/>
        </w:rPr>
        <w:t xml:space="preserve"> e as diferenças regionais</w:t>
      </w:r>
      <w:r w:rsidR="004306AB">
        <w:rPr>
          <w:rFonts w:ascii="Times" w:hAnsi="Times"/>
        </w:rPr>
        <w:t>, bem como o</w:t>
      </w:r>
      <w:r w:rsidR="009C34DF" w:rsidRPr="006119A1">
        <w:rPr>
          <w:rFonts w:ascii="Times" w:hAnsi="Times"/>
        </w:rPr>
        <w:t xml:space="preserve"> perfil econômico e social da Região Sul</w:t>
      </w:r>
      <w:r w:rsidR="004306AB">
        <w:rPr>
          <w:rFonts w:ascii="Times" w:hAnsi="Times"/>
        </w:rPr>
        <w:t>. A</w:t>
      </w:r>
      <w:r w:rsidR="009C34DF" w:rsidRPr="006119A1">
        <w:rPr>
          <w:rFonts w:ascii="Times" w:hAnsi="Times"/>
        </w:rPr>
        <w:t xml:space="preserve"> </w:t>
      </w:r>
      <w:r w:rsidR="004306AB">
        <w:rPr>
          <w:rFonts w:ascii="Times" w:hAnsi="Times"/>
        </w:rPr>
        <w:t>terceira</w:t>
      </w:r>
      <w:r w:rsidR="00E23CB5">
        <w:rPr>
          <w:rFonts w:ascii="Times" w:hAnsi="Times"/>
        </w:rPr>
        <w:t xml:space="preserve"> seção</w:t>
      </w:r>
      <w:r w:rsidR="004306AB">
        <w:rPr>
          <w:rFonts w:ascii="Times" w:hAnsi="Times"/>
        </w:rPr>
        <w:t xml:space="preserve"> esclarece a metodologia empregada p</w:t>
      </w:r>
      <w:r w:rsidR="009C34DF" w:rsidRPr="006119A1">
        <w:rPr>
          <w:rFonts w:ascii="Times" w:hAnsi="Times"/>
        </w:rPr>
        <w:t xml:space="preserve">ara </w:t>
      </w:r>
      <w:r w:rsidR="00BF4894" w:rsidRPr="006119A1">
        <w:rPr>
          <w:rFonts w:ascii="Times" w:hAnsi="Times"/>
        </w:rPr>
        <w:t xml:space="preserve">a </w:t>
      </w:r>
      <w:r w:rsidR="009C34DF" w:rsidRPr="006119A1">
        <w:rPr>
          <w:rFonts w:ascii="Times" w:hAnsi="Times"/>
        </w:rPr>
        <w:t>realização desta pesquisa e</w:t>
      </w:r>
      <w:r w:rsidR="00BF4894" w:rsidRPr="006119A1">
        <w:rPr>
          <w:rFonts w:ascii="Times" w:hAnsi="Times"/>
        </w:rPr>
        <w:t>,</w:t>
      </w:r>
      <w:r w:rsidR="009C34DF" w:rsidRPr="006119A1">
        <w:rPr>
          <w:rFonts w:ascii="Times" w:hAnsi="Times"/>
        </w:rPr>
        <w:t xml:space="preserve"> </w:t>
      </w:r>
      <w:r w:rsidR="00E23CB5">
        <w:rPr>
          <w:rFonts w:ascii="Times" w:hAnsi="Times"/>
        </w:rPr>
        <w:t>por fim</w:t>
      </w:r>
      <w:r w:rsidR="00BF4894" w:rsidRPr="006119A1">
        <w:rPr>
          <w:rFonts w:ascii="Times" w:hAnsi="Times"/>
        </w:rPr>
        <w:t>,</w:t>
      </w:r>
      <w:r w:rsidR="009C34DF" w:rsidRPr="006119A1">
        <w:rPr>
          <w:rFonts w:ascii="Times" w:hAnsi="Times"/>
        </w:rPr>
        <w:t xml:space="preserve"> os resultados e discussões.</w:t>
      </w:r>
      <w:r w:rsidR="008974ED" w:rsidRPr="006119A1">
        <w:rPr>
          <w:rFonts w:ascii="Times" w:hAnsi="Times"/>
        </w:rPr>
        <w:t xml:space="preserve"> </w:t>
      </w:r>
    </w:p>
    <w:p w14:paraId="77A3192F" w14:textId="77777777" w:rsidR="00343383" w:rsidRPr="006119A1" w:rsidRDefault="00343383" w:rsidP="00347B57">
      <w:pPr>
        <w:spacing w:line="360" w:lineRule="auto"/>
        <w:jc w:val="both"/>
        <w:rPr>
          <w:rFonts w:ascii="Times" w:hAnsi="Times" w:cs="Times New Roman"/>
          <w:noProof/>
        </w:rPr>
      </w:pPr>
    </w:p>
    <w:p w14:paraId="470A1C15" w14:textId="1F5AA0F7" w:rsidR="00B4668E" w:rsidRPr="006119A1" w:rsidRDefault="006B7CC3" w:rsidP="00347B57">
      <w:pPr>
        <w:spacing w:line="360" w:lineRule="auto"/>
        <w:jc w:val="both"/>
        <w:outlineLvl w:val="0"/>
        <w:rPr>
          <w:rFonts w:ascii="Times" w:hAnsi="Times" w:cs="Times New Roman"/>
          <w:b/>
          <w:noProof/>
        </w:rPr>
      </w:pPr>
      <w:r w:rsidRPr="006119A1">
        <w:rPr>
          <w:rFonts w:ascii="Times" w:hAnsi="Times" w:cs="Times New Roman"/>
          <w:b/>
          <w:noProof/>
        </w:rPr>
        <w:t xml:space="preserve">2 </w:t>
      </w:r>
      <w:r w:rsidR="00B4668E" w:rsidRPr="006119A1">
        <w:rPr>
          <w:rFonts w:ascii="Times" w:hAnsi="Times" w:cs="Times New Roman"/>
          <w:b/>
          <w:noProof/>
        </w:rPr>
        <w:t>DESIGUALDADE DE RENDA E  POBREZA NO BRASIL</w:t>
      </w:r>
      <w:r w:rsidR="00CC1702">
        <w:rPr>
          <w:rFonts w:ascii="Times" w:hAnsi="Times" w:cs="Times New Roman"/>
          <w:b/>
          <w:noProof/>
        </w:rPr>
        <w:t xml:space="preserve"> E </w:t>
      </w:r>
      <w:r w:rsidR="00BA771D">
        <w:rPr>
          <w:rFonts w:ascii="Times" w:hAnsi="Times" w:cs="Times New Roman"/>
          <w:b/>
          <w:noProof/>
        </w:rPr>
        <w:t>NA REGIÃO SUL</w:t>
      </w:r>
    </w:p>
    <w:p w14:paraId="69E41CC8" w14:textId="77777777" w:rsidR="00A34E38" w:rsidRPr="006119A1" w:rsidRDefault="00A77CC8" w:rsidP="00347B57">
      <w:pPr>
        <w:spacing w:line="360" w:lineRule="auto"/>
        <w:ind w:firstLine="720"/>
        <w:jc w:val="both"/>
        <w:rPr>
          <w:rFonts w:ascii="Times" w:hAnsi="Times" w:cs="Times New Roman"/>
          <w:noProof/>
        </w:rPr>
      </w:pPr>
      <w:r w:rsidRPr="006119A1">
        <w:rPr>
          <w:rFonts w:ascii="Times" w:hAnsi="Times" w:cs="Times New Roman"/>
          <w:noProof/>
        </w:rPr>
        <w:t>O Brasil não é um país pobre, mas um país com muitos pobres</w:t>
      </w:r>
      <w:r w:rsidR="004A5F92">
        <w:rPr>
          <w:rFonts w:ascii="Times" w:hAnsi="Times" w:cs="Times New Roman"/>
          <w:noProof/>
        </w:rPr>
        <w:t>, atestam muitos estudiosos</w:t>
      </w:r>
      <w:r w:rsidRPr="006119A1">
        <w:rPr>
          <w:rFonts w:ascii="Times" w:hAnsi="Times" w:cs="Times New Roman"/>
          <w:noProof/>
        </w:rPr>
        <w:t xml:space="preserve">. Além disso, os elevados níveis de pobreza que aflingem a sociedade encontram seu principal determinante </w:t>
      </w:r>
      <w:r w:rsidR="00A67D65">
        <w:rPr>
          <w:rFonts w:ascii="Times" w:hAnsi="Times" w:cs="Times New Roman"/>
          <w:noProof/>
        </w:rPr>
        <w:t>na</w:t>
      </w:r>
      <w:r w:rsidRPr="006119A1">
        <w:rPr>
          <w:rFonts w:ascii="Times" w:hAnsi="Times" w:cs="Times New Roman"/>
          <w:noProof/>
        </w:rPr>
        <w:t xml:space="preserve"> perversa desigualdade na distribuição da renda e </w:t>
      </w:r>
      <w:r w:rsidR="006509D2" w:rsidRPr="006119A1">
        <w:rPr>
          <w:rFonts w:ascii="Times" w:hAnsi="Times" w:cs="Times New Roman"/>
          <w:noProof/>
        </w:rPr>
        <w:t>n</w:t>
      </w:r>
      <w:r w:rsidRPr="006119A1">
        <w:rPr>
          <w:rFonts w:ascii="Times" w:hAnsi="Times" w:cs="Times New Roman"/>
          <w:noProof/>
        </w:rPr>
        <w:t>as oportunidades da inclusão econômica e social.</w:t>
      </w:r>
    </w:p>
    <w:p w14:paraId="6F31059C" w14:textId="29B3AF15" w:rsidR="00FE4F6E" w:rsidRDefault="00D06079" w:rsidP="00347B57">
      <w:pPr>
        <w:spacing w:line="360" w:lineRule="auto"/>
        <w:ind w:firstLine="720"/>
        <w:jc w:val="both"/>
        <w:rPr>
          <w:rFonts w:ascii="Times" w:hAnsi="Times" w:cs="Times New Roman"/>
          <w:noProof/>
        </w:rPr>
      </w:pPr>
      <w:r w:rsidRPr="006119A1">
        <w:rPr>
          <w:rFonts w:ascii="Times" w:hAnsi="Times" w:cs="Times New Roman"/>
        </w:rPr>
        <w:t>Apesar disso</w:t>
      </w:r>
      <w:r w:rsidR="00FE4F6E" w:rsidRPr="006119A1">
        <w:rPr>
          <w:rFonts w:ascii="Times" w:hAnsi="Times" w:cs="Times New Roman"/>
        </w:rPr>
        <w:t xml:space="preserve">, </w:t>
      </w:r>
      <w:r w:rsidRPr="006119A1">
        <w:rPr>
          <w:rFonts w:ascii="Times" w:hAnsi="Times" w:cs="Times New Roman"/>
        </w:rPr>
        <w:t xml:space="preserve">o Brasil </w:t>
      </w:r>
      <w:r w:rsidR="006B0862">
        <w:rPr>
          <w:rFonts w:ascii="Times" w:hAnsi="Times" w:cs="Times New Roman"/>
        </w:rPr>
        <w:t>atingiu o primeiro</w:t>
      </w:r>
      <w:r w:rsidR="00FE4F6E" w:rsidRPr="006119A1">
        <w:rPr>
          <w:rFonts w:ascii="Times" w:hAnsi="Times" w:cs="Times New Roman"/>
        </w:rPr>
        <w:t xml:space="preserve"> dos oito objetivos d</w:t>
      </w:r>
      <w:r w:rsidRPr="006119A1">
        <w:rPr>
          <w:rFonts w:ascii="Times" w:hAnsi="Times" w:cs="Times New Roman"/>
        </w:rPr>
        <w:t>o</w:t>
      </w:r>
      <w:r w:rsidR="00FE4F6E" w:rsidRPr="006119A1">
        <w:rPr>
          <w:rFonts w:ascii="Times" w:hAnsi="Times" w:cs="Times New Roman"/>
        </w:rPr>
        <w:t xml:space="preserve"> desenvolvimento do milênio da ONU</w:t>
      </w:r>
      <w:r w:rsidR="003A39AD">
        <w:rPr>
          <w:rFonts w:ascii="Times" w:hAnsi="Times" w:cs="Times New Roman"/>
        </w:rPr>
        <w:t xml:space="preserve"> sobre a pobreza, e</w:t>
      </w:r>
      <w:r w:rsidR="00FE4F6E" w:rsidRPr="006119A1">
        <w:rPr>
          <w:rFonts w:ascii="Times" w:hAnsi="Times" w:cs="Times New Roman"/>
        </w:rPr>
        <w:t xml:space="preserve"> reduzi</w:t>
      </w:r>
      <w:r w:rsidR="003A39AD">
        <w:rPr>
          <w:rFonts w:ascii="Times" w:hAnsi="Times" w:cs="Times New Roman"/>
        </w:rPr>
        <w:t>u</w:t>
      </w:r>
      <w:r w:rsidR="00FE4F6E" w:rsidRPr="006119A1">
        <w:rPr>
          <w:rFonts w:ascii="Times" w:hAnsi="Times" w:cs="Times New Roman"/>
        </w:rPr>
        <w:t xml:space="preserve"> o número de pessoas vivendo em extrema pobreza: de 25,6% da população, em 1990, para 4,8%, em 2008. A</w:t>
      </w:r>
      <w:r w:rsidR="00FE4F6E" w:rsidRPr="006119A1">
        <w:rPr>
          <w:rFonts w:ascii="Times" w:hAnsi="Times" w:cs="Times New Roman"/>
          <w:noProof/>
        </w:rPr>
        <w:t xml:space="preserve"> taxa de pobreza, entre os anos 1990 e 2012, teve uma queda considerável, como se pode observar no </w:t>
      </w:r>
      <w:r w:rsidR="00F602F0" w:rsidRPr="009D3479">
        <w:rPr>
          <w:rFonts w:ascii="Times" w:hAnsi="Times" w:cs="Times New Roman"/>
          <w:noProof/>
        </w:rPr>
        <w:t>G</w:t>
      </w:r>
      <w:r w:rsidR="00FE4F6E" w:rsidRPr="009D3479">
        <w:rPr>
          <w:rFonts w:ascii="Times" w:hAnsi="Times" w:cs="Times New Roman"/>
          <w:noProof/>
        </w:rPr>
        <w:t>ráfico 1</w:t>
      </w:r>
      <w:r w:rsidR="00241D80">
        <w:rPr>
          <w:rFonts w:ascii="Times" w:hAnsi="Times" w:cs="Times New Roman"/>
          <w:noProof/>
        </w:rPr>
        <w:t>.</w:t>
      </w:r>
    </w:p>
    <w:p w14:paraId="05AD7433" w14:textId="46426FDE" w:rsidR="004306AB" w:rsidRDefault="004306AB" w:rsidP="00347B57">
      <w:pPr>
        <w:spacing w:line="360" w:lineRule="auto"/>
        <w:ind w:firstLine="720"/>
        <w:jc w:val="both"/>
        <w:rPr>
          <w:rFonts w:ascii="Times" w:hAnsi="Times" w:cs="Times New Roman"/>
          <w:noProof/>
        </w:rPr>
      </w:pPr>
    </w:p>
    <w:p w14:paraId="7DCA82A5" w14:textId="1F9118C0" w:rsidR="00426384" w:rsidRDefault="00426384" w:rsidP="00347B57">
      <w:pPr>
        <w:spacing w:line="360" w:lineRule="auto"/>
        <w:ind w:firstLine="720"/>
        <w:jc w:val="both"/>
        <w:rPr>
          <w:rFonts w:ascii="Times" w:hAnsi="Times" w:cs="Times New Roman"/>
          <w:noProof/>
        </w:rPr>
      </w:pPr>
    </w:p>
    <w:p w14:paraId="1C6F338D" w14:textId="77777777" w:rsidR="00426384" w:rsidRPr="009D3479" w:rsidRDefault="00426384" w:rsidP="00347B57">
      <w:pPr>
        <w:spacing w:line="360" w:lineRule="auto"/>
        <w:ind w:firstLine="720"/>
        <w:jc w:val="both"/>
        <w:rPr>
          <w:rFonts w:ascii="Times" w:hAnsi="Times" w:cs="Times New Roman"/>
          <w:noProof/>
        </w:rPr>
      </w:pPr>
    </w:p>
    <w:p w14:paraId="17126D48" w14:textId="2971EE21" w:rsidR="00804CAF" w:rsidRPr="006119A1" w:rsidRDefault="00804CAF" w:rsidP="00347B57">
      <w:pPr>
        <w:widowControl w:val="0"/>
        <w:autoSpaceDE w:val="0"/>
        <w:autoSpaceDN w:val="0"/>
        <w:adjustRightInd w:val="0"/>
        <w:spacing w:line="360" w:lineRule="auto"/>
        <w:jc w:val="both"/>
        <w:rPr>
          <w:rFonts w:ascii="Times" w:hAnsi="Times" w:cs="Times New Roman"/>
          <w:bCs/>
          <w:noProof/>
        </w:rPr>
      </w:pPr>
      <w:r w:rsidRPr="00492E9C">
        <w:rPr>
          <w:rFonts w:ascii="Times" w:hAnsi="Times" w:cs="Times New Roman"/>
          <w:bCs/>
          <w:noProof/>
        </w:rPr>
        <w:lastRenderedPageBreak/>
        <w:t>Gráfico 1</w:t>
      </w:r>
      <w:r w:rsidR="00492E9C">
        <w:rPr>
          <w:rFonts w:ascii="Times" w:hAnsi="Times" w:cs="Times New Roman"/>
          <w:bCs/>
          <w:noProof/>
        </w:rPr>
        <w:t xml:space="preserve"> -</w:t>
      </w:r>
      <w:r w:rsidR="00823D89" w:rsidRPr="009D3479">
        <w:rPr>
          <w:rFonts w:ascii="Times" w:hAnsi="Times" w:cs="Times New Roman"/>
          <w:bCs/>
          <w:noProof/>
        </w:rPr>
        <w:t xml:space="preserve"> Taxa de pobreza no Brasil (%) </w:t>
      </w:r>
      <w:r w:rsidRPr="009D3479">
        <w:rPr>
          <w:rFonts w:ascii="Times" w:hAnsi="Times" w:cs="Times New Roman"/>
          <w:bCs/>
          <w:noProof/>
        </w:rPr>
        <w:t xml:space="preserve"> de 1990 a 2012.</w:t>
      </w:r>
    </w:p>
    <w:p w14:paraId="38F70F37" w14:textId="77777777" w:rsidR="00804CAF" w:rsidRPr="006119A1" w:rsidRDefault="00823D89" w:rsidP="00347B57">
      <w:pPr>
        <w:spacing w:line="360" w:lineRule="auto"/>
        <w:jc w:val="both"/>
        <w:rPr>
          <w:rFonts w:ascii="Times" w:hAnsi="Times" w:cs="Times New Roman"/>
          <w:noProof/>
        </w:rPr>
      </w:pPr>
      <w:r w:rsidRPr="006119A1">
        <w:rPr>
          <w:rFonts w:ascii="Times" w:hAnsi="Times"/>
          <w:noProof/>
          <w:lang w:eastAsia="pt-BR"/>
        </w:rPr>
        <w:drawing>
          <wp:inline distT="0" distB="0" distL="0" distR="0" wp14:anchorId="4004BB09" wp14:editId="108825DC">
            <wp:extent cx="5665757" cy="2294626"/>
            <wp:effectExtent l="19050" t="0" r="11143"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90F8353" w14:textId="7B42C0F4" w:rsidR="00E33B47" w:rsidRPr="003A39AD" w:rsidRDefault="00804CAF" w:rsidP="00E33B47">
      <w:pPr>
        <w:widowControl w:val="0"/>
        <w:autoSpaceDE w:val="0"/>
        <w:autoSpaceDN w:val="0"/>
        <w:adjustRightInd w:val="0"/>
        <w:jc w:val="both"/>
        <w:rPr>
          <w:rFonts w:ascii="Times" w:hAnsi="Times" w:cs="Times New Roman"/>
          <w:noProof/>
          <w:sz w:val="22"/>
          <w:szCs w:val="22"/>
        </w:rPr>
      </w:pPr>
      <w:r w:rsidRPr="003A39AD">
        <w:rPr>
          <w:rFonts w:ascii="Times" w:hAnsi="Times" w:cs="Times New Roman"/>
          <w:bCs/>
          <w:noProof/>
          <w:sz w:val="22"/>
          <w:szCs w:val="22"/>
        </w:rPr>
        <w:t xml:space="preserve">Fonte: </w:t>
      </w:r>
      <w:r w:rsidR="004306AB">
        <w:rPr>
          <w:rFonts w:ascii="Times" w:hAnsi="Times" w:cs="Times New Roman"/>
          <w:bCs/>
          <w:noProof/>
          <w:sz w:val="22"/>
          <w:szCs w:val="22"/>
        </w:rPr>
        <w:t>Elaborado a partir dos dados do I</w:t>
      </w:r>
      <w:r w:rsidRPr="003A39AD">
        <w:rPr>
          <w:rFonts w:ascii="Times" w:hAnsi="Times" w:cs="Times New Roman"/>
          <w:noProof/>
          <w:sz w:val="22"/>
          <w:szCs w:val="22"/>
        </w:rPr>
        <w:t>PEA</w:t>
      </w:r>
      <w:r w:rsidR="004306AB">
        <w:rPr>
          <w:rFonts w:ascii="Times" w:hAnsi="Times" w:cs="Times New Roman"/>
          <w:noProof/>
          <w:sz w:val="22"/>
          <w:szCs w:val="22"/>
        </w:rPr>
        <w:t>DATA</w:t>
      </w:r>
      <w:r w:rsidRPr="003A39AD">
        <w:rPr>
          <w:rFonts w:ascii="Times" w:hAnsi="Times" w:cs="Times New Roman"/>
          <w:noProof/>
          <w:sz w:val="22"/>
          <w:szCs w:val="22"/>
        </w:rPr>
        <w:t>(2014)</w:t>
      </w:r>
      <w:r w:rsidR="00314DA3" w:rsidRPr="003A39AD">
        <w:rPr>
          <w:rFonts w:ascii="Times" w:hAnsi="Times" w:cs="Times New Roman"/>
          <w:noProof/>
          <w:sz w:val="22"/>
          <w:szCs w:val="22"/>
        </w:rPr>
        <w:t xml:space="preserve"> </w:t>
      </w:r>
    </w:p>
    <w:p w14:paraId="632DF8E4" w14:textId="77777777" w:rsidR="00804CAF" w:rsidRPr="00483374" w:rsidRDefault="00804CAF" w:rsidP="00E33B47">
      <w:pPr>
        <w:widowControl w:val="0"/>
        <w:autoSpaceDE w:val="0"/>
        <w:autoSpaceDN w:val="0"/>
        <w:adjustRightInd w:val="0"/>
        <w:jc w:val="both"/>
        <w:rPr>
          <w:rFonts w:ascii="Times" w:hAnsi="Times" w:cs="Times New Roman"/>
          <w:noProof/>
          <w:sz w:val="20"/>
          <w:szCs w:val="20"/>
        </w:rPr>
      </w:pPr>
      <w:r w:rsidRPr="00483374">
        <w:rPr>
          <w:rFonts w:ascii="Times" w:hAnsi="Times" w:cs="Times New Roman"/>
          <w:noProof/>
          <w:sz w:val="20"/>
          <w:szCs w:val="20"/>
        </w:rPr>
        <w:t xml:space="preserve">Nota: Taxa de pobreza refere-se ao  número de pessoas em domicílios com renda domiciliar </w:t>
      </w:r>
      <w:r w:rsidRPr="00483374">
        <w:rPr>
          <w:rFonts w:ascii="Times" w:hAnsi="Times" w:cs="Times New Roman"/>
          <w:i/>
          <w:noProof/>
          <w:sz w:val="20"/>
          <w:szCs w:val="20"/>
        </w:rPr>
        <w:t>per capita</w:t>
      </w:r>
      <w:r w:rsidRPr="00483374">
        <w:rPr>
          <w:rFonts w:ascii="Times" w:hAnsi="Times" w:cs="Times New Roman"/>
          <w:noProof/>
          <w:sz w:val="20"/>
          <w:szCs w:val="20"/>
        </w:rPr>
        <w:t xml:space="preserve"> inferior à linha de pobreza, baseando-se no nível de renda anual com a qual uma pessoa ou família não consegue ter todos os recursos necessários para viver. </w:t>
      </w:r>
    </w:p>
    <w:p w14:paraId="3C9C0B5D" w14:textId="77777777" w:rsidR="00BA771D" w:rsidRDefault="00BA771D" w:rsidP="006B0862">
      <w:pPr>
        <w:spacing w:line="360" w:lineRule="auto"/>
        <w:ind w:firstLine="720"/>
        <w:jc w:val="both"/>
        <w:rPr>
          <w:rFonts w:ascii="Times" w:hAnsi="Times"/>
        </w:rPr>
      </w:pPr>
    </w:p>
    <w:p w14:paraId="513B6D2A" w14:textId="50A90C22" w:rsidR="006B0862" w:rsidRDefault="006B0862" w:rsidP="006B0862">
      <w:pPr>
        <w:spacing w:line="360" w:lineRule="auto"/>
        <w:ind w:firstLine="720"/>
        <w:jc w:val="both"/>
        <w:rPr>
          <w:rFonts w:ascii="Times" w:hAnsi="Times"/>
        </w:rPr>
      </w:pPr>
      <w:r>
        <w:rPr>
          <w:rFonts w:ascii="Times" w:hAnsi="Times"/>
        </w:rPr>
        <w:t>No</w:t>
      </w:r>
      <w:r w:rsidRPr="00A07316">
        <w:rPr>
          <w:rFonts w:ascii="Times" w:hAnsi="Times"/>
        </w:rPr>
        <w:t xml:space="preserve"> período FHC, o número de domicílios que vivia em pobreza extrema diminui</w:t>
      </w:r>
      <w:r w:rsidR="004A5F92">
        <w:rPr>
          <w:rFonts w:ascii="Times" w:hAnsi="Times"/>
        </w:rPr>
        <w:t>u</w:t>
      </w:r>
      <w:r w:rsidRPr="00A07316">
        <w:rPr>
          <w:rFonts w:ascii="Times" w:hAnsi="Times"/>
        </w:rPr>
        <w:t xml:space="preserve"> na região Sul (em Santa Catarina e no Paraná), mas aumentou no Brasil e no Rio Grande do Sul. </w:t>
      </w:r>
      <w:r>
        <w:rPr>
          <w:rFonts w:ascii="Times" w:hAnsi="Times"/>
        </w:rPr>
        <w:t>N</w:t>
      </w:r>
      <w:r w:rsidRPr="00A07316">
        <w:rPr>
          <w:rFonts w:ascii="Times" w:hAnsi="Times"/>
        </w:rPr>
        <w:t xml:space="preserve">a era Lula, decresceu em todas as regiões analisadas. </w:t>
      </w:r>
      <w:r w:rsidRPr="006119A1">
        <w:rPr>
          <w:rFonts w:ascii="Times" w:hAnsi="Times"/>
        </w:rPr>
        <w:t>Santa Catarina é o estado do Sul com menos domicílios vivendo em extrema pobreza</w:t>
      </w:r>
      <w:r>
        <w:rPr>
          <w:rFonts w:ascii="Times" w:hAnsi="Times"/>
        </w:rPr>
        <w:t xml:space="preserve"> e o</w:t>
      </w:r>
      <w:r w:rsidRPr="006119A1">
        <w:rPr>
          <w:rFonts w:ascii="Times" w:hAnsi="Times"/>
        </w:rPr>
        <w:t xml:space="preserve"> Paraná o estado com mais domicílios </w:t>
      </w:r>
      <w:r>
        <w:rPr>
          <w:rFonts w:ascii="Times" w:hAnsi="Times"/>
        </w:rPr>
        <w:t xml:space="preserve">nessa situação </w:t>
      </w:r>
      <w:r w:rsidRPr="0037474B">
        <w:rPr>
          <w:rFonts w:ascii="Times" w:hAnsi="Times"/>
        </w:rPr>
        <w:t>(tabela</w:t>
      </w:r>
      <w:r w:rsidR="004A5F92" w:rsidRPr="0037474B">
        <w:rPr>
          <w:rFonts w:ascii="Times" w:hAnsi="Times"/>
        </w:rPr>
        <w:t xml:space="preserve"> 1</w:t>
      </w:r>
      <w:r w:rsidRPr="0037474B">
        <w:rPr>
          <w:rFonts w:ascii="Times" w:hAnsi="Times"/>
        </w:rPr>
        <w:t>).</w:t>
      </w:r>
      <w:r w:rsidRPr="00A07316">
        <w:rPr>
          <w:rFonts w:ascii="Times" w:hAnsi="Times"/>
        </w:rPr>
        <w:t xml:space="preserve"> </w:t>
      </w:r>
    </w:p>
    <w:p w14:paraId="6461DD44" w14:textId="77777777" w:rsidR="004306AB" w:rsidRDefault="004306AB" w:rsidP="004A5F92">
      <w:pPr>
        <w:widowControl w:val="0"/>
        <w:autoSpaceDE w:val="0"/>
        <w:autoSpaceDN w:val="0"/>
        <w:adjustRightInd w:val="0"/>
        <w:spacing w:after="240"/>
        <w:jc w:val="both"/>
        <w:rPr>
          <w:rFonts w:ascii="Times" w:hAnsi="Times" w:cs="Times New Roman"/>
          <w:noProof/>
        </w:rPr>
      </w:pPr>
    </w:p>
    <w:p w14:paraId="4619EEEC" w14:textId="07AF1FC1" w:rsidR="006B0862" w:rsidRPr="004A5F92" w:rsidRDefault="006B0862" w:rsidP="004A5F92">
      <w:pPr>
        <w:widowControl w:val="0"/>
        <w:autoSpaceDE w:val="0"/>
        <w:autoSpaceDN w:val="0"/>
        <w:adjustRightInd w:val="0"/>
        <w:spacing w:after="240"/>
        <w:jc w:val="both"/>
        <w:rPr>
          <w:rFonts w:ascii="Times" w:hAnsi="Times" w:cs="Times New Roman"/>
          <w:noProof/>
        </w:rPr>
      </w:pPr>
      <w:r w:rsidRPr="00492E9C">
        <w:rPr>
          <w:rFonts w:ascii="Times" w:hAnsi="Times" w:cs="Times New Roman"/>
          <w:noProof/>
        </w:rPr>
        <w:t xml:space="preserve">Tabela </w:t>
      </w:r>
      <w:r w:rsidR="004A5F92" w:rsidRPr="00492E9C">
        <w:rPr>
          <w:rFonts w:ascii="Times" w:hAnsi="Times" w:cs="Times New Roman"/>
          <w:noProof/>
        </w:rPr>
        <w:t>1</w:t>
      </w:r>
      <w:r w:rsidR="00492E9C">
        <w:rPr>
          <w:rFonts w:ascii="Times" w:hAnsi="Times" w:cs="Times New Roman"/>
          <w:noProof/>
        </w:rPr>
        <w:t xml:space="preserve"> -</w:t>
      </w:r>
      <w:r w:rsidRPr="004A5F92">
        <w:rPr>
          <w:rFonts w:ascii="Times" w:hAnsi="Times" w:cs="Times New Roman"/>
          <w:noProof/>
        </w:rPr>
        <w:t xml:space="preserve"> Pobreza extrema, número de domicílios extremamente pobres (unidade).</w:t>
      </w:r>
    </w:p>
    <w:tbl>
      <w:tblPr>
        <w:tblStyle w:val="SombreamentoClaro"/>
        <w:tblW w:w="8516" w:type="dxa"/>
        <w:tblLook w:val="06A0" w:firstRow="1" w:lastRow="0" w:firstColumn="1" w:lastColumn="0" w:noHBand="1" w:noVBand="1"/>
      </w:tblPr>
      <w:tblGrid>
        <w:gridCol w:w="1491"/>
        <w:gridCol w:w="1499"/>
        <w:gridCol w:w="1499"/>
        <w:gridCol w:w="1264"/>
        <w:gridCol w:w="1264"/>
        <w:gridCol w:w="1499"/>
      </w:tblGrid>
      <w:tr w:rsidR="006B0862" w:rsidRPr="00A07316" w14:paraId="3DFF12ED" w14:textId="77777777" w:rsidTr="003F1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Pr>
          <w:p w14:paraId="6BEFA9F9" w14:textId="77777777" w:rsidR="006B0862" w:rsidRPr="00A07316" w:rsidRDefault="006B0862" w:rsidP="003F1D4C">
            <w:pPr>
              <w:spacing w:line="360" w:lineRule="auto"/>
              <w:jc w:val="both"/>
              <w:rPr>
                <w:rFonts w:ascii="Times" w:hAnsi="Times"/>
                <w:b w:val="0"/>
                <w:color w:val="auto"/>
                <w:sz w:val="22"/>
                <w:szCs w:val="22"/>
              </w:rPr>
            </w:pPr>
            <w:r w:rsidRPr="00A07316">
              <w:rPr>
                <w:rFonts w:ascii="Times" w:hAnsi="Times"/>
                <w:b w:val="0"/>
                <w:color w:val="auto"/>
                <w:sz w:val="22"/>
                <w:szCs w:val="22"/>
              </w:rPr>
              <w:t>Região</w:t>
            </w:r>
          </w:p>
        </w:tc>
        <w:tc>
          <w:tcPr>
            <w:tcW w:w="1499" w:type="dxa"/>
          </w:tcPr>
          <w:p w14:paraId="6458B848" w14:textId="77777777" w:rsidR="006B0862" w:rsidRPr="00A07316" w:rsidRDefault="006B0862" w:rsidP="003F1D4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w:hAnsi="Times"/>
                <w:b w:val="0"/>
                <w:color w:val="auto"/>
                <w:sz w:val="22"/>
                <w:szCs w:val="22"/>
              </w:rPr>
            </w:pPr>
            <w:r w:rsidRPr="00A07316">
              <w:rPr>
                <w:rFonts w:ascii="Times" w:hAnsi="Times"/>
                <w:b w:val="0"/>
                <w:color w:val="auto"/>
                <w:sz w:val="22"/>
                <w:szCs w:val="22"/>
              </w:rPr>
              <w:t>1995</w:t>
            </w:r>
          </w:p>
        </w:tc>
        <w:tc>
          <w:tcPr>
            <w:tcW w:w="1499" w:type="dxa"/>
          </w:tcPr>
          <w:p w14:paraId="3AA281B1" w14:textId="77777777" w:rsidR="006B0862" w:rsidRPr="00A07316" w:rsidRDefault="006B0862" w:rsidP="003F1D4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w:hAnsi="Times"/>
                <w:b w:val="0"/>
                <w:color w:val="auto"/>
                <w:sz w:val="22"/>
                <w:szCs w:val="22"/>
              </w:rPr>
            </w:pPr>
            <w:r w:rsidRPr="00A07316">
              <w:rPr>
                <w:rFonts w:ascii="Times" w:hAnsi="Times"/>
                <w:b w:val="0"/>
                <w:color w:val="auto"/>
                <w:sz w:val="22"/>
                <w:szCs w:val="22"/>
              </w:rPr>
              <w:t>2002</w:t>
            </w:r>
          </w:p>
        </w:tc>
        <w:tc>
          <w:tcPr>
            <w:tcW w:w="1264" w:type="dxa"/>
          </w:tcPr>
          <w:p w14:paraId="07562D7C" w14:textId="77777777" w:rsidR="006B0862" w:rsidRPr="00A07316" w:rsidRDefault="006B0862" w:rsidP="003F1D4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w:hAnsi="Times"/>
                <w:b w:val="0"/>
                <w:color w:val="auto"/>
                <w:sz w:val="22"/>
                <w:szCs w:val="22"/>
              </w:rPr>
            </w:pPr>
            <w:r w:rsidRPr="00A07316">
              <w:rPr>
                <w:rFonts w:ascii="Times" w:hAnsi="Times"/>
                <w:b w:val="0"/>
                <w:color w:val="auto"/>
                <w:sz w:val="22"/>
                <w:szCs w:val="22"/>
              </w:rPr>
              <w:t>2003</w:t>
            </w:r>
          </w:p>
        </w:tc>
        <w:tc>
          <w:tcPr>
            <w:tcW w:w="1264" w:type="dxa"/>
          </w:tcPr>
          <w:p w14:paraId="101B9AC8" w14:textId="77777777" w:rsidR="006B0862" w:rsidRPr="00A07316" w:rsidRDefault="006B0862" w:rsidP="003F1D4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w:hAnsi="Times"/>
                <w:b w:val="0"/>
                <w:color w:val="auto"/>
                <w:sz w:val="22"/>
                <w:szCs w:val="22"/>
              </w:rPr>
            </w:pPr>
            <w:r w:rsidRPr="00A07316">
              <w:rPr>
                <w:rFonts w:ascii="Times" w:hAnsi="Times"/>
                <w:b w:val="0"/>
                <w:color w:val="auto"/>
                <w:sz w:val="22"/>
                <w:szCs w:val="22"/>
              </w:rPr>
              <w:t>2009</w:t>
            </w:r>
          </w:p>
        </w:tc>
        <w:tc>
          <w:tcPr>
            <w:tcW w:w="1499" w:type="dxa"/>
          </w:tcPr>
          <w:p w14:paraId="0E0DAEFF" w14:textId="77777777" w:rsidR="006B0862" w:rsidRPr="00A07316" w:rsidRDefault="006B0862" w:rsidP="003F1D4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w:hAnsi="Times"/>
                <w:b w:val="0"/>
                <w:color w:val="auto"/>
                <w:sz w:val="22"/>
                <w:szCs w:val="22"/>
              </w:rPr>
            </w:pPr>
            <w:r w:rsidRPr="00A07316">
              <w:rPr>
                <w:rFonts w:ascii="Times" w:hAnsi="Times"/>
                <w:b w:val="0"/>
                <w:color w:val="auto"/>
                <w:sz w:val="22"/>
                <w:szCs w:val="22"/>
              </w:rPr>
              <w:t>2011</w:t>
            </w:r>
          </w:p>
        </w:tc>
      </w:tr>
      <w:tr w:rsidR="006B0862" w:rsidRPr="00A07316" w14:paraId="4A20B7D6" w14:textId="77777777" w:rsidTr="003F1D4C">
        <w:tc>
          <w:tcPr>
            <w:cnfStyle w:val="001000000000" w:firstRow="0" w:lastRow="0" w:firstColumn="1" w:lastColumn="0" w:oddVBand="0" w:evenVBand="0" w:oddHBand="0" w:evenHBand="0" w:firstRowFirstColumn="0" w:firstRowLastColumn="0" w:lastRowFirstColumn="0" w:lastRowLastColumn="0"/>
            <w:tcW w:w="1491" w:type="dxa"/>
          </w:tcPr>
          <w:p w14:paraId="7D85E0F7" w14:textId="77777777" w:rsidR="006B0862" w:rsidRPr="00A07316" w:rsidRDefault="006B0862" w:rsidP="003F1D4C">
            <w:pPr>
              <w:spacing w:line="360" w:lineRule="auto"/>
              <w:jc w:val="both"/>
              <w:rPr>
                <w:rFonts w:ascii="Times" w:hAnsi="Times"/>
                <w:b w:val="0"/>
                <w:color w:val="auto"/>
                <w:sz w:val="22"/>
                <w:szCs w:val="22"/>
              </w:rPr>
            </w:pPr>
            <w:r w:rsidRPr="00A07316">
              <w:rPr>
                <w:rFonts w:ascii="Times" w:hAnsi="Times"/>
                <w:b w:val="0"/>
                <w:color w:val="auto"/>
                <w:sz w:val="22"/>
                <w:szCs w:val="22"/>
              </w:rPr>
              <w:t>Brasil</w:t>
            </w:r>
          </w:p>
        </w:tc>
        <w:tc>
          <w:tcPr>
            <w:tcW w:w="1499" w:type="dxa"/>
          </w:tcPr>
          <w:p w14:paraId="14145FE4" w14:textId="77777777" w:rsidR="006B0862" w:rsidRPr="00A07316" w:rsidRDefault="006B0862" w:rsidP="003F1D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A07316">
              <w:rPr>
                <w:rFonts w:ascii="Times" w:hAnsi="Times"/>
                <w:color w:val="auto"/>
                <w:sz w:val="22"/>
                <w:szCs w:val="22"/>
              </w:rPr>
              <w:t>4.310.587</w:t>
            </w:r>
          </w:p>
        </w:tc>
        <w:tc>
          <w:tcPr>
            <w:tcW w:w="1499" w:type="dxa"/>
          </w:tcPr>
          <w:p w14:paraId="6CAF608D" w14:textId="77777777" w:rsidR="006B0862" w:rsidRPr="00A07316" w:rsidRDefault="006B0862" w:rsidP="003F1D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A07316">
              <w:rPr>
                <w:rFonts w:ascii="Times" w:hAnsi="Times"/>
                <w:color w:val="auto"/>
                <w:sz w:val="22"/>
                <w:szCs w:val="22"/>
              </w:rPr>
              <w:t>4.877.317</w:t>
            </w:r>
          </w:p>
        </w:tc>
        <w:tc>
          <w:tcPr>
            <w:tcW w:w="1264" w:type="dxa"/>
          </w:tcPr>
          <w:p w14:paraId="1F18004E" w14:textId="77777777" w:rsidR="006B0862" w:rsidRPr="00A07316" w:rsidRDefault="006B0862" w:rsidP="003F1D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A07316">
              <w:rPr>
                <w:rFonts w:ascii="Times" w:hAnsi="Times"/>
                <w:color w:val="auto"/>
                <w:sz w:val="22"/>
                <w:szCs w:val="22"/>
              </w:rPr>
              <w:t>5.533.843</w:t>
            </w:r>
          </w:p>
        </w:tc>
        <w:tc>
          <w:tcPr>
            <w:tcW w:w="1264" w:type="dxa"/>
          </w:tcPr>
          <w:p w14:paraId="76D06635" w14:textId="77777777" w:rsidR="006B0862" w:rsidRPr="00A07316" w:rsidRDefault="006B0862" w:rsidP="003F1D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A07316">
              <w:rPr>
                <w:rFonts w:ascii="Times" w:hAnsi="Times"/>
                <w:color w:val="auto"/>
                <w:sz w:val="22"/>
                <w:szCs w:val="22"/>
              </w:rPr>
              <w:t>3.333.336</w:t>
            </w:r>
          </w:p>
        </w:tc>
        <w:tc>
          <w:tcPr>
            <w:tcW w:w="1499" w:type="dxa"/>
          </w:tcPr>
          <w:p w14:paraId="33EDF019" w14:textId="77777777" w:rsidR="006B0862" w:rsidRPr="00A07316" w:rsidRDefault="006B0862" w:rsidP="003F1D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A07316">
              <w:rPr>
                <w:rFonts w:ascii="Times" w:hAnsi="Times"/>
                <w:color w:val="auto"/>
                <w:sz w:val="22"/>
                <w:szCs w:val="22"/>
              </w:rPr>
              <w:t>3.106.269</w:t>
            </w:r>
          </w:p>
        </w:tc>
      </w:tr>
      <w:tr w:rsidR="006B0862" w:rsidRPr="00A07316" w14:paraId="74AB7A4B" w14:textId="77777777" w:rsidTr="003F1D4C">
        <w:tc>
          <w:tcPr>
            <w:cnfStyle w:val="001000000000" w:firstRow="0" w:lastRow="0" w:firstColumn="1" w:lastColumn="0" w:oddVBand="0" w:evenVBand="0" w:oddHBand="0" w:evenHBand="0" w:firstRowFirstColumn="0" w:firstRowLastColumn="0" w:lastRowFirstColumn="0" w:lastRowLastColumn="0"/>
            <w:tcW w:w="1491" w:type="dxa"/>
          </w:tcPr>
          <w:p w14:paraId="643974E4" w14:textId="77777777" w:rsidR="006B0862" w:rsidRPr="00A07316" w:rsidRDefault="006B0862" w:rsidP="003F1D4C">
            <w:pPr>
              <w:spacing w:line="360" w:lineRule="auto"/>
              <w:jc w:val="both"/>
              <w:rPr>
                <w:rFonts w:ascii="Times" w:hAnsi="Times"/>
                <w:b w:val="0"/>
                <w:color w:val="auto"/>
                <w:sz w:val="22"/>
                <w:szCs w:val="22"/>
              </w:rPr>
            </w:pPr>
            <w:r w:rsidRPr="00A07316">
              <w:rPr>
                <w:rFonts w:ascii="Times" w:hAnsi="Times"/>
                <w:b w:val="0"/>
                <w:color w:val="auto"/>
                <w:sz w:val="22"/>
                <w:szCs w:val="22"/>
              </w:rPr>
              <w:t>SUL</w:t>
            </w:r>
          </w:p>
        </w:tc>
        <w:tc>
          <w:tcPr>
            <w:tcW w:w="1499" w:type="dxa"/>
          </w:tcPr>
          <w:p w14:paraId="0B463B1A" w14:textId="77777777" w:rsidR="006B0862" w:rsidRPr="00A07316" w:rsidRDefault="006B0862" w:rsidP="003F1D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A07316">
              <w:rPr>
                <w:rFonts w:ascii="Times" w:hAnsi="Times"/>
                <w:color w:val="auto"/>
                <w:sz w:val="22"/>
                <w:szCs w:val="22"/>
              </w:rPr>
              <w:t>479.314</w:t>
            </w:r>
          </w:p>
        </w:tc>
        <w:tc>
          <w:tcPr>
            <w:tcW w:w="1499" w:type="dxa"/>
          </w:tcPr>
          <w:p w14:paraId="205619FB" w14:textId="77777777" w:rsidR="006B0862" w:rsidRPr="00A07316" w:rsidRDefault="006B0862" w:rsidP="003F1D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A07316">
              <w:rPr>
                <w:rFonts w:ascii="Times" w:hAnsi="Times"/>
                <w:color w:val="auto"/>
                <w:sz w:val="22"/>
                <w:szCs w:val="22"/>
              </w:rPr>
              <w:t>398.010</w:t>
            </w:r>
          </w:p>
        </w:tc>
        <w:tc>
          <w:tcPr>
            <w:tcW w:w="1264" w:type="dxa"/>
          </w:tcPr>
          <w:p w14:paraId="222F7B3E" w14:textId="77777777" w:rsidR="006B0862" w:rsidRPr="00A07316" w:rsidRDefault="006B0862" w:rsidP="003F1D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A07316">
              <w:rPr>
                <w:rFonts w:ascii="Times" w:hAnsi="Times"/>
                <w:color w:val="auto"/>
                <w:sz w:val="22"/>
                <w:szCs w:val="22"/>
              </w:rPr>
              <w:t>438.913</w:t>
            </w:r>
          </w:p>
        </w:tc>
        <w:tc>
          <w:tcPr>
            <w:tcW w:w="1264" w:type="dxa"/>
          </w:tcPr>
          <w:p w14:paraId="1297B0D3" w14:textId="77777777" w:rsidR="006B0862" w:rsidRPr="00A07316" w:rsidRDefault="006B0862" w:rsidP="003F1D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A07316">
              <w:rPr>
                <w:rFonts w:ascii="Times" w:hAnsi="Times"/>
                <w:color w:val="auto"/>
                <w:sz w:val="22"/>
                <w:szCs w:val="22"/>
              </w:rPr>
              <w:t>234.877</w:t>
            </w:r>
          </w:p>
        </w:tc>
        <w:tc>
          <w:tcPr>
            <w:tcW w:w="1499" w:type="dxa"/>
          </w:tcPr>
          <w:p w14:paraId="60674413" w14:textId="77777777" w:rsidR="006B0862" w:rsidRPr="00A07316" w:rsidRDefault="006B0862" w:rsidP="003F1D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A07316">
              <w:rPr>
                <w:rFonts w:ascii="Times" w:hAnsi="Times"/>
                <w:color w:val="auto"/>
                <w:sz w:val="22"/>
                <w:szCs w:val="22"/>
              </w:rPr>
              <w:t>216.515</w:t>
            </w:r>
          </w:p>
        </w:tc>
      </w:tr>
      <w:tr w:rsidR="006B0862" w:rsidRPr="00A07316" w14:paraId="504377FA" w14:textId="77777777" w:rsidTr="003F1D4C">
        <w:tc>
          <w:tcPr>
            <w:cnfStyle w:val="001000000000" w:firstRow="0" w:lastRow="0" w:firstColumn="1" w:lastColumn="0" w:oddVBand="0" w:evenVBand="0" w:oddHBand="0" w:evenHBand="0" w:firstRowFirstColumn="0" w:firstRowLastColumn="0" w:lastRowFirstColumn="0" w:lastRowLastColumn="0"/>
            <w:tcW w:w="1491" w:type="dxa"/>
          </w:tcPr>
          <w:p w14:paraId="717F96F0" w14:textId="77777777" w:rsidR="006B0862" w:rsidRPr="00A07316" w:rsidRDefault="006B0862" w:rsidP="003F1D4C">
            <w:pPr>
              <w:spacing w:line="360" w:lineRule="auto"/>
              <w:jc w:val="both"/>
              <w:rPr>
                <w:rFonts w:ascii="Times" w:hAnsi="Times"/>
                <w:b w:val="0"/>
                <w:color w:val="auto"/>
                <w:sz w:val="22"/>
                <w:szCs w:val="22"/>
              </w:rPr>
            </w:pPr>
            <w:r w:rsidRPr="00A07316">
              <w:rPr>
                <w:rFonts w:ascii="Times" w:hAnsi="Times"/>
                <w:b w:val="0"/>
                <w:color w:val="auto"/>
                <w:sz w:val="22"/>
                <w:szCs w:val="22"/>
              </w:rPr>
              <w:t>Paraná</w:t>
            </w:r>
          </w:p>
        </w:tc>
        <w:tc>
          <w:tcPr>
            <w:tcW w:w="1499" w:type="dxa"/>
          </w:tcPr>
          <w:p w14:paraId="46CE7397" w14:textId="77777777" w:rsidR="006B0862" w:rsidRPr="00A07316" w:rsidRDefault="006B0862" w:rsidP="003F1D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A07316">
              <w:rPr>
                <w:rFonts w:ascii="Times" w:hAnsi="Times"/>
                <w:color w:val="auto"/>
                <w:sz w:val="22"/>
                <w:szCs w:val="22"/>
              </w:rPr>
              <w:t>226.710</w:t>
            </w:r>
          </w:p>
        </w:tc>
        <w:tc>
          <w:tcPr>
            <w:tcW w:w="1499" w:type="dxa"/>
          </w:tcPr>
          <w:p w14:paraId="7935522D" w14:textId="77777777" w:rsidR="006B0862" w:rsidRPr="00A07316" w:rsidRDefault="006B0862" w:rsidP="003F1D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A07316">
              <w:rPr>
                <w:rFonts w:ascii="Times" w:hAnsi="Times"/>
                <w:color w:val="auto"/>
                <w:sz w:val="22"/>
                <w:szCs w:val="22"/>
              </w:rPr>
              <w:t>168.071</w:t>
            </w:r>
          </w:p>
        </w:tc>
        <w:tc>
          <w:tcPr>
            <w:tcW w:w="1264" w:type="dxa"/>
          </w:tcPr>
          <w:p w14:paraId="0D9E7EE3" w14:textId="77777777" w:rsidR="006B0862" w:rsidRPr="00A07316" w:rsidRDefault="006B0862" w:rsidP="003F1D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A07316">
              <w:rPr>
                <w:rFonts w:ascii="Times" w:hAnsi="Times"/>
                <w:color w:val="auto"/>
                <w:sz w:val="22"/>
                <w:szCs w:val="22"/>
              </w:rPr>
              <w:t>191.923</w:t>
            </w:r>
          </w:p>
        </w:tc>
        <w:tc>
          <w:tcPr>
            <w:tcW w:w="1264" w:type="dxa"/>
          </w:tcPr>
          <w:p w14:paraId="14768BBB" w14:textId="77777777" w:rsidR="006B0862" w:rsidRPr="00A07316" w:rsidRDefault="006B0862" w:rsidP="003F1D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A07316">
              <w:rPr>
                <w:rFonts w:ascii="Times" w:hAnsi="Times"/>
                <w:color w:val="auto"/>
                <w:sz w:val="22"/>
                <w:szCs w:val="22"/>
              </w:rPr>
              <w:t>105.753</w:t>
            </w:r>
          </w:p>
        </w:tc>
        <w:tc>
          <w:tcPr>
            <w:tcW w:w="1499" w:type="dxa"/>
          </w:tcPr>
          <w:p w14:paraId="22DB406E" w14:textId="77777777" w:rsidR="006B0862" w:rsidRPr="00A07316" w:rsidRDefault="006B0862" w:rsidP="003F1D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A07316">
              <w:rPr>
                <w:rFonts w:ascii="Times" w:hAnsi="Times"/>
                <w:color w:val="auto"/>
                <w:sz w:val="22"/>
                <w:szCs w:val="22"/>
              </w:rPr>
              <w:t>83.364</w:t>
            </w:r>
          </w:p>
        </w:tc>
      </w:tr>
      <w:tr w:rsidR="006B0862" w:rsidRPr="00A07316" w14:paraId="53D6E2D4" w14:textId="77777777" w:rsidTr="003F1D4C">
        <w:tc>
          <w:tcPr>
            <w:cnfStyle w:val="001000000000" w:firstRow="0" w:lastRow="0" w:firstColumn="1" w:lastColumn="0" w:oddVBand="0" w:evenVBand="0" w:oddHBand="0" w:evenHBand="0" w:firstRowFirstColumn="0" w:firstRowLastColumn="0" w:lastRowFirstColumn="0" w:lastRowLastColumn="0"/>
            <w:tcW w:w="1491" w:type="dxa"/>
          </w:tcPr>
          <w:p w14:paraId="475E9E9E" w14:textId="77777777" w:rsidR="006B0862" w:rsidRPr="00A07316" w:rsidRDefault="006B0862" w:rsidP="003F1D4C">
            <w:pPr>
              <w:spacing w:line="360" w:lineRule="auto"/>
              <w:jc w:val="both"/>
              <w:rPr>
                <w:rFonts w:ascii="Times" w:hAnsi="Times"/>
                <w:b w:val="0"/>
                <w:color w:val="auto"/>
                <w:sz w:val="22"/>
                <w:szCs w:val="22"/>
              </w:rPr>
            </w:pPr>
            <w:r w:rsidRPr="00A07316">
              <w:rPr>
                <w:rFonts w:ascii="Times" w:hAnsi="Times"/>
                <w:b w:val="0"/>
                <w:color w:val="auto"/>
                <w:sz w:val="22"/>
                <w:szCs w:val="22"/>
              </w:rPr>
              <w:t>Rio G. do Sul</w:t>
            </w:r>
          </w:p>
        </w:tc>
        <w:tc>
          <w:tcPr>
            <w:tcW w:w="1499" w:type="dxa"/>
          </w:tcPr>
          <w:p w14:paraId="13F7E35A" w14:textId="77777777" w:rsidR="006B0862" w:rsidRPr="00A07316" w:rsidRDefault="006B0862" w:rsidP="003F1D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A07316">
              <w:rPr>
                <w:rFonts w:ascii="Times" w:hAnsi="Times"/>
                <w:color w:val="auto"/>
                <w:sz w:val="22"/>
                <w:szCs w:val="22"/>
              </w:rPr>
              <w:t>183.117</w:t>
            </w:r>
          </w:p>
        </w:tc>
        <w:tc>
          <w:tcPr>
            <w:tcW w:w="1499" w:type="dxa"/>
          </w:tcPr>
          <w:p w14:paraId="27D99FE8" w14:textId="77777777" w:rsidR="006B0862" w:rsidRPr="00A07316" w:rsidRDefault="006B0862" w:rsidP="003F1D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A07316">
              <w:rPr>
                <w:rFonts w:ascii="Times" w:hAnsi="Times"/>
                <w:color w:val="auto"/>
                <w:sz w:val="22"/>
                <w:szCs w:val="22"/>
              </w:rPr>
              <w:t>191.345</w:t>
            </w:r>
          </w:p>
        </w:tc>
        <w:tc>
          <w:tcPr>
            <w:tcW w:w="1264" w:type="dxa"/>
          </w:tcPr>
          <w:p w14:paraId="62D84133" w14:textId="77777777" w:rsidR="006B0862" w:rsidRPr="00A07316" w:rsidRDefault="006B0862" w:rsidP="003F1D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A07316">
              <w:rPr>
                <w:rFonts w:ascii="Times" w:hAnsi="Times"/>
                <w:color w:val="auto"/>
                <w:sz w:val="22"/>
                <w:szCs w:val="22"/>
              </w:rPr>
              <w:t>198.081</w:t>
            </w:r>
          </w:p>
        </w:tc>
        <w:tc>
          <w:tcPr>
            <w:tcW w:w="1264" w:type="dxa"/>
          </w:tcPr>
          <w:p w14:paraId="1D4A2B07" w14:textId="77777777" w:rsidR="006B0862" w:rsidRPr="00A07316" w:rsidRDefault="006B0862" w:rsidP="003F1D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A07316">
              <w:rPr>
                <w:rFonts w:ascii="Times" w:hAnsi="Times"/>
                <w:color w:val="auto"/>
                <w:sz w:val="22"/>
                <w:szCs w:val="22"/>
              </w:rPr>
              <w:t>99.895</w:t>
            </w:r>
          </w:p>
        </w:tc>
        <w:tc>
          <w:tcPr>
            <w:tcW w:w="1499" w:type="dxa"/>
          </w:tcPr>
          <w:p w14:paraId="41617BCB" w14:textId="77777777" w:rsidR="006B0862" w:rsidRPr="00A07316" w:rsidRDefault="006B0862" w:rsidP="003F1D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A07316">
              <w:rPr>
                <w:rFonts w:ascii="Times" w:hAnsi="Times"/>
                <w:color w:val="auto"/>
                <w:sz w:val="22"/>
                <w:szCs w:val="22"/>
              </w:rPr>
              <w:t>97.233</w:t>
            </w:r>
          </w:p>
        </w:tc>
      </w:tr>
      <w:tr w:rsidR="006B0862" w:rsidRPr="00A07316" w14:paraId="401644B7" w14:textId="77777777" w:rsidTr="003F1D4C">
        <w:tc>
          <w:tcPr>
            <w:cnfStyle w:val="001000000000" w:firstRow="0" w:lastRow="0" w:firstColumn="1" w:lastColumn="0" w:oddVBand="0" w:evenVBand="0" w:oddHBand="0" w:evenHBand="0" w:firstRowFirstColumn="0" w:firstRowLastColumn="0" w:lastRowFirstColumn="0" w:lastRowLastColumn="0"/>
            <w:tcW w:w="1491" w:type="dxa"/>
          </w:tcPr>
          <w:p w14:paraId="75C8AED0" w14:textId="77777777" w:rsidR="006B0862" w:rsidRPr="00A07316" w:rsidRDefault="006B0862" w:rsidP="003F1D4C">
            <w:pPr>
              <w:spacing w:line="360" w:lineRule="auto"/>
              <w:jc w:val="both"/>
              <w:rPr>
                <w:rFonts w:ascii="Times" w:hAnsi="Times"/>
                <w:b w:val="0"/>
                <w:color w:val="auto"/>
                <w:sz w:val="22"/>
                <w:szCs w:val="22"/>
              </w:rPr>
            </w:pPr>
            <w:r w:rsidRPr="00A07316">
              <w:rPr>
                <w:rFonts w:ascii="Times" w:hAnsi="Times"/>
                <w:b w:val="0"/>
                <w:color w:val="auto"/>
                <w:sz w:val="22"/>
                <w:szCs w:val="22"/>
              </w:rPr>
              <w:t>Sta. Catarina</w:t>
            </w:r>
          </w:p>
        </w:tc>
        <w:tc>
          <w:tcPr>
            <w:tcW w:w="1499" w:type="dxa"/>
          </w:tcPr>
          <w:p w14:paraId="2EE74C90" w14:textId="77777777" w:rsidR="006B0862" w:rsidRPr="00A07316" w:rsidRDefault="006B0862" w:rsidP="003F1D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A07316">
              <w:rPr>
                <w:rFonts w:ascii="Times" w:hAnsi="Times"/>
                <w:color w:val="auto"/>
                <w:sz w:val="22"/>
                <w:szCs w:val="22"/>
              </w:rPr>
              <w:t>69.487</w:t>
            </w:r>
          </w:p>
        </w:tc>
        <w:tc>
          <w:tcPr>
            <w:tcW w:w="1499" w:type="dxa"/>
          </w:tcPr>
          <w:p w14:paraId="7A70F279" w14:textId="77777777" w:rsidR="006B0862" w:rsidRPr="00A07316" w:rsidRDefault="006B0862" w:rsidP="003F1D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A07316">
              <w:rPr>
                <w:rFonts w:ascii="Times" w:hAnsi="Times"/>
                <w:color w:val="auto"/>
                <w:sz w:val="22"/>
                <w:szCs w:val="22"/>
              </w:rPr>
              <w:t>38.594</w:t>
            </w:r>
          </w:p>
        </w:tc>
        <w:tc>
          <w:tcPr>
            <w:tcW w:w="1264" w:type="dxa"/>
          </w:tcPr>
          <w:p w14:paraId="5A12F4B5" w14:textId="77777777" w:rsidR="006B0862" w:rsidRPr="00A07316" w:rsidRDefault="006B0862" w:rsidP="003F1D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A07316">
              <w:rPr>
                <w:rFonts w:ascii="Times" w:hAnsi="Times"/>
                <w:color w:val="auto"/>
                <w:sz w:val="22"/>
                <w:szCs w:val="22"/>
              </w:rPr>
              <w:t>48.909</w:t>
            </w:r>
          </w:p>
        </w:tc>
        <w:tc>
          <w:tcPr>
            <w:tcW w:w="1264" w:type="dxa"/>
          </w:tcPr>
          <w:p w14:paraId="24429B32" w14:textId="77777777" w:rsidR="006B0862" w:rsidRPr="00A07316" w:rsidRDefault="006B0862" w:rsidP="003F1D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A07316">
              <w:rPr>
                <w:rFonts w:ascii="Times" w:hAnsi="Times"/>
                <w:color w:val="auto"/>
                <w:sz w:val="22"/>
                <w:szCs w:val="22"/>
              </w:rPr>
              <w:t>29.229</w:t>
            </w:r>
          </w:p>
        </w:tc>
        <w:tc>
          <w:tcPr>
            <w:tcW w:w="1499" w:type="dxa"/>
          </w:tcPr>
          <w:p w14:paraId="2A48A608" w14:textId="77777777" w:rsidR="006B0862" w:rsidRPr="00A07316" w:rsidRDefault="006B0862" w:rsidP="003F1D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A07316">
              <w:rPr>
                <w:rFonts w:ascii="Times" w:hAnsi="Times"/>
                <w:color w:val="auto"/>
                <w:sz w:val="22"/>
                <w:szCs w:val="22"/>
              </w:rPr>
              <w:t>35.918</w:t>
            </w:r>
          </w:p>
        </w:tc>
      </w:tr>
    </w:tbl>
    <w:p w14:paraId="31570915" w14:textId="77777777" w:rsidR="006B0862" w:rsidRPr="003A39AD" w:rsidRDefault="006B0862" w:rsidP="006B0862">
      <w:pPr>
        <w:jc w:val="both"/>
        <w:rPr>
          <w:rFonts w:ascii="Times" w:hAnsi="Times"/>
          <w:sz w:val="20"/>
          <w:szCs w:val="20"/>
        </w:rPr>
      </w:pPr>
      <w:r w:rsidRPr="003A39AD">
        <w:rPr>
          <w:rFonts w:ascii="Times" w:hAnsi="Times"/>
          <w:sz w:val="20"/>
          <w:szCs w:val="20"/>
        </w:rPr>
        <w:t>Fonte: IPEADATA (2014)</w:t>
      </w:r>
    </w:p>
    <w:p w14:paraId="730433FB" w14:textId="77777777" w:rsidR="006B0862" w:rsidRPr="00A07316" w:rsidRDefault="006B0862" w:rsidP="006B0862">
      <w:pPr>
        <w:jc w:val="both"/>
        <w:rPr>
          <w:rFonts w:ascii="Times" w:hAnsi="Times"/>
          <w:sz w:val="16"/>
          <w:szCs w:val="16"/>
        </w:rPr>
      </w:pPr>
      <w:r w:rsidRPr="00A07316">
        <w:rPr>
          <w:rFonts w:ascii="Times" w:hAnsi="Times" w:cs="Times New Roman"/>
          <w:noProof/>
          <w:sz w:val="16"/>
          <w:szCs w:val="16"/>
        </w:rPr>
        <w:t xml:space="preserve">Nota: Pobreza extrema refere-se àqueles que auferem renda </w:t>
      </w:r>
      <w:r w:rsidRPr="00A07316">
        <w:rPr>
          <w:rFonts w:ascii="Times" w:hAnsi="Times" w:cs="Times New Roman"/>
          <w:i/>
          <w:iCs/>
          <w:noProof/>
          <w:sz w:val="16"/>
          <w:szCs w:val="16"/>
        </w:rPr>
        <w:t xml:space="preserve">per capita </w:t>
      </w:r>
      <w:r w:rsidRPr="00A07316">
        <w:rPr>
          <w:rFonts w:ascii="Times" w:hAnsi="Times" w:cs="Times New Roman"/>
          <w:noProof/>
          <w:sz w:val="16"/>
          <w:szCs w:val="16"/>
        </w:rPr>
        <w:t>inferior a R$ 67,07 por mês, em setembro de 2009, e para os anos anteriores deflacionados pelo Índice Nacional de Preços ao consumidor (INPC).</w:t>
      </w:r>
    </w:p>
    <w:p w14:paraId="034B1DB9" w14:textId="26817CE3" w:rsidR="006B0862" w:rsidRDefault="006B0862" w:rsidP="006B0862">
      <w:pPr>
        <w:spacing w:line="360" w:lineRule="auto"/>
        <w:ind w:firstLine="720"/>
        <w:jc w:val="both"/>
        <w:rPr>
          <w:rFonts w:ascii="Times" w:hAnsi="Times"/>
        </w:rPr>
      </w:pPr>
    </w:p>
    <w:p w14:paraId="21077964" w14:textId="77777777" w:rsidR="004306AB" w:rsidRDefault="004306AB" w:rsidP="004306AB">
      <w:pPr>
        <w:spacing w:line="360" w:lineRule="auto"/>
        <w:ind w:firstLine="720"/>
        <w:jc w:val="both"/>
        <w:rPr>
          <w:rFonts w:ascii="Times" w:hAnsi="Times"/>
        </w:rPr>
      </w:pPr>
      <w:r w:rsidRPr="006119A1">
        <w:rPr>
          <w:rFonts w:ascii="Times" w:hAnsi="Times" w:cs="Times New Roman"/>
          <w:noProof/>
        </w:rPr>
        <w:t xml:space="preserve">O avanço distributivo é também </w:t>
      </w:r>
      <w:r>
        <w:rPr>
          <w:rFonts w:ascii="Times" w:hAnsi="Times" w:cs="Times New Roman"/>
          <w:noProof/>
        </w:rPr>
        <w:t>comprovado</w:t>
      </w:r>
      <w:r w:rsidRPr="006119A1">
        <w:rPr>
          <w:rFonts w:ascii="Times" w:hAnsi="Times" w:cs="Times New Roman"/>
          <w:noProof/>
        </w:rPr>
        <w:t xml:space="preserve"> pelos indicadores de desigualdade de renda; a renda dos grupos tradicionalmente excluídos cresceu no  século XXI, </w:t>
      </w:r>
      <w:r>
        <w:rPr>
          <w:rFonts w:ascii="Times" w:hAnsi="Times" w:cs="Times New Roman"/>
          <w:noProof/>
        </w:rPr>
        <w:t>que resultou na</w:t>
      </w:r>
      <w:r w:rsidRPr="006119A1">
        <w:rPr>
          <w:rFonts w:ascii="Times" w:hAnsi="Times" w:cs="Times New Roman"/>
          <w:noProof/>
        </w:rPr>
        <w:t xml:space="preserve"> diminuição dessa desigualdade</w:t>
      </w:r>
      <w:r>
        <w:rPr>
          <w:rFonts w:ascii="Times" w:hAnsi="Times" w:cs="Times New Roman"/>
          <w:noProof/>
        </w:rPr>
        <w:t xml:space="preserve">. </w:t>
      </w:r>
      <w:r w:rsidRPr="006119A1">
        <w:rPr>
          <w:rFonts w:ascii="Times" w:hAnsi="Times" w:cs="Times New Roman"/>
          <w:noProof/>
        </w:rPr>
        <w:t xml:space="preserve">O </w:t>
      </w:r>
      <w:r>
        <w:rPr>
          <w:rFonts w:ascii="Times" w:hAnsi="Times" w:cs="Times New Roman"/>
          <w:noProof/>
        </w:rPr>
        <w:t>G</w:t>
      </w:r>
      <w:r w:rsidRPr="006119A1">
        <w:rPr>
          <w:rFonts w:ascii="Times" w:hAnsi="Times" w:cs="Times New Roman"/>
          <w:noProof/>
        </w:rPr>
        <w:t xml:space="preserve">ráfico 2 ilustra a desigualdade de renda nos estados da </w:t>
      </w:r>
      <w:r>
        <w:rPr>
          <w:rFonts w:ascii="Times" w:hAnsi="Times" w:cs="Times New Roman"/>
          <w:noProof/>
        </w:rPr>
        <w:t>R</w:t>
      </w:r>
      <w:r w:rsidRPr="006119A1">
        <w:rPr>
          <w:rFonts w:ascii="Times" w:hAnsi="Times" w:cs="Times New Roman"/>
          <w:noProof/>
        </w:rPr>
        <w:t>egião Sul do Brasil</w:t>
      </w:r>
      <w:r>
        <w:rPr>
          <w:rFonts w:ascii="Times" w:hAnsi="Times" w:cs="Times New Roman"/>
          <w:noProof/>
        </w:rPr>
        <w:t>.</w:t>
      </w:r>
    </w:p>
    <w:p w14:paraId="78034841" w14:textId="77777777" w:rsidR="007F0EFC" w:rsidRPr="00A07316" w:rsidRDefault="007F0EFC" w:rsidP="006B0862">
      <w:pPr>
        <w:spacing w:line="360" w:lineRule="auto"/>
        <w:ind w:firstLine="720"/>
        <w:jc w:val="both"/>
        <w:rPr>
          <w:rFonts w:ascii="Times" w:hAnsi="Times"/>
        </w:rPr>
      </w:pPr>
    </w:p>
    <w:p w14:paraId="24192515" w14:textId="5D24C394" w:rsidR="00AD7019" w:rsidRPr="006119A1" w:rsidRDefault="00AD7019" w:rsidP="006F707D">
      <w:pPr>
        <w:widowControl w:val="0"/>
        <w:autoSpaceDE w:val="0"/>
        <w:autoSpaceDN w:val="0"/>
        <w:adjustRightInd w:val="0"/>
        <w:spacing w:after="240"/>
        <w:jc w:val="both"/>
        <w:rPr>
          <w:rFonts w:ascii="Times" w:hAnsi="Times" w:cs="Times New Roman"/>
          <w:noProof/>
        </w:rPr>
      </w:pPr>
      <w:r w:rsidRPr="00492E9C">
        <w:rPr>
          <w:rFonts w:ascii="Times" w:hAnsi="Times" w:cs="Times New Roman"/>
          <w:noProof/>
        </w:rPr>
        <w:lastRenderedPageBreak/>
        <w:t xml:space="preserve">Gráfico </w:t>
      </w:r>
      <w:r w:rsidR="00F43F14" w:rsidRPr="00492E9C">
        <w:rPr>
          <w:rFonts w:ascii="Times" w:hAnsi="Times" w:cs="Times New Roman"/>
          <w:noProof/>
        </w:rPr>
        <w:t>2</w:t>
      </w:r>
      <w:r w:rsidR="00492E9C">
        <w:rPr>
          <w:rFonts w:ascii="Times" w:hAnsi="Times" w:cs="Times New Roman"/>
          <w:noProof/>
        </w:rPr>
        <w:t xml:space="preserve"> -</w:t>
      </w:r>
      <w:r w:rsidRPr="006119A1">
        <w:rPr>
          <w:rFonts w:ascii="Times" w:hAnsi="Times" w:cs="Times New Roman"/>
          <w:noProof/>
        </w:rPr>
        <w:t xml:space="preserve"> Porcentual da renda aprop</w:t>
      </w:r>
      <w:r w:rsidR="00BA771D">
        <w:rPr>
          <w:rFonts w:ascii="Times" w:hAnsi="Times" w:cs="Times New Roman"/>
          <w:noProof/>
        </w:rPr>
        <w:t>r</w:t>
      </w:r>
      <w:r w:rsidRPr="006119A1">
        <w:rPr>
          <w:rFonts w:ascii="Times" w:hAnsi="Times" w:cs="Times New Roman"/>
          <w:noProof/>
        </w:rPr>
        <w:t>iada pelo 20% mais ricos e pelos 80% mais pobres</w:t>
      </w:r>
      <w:r w:rsidR="00F602F0">
        <w:rPr>
          <w:rFonts w:ascii="Times" w:hAnsi="Times" w:cs="Times New Roman"/>
          <w:noProof/>
        </w:rPr>
        <w:t>,</w:t>
      </w:r>
      <w:r w:rsidRPr="006119A1">
        <w:rPr>
          <w:rFonts w:ascii="Times" w:hAnsi="Times" w:cs="Times New Roman"/>
          <w:noProof/>
        </w:rPr>
        <w:t xml:space="preserve"> nos anos 1991, 2000, 2010</w:t>
      </w:r>
      <w:r w:rsidR="00BA771D">
        <w:rPr>
          <w:rFonts w:ascii="Times" w:hAnsi="Times" w:cs="Times New Roman"/>
          <w:noProof/>
        </w:rPr>
        <w:t>, nos estados da região sul.</w:t>
      </w:r>
    </w:p>
    <w:p w14:paraId="73B05258" w14:textId="4D37A20C" w:rsidR="00CC1702" w:rsidRDefault="00AD7019" w:rsidP="00CC1702">
      <w:pPr>
        <w:widowControl w:val="0"/>
        <w:autoSpaceDE w:val="0"/>
        <w:autoSpaceDN w:val="0"/>
        <w:adjustRightInd w:val="0"/>
        <w:spacing w:after="240" w:line="360" w:lineRule="auto"/>
        <w:jc w:val="both"/>
        <w:rPr>
          <w:rFonts w:ascii="Times" w:hAnsi="Times" w:cs="Times New Roman"/>
          <w:noProof/>
        </w:rPr>
      </w:pPr>
      <w:r w:rsidRPr="006119A1">
        <w:rPr>
          <w:rFonts w:ascii="Times" w:hAnsi="Times"/>
          <w:noProof/>
          <w:lang w:eastAsia="pt-BR"/>
        </w:rPr>
        <w:drawing>
          <wp:inline distT="0" distB="0" distL="0" distR="0" wp14:anchorId="52211760" wp14:editId="5A8AAF64">
            <wp:extent cx="5654699" cy="2493034"/>
            <wp:effectExtent l="19050" t="0" r="22201" b="2516"/>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3A39AD">
        <w:rPr>
          <w:rFonts w:ascii="Times" w:hAnsi="Times" w:cs="Times New Roman"/>
          <w:noProof/>
          <w:sz w:val="22"/>
          <w:szCs w:val="22"/>
        </w:rPr>
        <w:t>Fonte: I</w:t>
      </w:r>
      <w:r w:rsidR="004306AB">
        <w:rPr>
          <w:rFonts w:ascii="Times" w:hAnsi="Times" w:cs="Times New Roman"/>
          <w:noProof/>
          <w:sz w:val="22"/>
          <w:szCs w:val="22"/>
        </w:rPr>
        <w:t>PEADATA</w:t>
      </w:r>
      <w:r w:rsidRPr="003A39AD">
        <w:rPr>
          <w:rFonts w:ascii="Times" w:hAnsi="Times" w:cs="Times New Roman"/>
          <w:noProof/>
          <w:sz w:val="22"/>
          <w:szCs w:val="22"/>
        </w:rPr>
        <w:t>(2014)</w:t>
      </w:r>
      <w:r w:rsidR="004F167B">
        <w:rPr>
          <w:rFonts w:ascii="Times" w:hAnsi="Times" w:cs="Times New Roman"/>
          <w:noProof/>
        </w:rPr>
        <w:t xml:space="preserve"> </w:t>
      </w:r>
    </w:p>
    <w:p w14:paraId="4E53F141" w14:textId="2F7FB319" w:rsidR="00CC1702" w:rsidRPr="00492E9C" w:rsidRDefault="00CC1702" w:rsidP="00CC1702">
      <w:pPr>
        <w:widowControl w:val="0"/>
        <w:autoSpaceDE w:val="0"/>
        <w:autoSpaceDN w:val="0"/>
        <w:adjustRightInd w:val="0"/>
        <w:spacing w:after="240" w:line="360" w:lineRule="auto"/>
        <w:contextualSpacing/>
        <w:jc w:val="both"/>
        <w:rPr>
          <w:rFonts w:ascii="Times" w:hAnsi="Times" w:cs="Times New Roman"/>
          <w:b/>
          <w:noProof/>
        </w:rPr>
      </w:pPr>
      <w:r w:rsidRPr="00492E9C">
        <w:rPr>
          <w:rFonts w:ascii="Times" w:hAnsi="Times" w:cs="Times New Roman"/>
          <w:b/>
          <w:noProof/>
        </w:rPr>
        <w:t>2.1 Desigualdade e pobreza no contexto macroeconômico</w:t>
      </w:r>
    </w:p>
    <w:p w14:paraId="055B2B0D" w14:textId="77777777" w:rsidR="00C4614B" w:rsidRPr="006119A1" w:rsidRDefault="001406F5" w:rsidP="00347B57">
      <w:pPr>
        <w:widowControl w:val="0"/>
        <w:autoSpaceDE w:val="0"/>
        <w:autoSpaceDN w:val="0"/>
        <w:adjustRightInd w:val="0"/>
        <w:spacing w:after="240" w:line="360" w:lineRule="auto"/>
        <w:ind w:firstLine="720"/>
        <w:contextualSpacing/>
        <w:jc w:val="both"/>
        <w:rPr>
          <w:rFonts w:ascii="Times" w:hAnsi="Times" w:cs="Times New Roman"/>
          <w:noProof/>
        </w:rPr>
      </w:pPr>
      <w:r>
        <w:rPr>
          <w:rFonts w:ascii="Times" w:hAnsi="Times" w:cs="Times New Roman"/>
          <w:noProof/>
        </w:rPr>
        <w:t>Historicamente</w:t>
      </w:r>
      <w:r w:rsidR="005F612A">
        <w:rPr>
          <w:rFonts w:ascii="Times" w:hAnsi="Times" w:cs="Times New Roman"/>
          <w:noProof/>
        </w:rPr>
        <w:t>,</w:t>
      </w:r>
      <w:r>
        <w:rPr>
          <w:rFonts w:ascii="Times" w:hAnsi="Times" w:cs="Times New Roman"/>
          <w:noProof/>
        </w:rPr>
        <w:t xml:space="preserve"> a</w:t>
      </w:r>
      <w:r w:rsidR="00C4614B" w:rsidRPr="006119A1">
        <w:rPr>
          <w:rFonts w:ascii="Times" w:hAnsi="Times" w:cs="Times New Roman"/>
          <w:noProof/>
        </w:rPr>
        <w:t xml:space="preserve"> desigualdade e a pobreza no Brasil constituem temática de discussões na década de 1970</w:t>
      </w:r>
      <w:r w:rsidR="005F612A">
        <w:rPr>
          <w:rFonts w:ascii="Times" w:hAnsi="Times" w:cs="Times New Roman"/>
          <w:noProof/>
        </w:rPr>
        <w:t>, a</w:t>
      </w:r>
      <w:r w:rsidR="00C4614B" w:rsidRPr="006119A1">
        <w:rPr>
          <w:rFonts w:ascii="Times" w:hAnsi="Times" w:cs="Times New Roman"/>
          <w:noProof/>
        </w:rPr>
        <w:t>ssociada à política de crescimento econômico acelerado</w:t>
      </w:r>
      <w:r w:rsidR="005F612A">
        <w:rPr>
          <w:rFonts w:ascii="Times" w:hAnsi="Times" w:cs="Times New Roman"/>
          <w:noProof/>
        </w:rPr>
        <w:t xml:space="preserve"> que</w:t>
      </w:r>
      <w:r w:rsidR="00C4614B" w:rsidRPr="006119A1">
        <w:rPr>
          <w:rFonts w:ascii="Times" w:hAnsi="Times" w:cs="Times New Roman"/>
          <w:noProof/>
        </w:rPr>
        <w:t xml:space="preserve"> beneficiou a classe de alta renda e à relevância da educação como fator explicativo das diferenças de renda. </w:t>
      </w:r>
      <w:r w:rsidR="00A67D65">
        <w:rPr>
          <w:rFonts w:ascii="Times" w:hAnsi="Times" w:cs="Times New Roman"/>
          <w:noProof/>
        </w:rPr>
        <w:t>A</w:t>
      </w:r>
      <w:r w:rsidR="00C4614B" w:rsidRPr="006119A1">
        <w:rPr>
          <w:rFonts w:ascii="Times" w:hAnsi="Times" w:cs="Times New Roman"/>
          <w:noProof/>
        </w:rPr>
        <w:t xml:space="preserve"> desigualdade da distribuição de renda no país atingi</w:t>
      </w:r>
      <w:r w:rsidR="005F612A">
        <w:rPr>
          <w:rFonts w:ascii="Times" w:hAnsi="Times" w:cs="Times New Roman"/>
          <w:noProof/>
        </w:rPr>
        <w:t>u</w:t>
      </w:r>
      <w:r w:rsidR="00C4614B" w:rsidRPr="006119A1">
        <w:rPr>
          <w:rFonts w:ascii="Times" w:hAnsi="Times" w:cs="Times New Roman"/>
          <w:noProof/>
        </w:rPr>
        <w:t xml:space="preserve"> seu ápice em 1989</w:t>
      </w:r>
      <w:r w:rsidR="00A67D65">
        <w:rPr>
          <w:rFonts w:ascii="Times" w:hAnsi="Times" w:cs="Times New Roman"/>
          <w:noProof/>
        </w:rPr>
        <w:t xml:space="preserve"> (último ano do Governo Sarney), medida pelo</w:t>
      </w:r>
      <w:r w:rsidR="00C4614B" w:rsidRPr="006119A1">
        <w:rPr>
          <w:rFonts w:ascii="Times" w:hAnsi="Times" w:cs="Times New Roman"/>
          <w:noProof/>
        </w:rPr>
        <w:t xml:space="preserve"> índice de Gini dos rendimentos das pessoas </w:t>
      </w:r>
      <w:r w:rsidR="00A67D65">
        <w:rPr>
          <w:rFonts w:ascii="Times" w:hAnsi="Times" w:cs="Times New Roman"/>
          <w:noProof/>
        </w:rPr>
        <w:t xml:space="preserve">que </w:t>
      </w:r>
      <w:r w:rsidR="00C4614B" w:rsidRPr="006119A1">
        <w:rPr>
          <w:rFonts w:ascii="Times" w:hAnsi="Times" w:cs="Times New Roman"/>
          <w:noProof/>
        </w:rPr>
        <w:t>atingiu 0,63</w:t>
      </w:r>
      <w:r w:rsidR="00804CAF" w:rsidRPr="00D7599C">
        <w:rPr>
          <w:rFonts w:ascii="Times" w:hAnsi="Times" w:cs="Times"/>
        </w:rPr>
        <w:t xml:space="preserve"> </w:t>
      </w:r>
      <w:r w:rsidR="00C4614B" w:rsidRPr="006119A1">
        <w:rPr>
          <w:rFonts w:ascii="Times" w:hAnsi="Times" w:cs="Times New Roman"/>
          <w:noProof/>
        </w:rPr>
        <w:t>(HOFFMAN</w:t>
      </w:r>
      <w:r w:rsidR="00BF4C1A" w:rsidRPr="006119A1">
        <w:rPr>
          <w:rFonts w:ascii="Times" w:hAnsi="Times" w:cs="Times New Roman"/>
          <w:noProof/>
        </w:rPr>
        <w:t>N</w:t>
      </w:r>
      <w:r w:rsidR="00C4614B" w:rsidRPr="006119A1">
        <w:rPr>
          <w:rFonts w:ascii="Times" w:hAnsi="Times" w:cs="Times New Roman"/>
          <w:noProof/>
        </w:rPr>
        <w:t>, 2002).</w:t>
      </w:r>
      <w:r w:rsidR="004F167B">
        <w:rPr>
          <w:rFonts w:ascii="Times" w:hAnsi="Times" w:cs="Times New Roman"/>
          <w:noProof/>
        </w:rPr>
        <w:t xml:space="preserve"> </w:t>
      </w:r>
    </w:p>
    <w:p w14:paraId="158F3C6F" w14:textId="2E17C821" w:rsidR="00FF4AB9" w:rsidRPr="006119A1" w:rsidRDefault="008C56A9" w:rsidP="00347B57">
      <w:pPr>
        <w:spacing w:line="360" w:lineRule="auto"/>
        <w:ind w:firstLine="720"/>
        <w:jc w:val="both"/>
        <w:rPr>
          <w:rFonts w:ascii="Times" w:hAnsi="Times" w:cs="Times New Roman"/>
          <w:noProof/>
        </w:rPr>
      </w:pPr>
      <w:r w:rsidRPr="006119A1">
        <w:rPr>
          <w:rFonts w:ascii="Times" w:hAnsi="Times" w:cs="Times New Roman"/>
          <w:noProof/>
        </w:rPr>
        <w:t>Nas décadas</w:t>
      </w:r>
      <w:r w:rsidR="00A97482" w:rsidRPr="006119A1">
        <w:rPr>
          <w:rFonts w:ascii="Times" w:hAnsi="Times" w:cs="Times New Roman"/>
          <w:noProof/>
        </w:rPr>
        <w:t xml:space="preserve"> </w:t>
      </w:r>
      <w:r w:rsidRPr="006119A1">
        <w:rPr>
          <w:rFonts w:ascii="Times" w:hAnsi="Times" w:cs="Times New Roman"/>
          <w:noProof/>
        </w:rPr>
        <w:t xml:space="preserve">de </w:t>
      </w:r>
      <w:r w:rsidR="003A39AD">
        <w:rPr>
          <w:rFonts w:ascii="Times" w:hAnsi="Times" w:cs="Times New Roman"/>
          <w:noProof/>
        </w:rPr>
        <w:t>19</w:t>
      </w:r>
      <w:r w:rsidRPr="006119A1">
        <w:rPr>
          <w:rFonts w:ascii="Times" w:hAnsi="Times" w:cs="Times New Roman"/>
          <w:noProof/>
        </w:rPr>
        <w:t>70, 80 e 90, a</w:t>
      </w:r>
      <w:r w:rsidR="00A1244A" w:rsidRPr="006119A1">
        <w:rPr>
          <w:rFonts w:ascii="Times" w:hAnsi="Times" w:cs="Times New Roman"/>
          <w:noProof/>
        </w:rPr>
        <w:t xml:space="preserve"> </w:t>
      </w:r>
      <w:r w:rsidRPr="006119A1">
        <w:rPr>
          <w:rFonts w:ascii="Times" w:hAnsi="Times" w:cs="Times New Roman"/>
          <w:noProof/>
        </w:rPr>
        <w:t>explicação para a desigualdade estava em torno da educação e de variáveis macroeconômicas, como crescimento e inflação. Nos anos 2000, adiciona-se a preocupação com as variáveis sociais e do trabalho.</w:t>
      </w:r>
      <w:r w:rsidR="00167DF1">
        <w:rPr>
          <w:rFonts w:ascii="Times" w:hAnsi="Times" w:cs="Times New Roman"/>
          <w:noProof/>
        </w:rPr>
        <w:t xml:space="preserve"> </w:t>
      </w:r>
      <w:r w:rsidR="00FE36B3" w:rsidRPr="006119A1">
        <w:rPr>
          <w:rFonts w:ascii="Times" w:hAnsi="Times" w:cs="Times New Roman"/>
          <w:noProof/>
        </w:rPr>
        <w:t>Segundo Neri (2</w:t>
      </w:r>
      <w:r w:rsidR="00FF4AB9" w:rsidRPr="006119A1">
        <w:rPr>
          <w:rFonts w:ascii="Times" w:hAnsi="Times" w:cs="Times New Roman"/>
          <w:noProof/>
        </w:rPr>
        <w:t xml:space="preserve">011), no governo FHC, </w:t>
      </w:r>
      <w:r w:rsidR="006F707D">
        <w:rPr>
          <w:rFonts w:ascii="Times" w:hAnsi="Times" w:cs="Times New Roman"/>
          <w:noProof/>
        </w:rPr>
        <w:t>a melhora</w:t>
      </w:r>
      <w:r w:rsidR="00FF4AB9" w:rsidRPr="006119A1">
        <w:rPr>
          <w:rFonts w:ascii="Times" w:hAnsi="Times" w:cs="Times New Roman"/>
          <w:noProof/>
        </w:rPr>
        <w:t xml:space="preserve"> se deu com a implantação do Plano Real</w:t>
      </w:r>
      <w:r w:rsidR="00886F5A" w:rsidRPr="006119A1">
        <w:rPr>
          <w:rFonts w:ascii="Times" w:hAnsi="Times" w:cs="Times New Roman"/>
          <w:noProof/>
        </w:rPr>
        <w:t xml:space="preserve"> e a r</w:t>
      </w:r>
      <w:r w:rsidR="00FF4AB9" w:rsidRPr="006119A1">
        <w:rPr>
          <w:rFonts w:ascii="Times" w:hAnsi="Times" w:cs="Times New Roman"/>
          <w:noProof/>
        </w:rPr>
        <w:t>edução do imposto inflacionário</w:t>
      </w:r>
      <w:r w:rsidR="00D30473" w:rsidRPr="006119A1">
        <w:rPr>
          <w:rFonts w:ascii="Times" w:hAnsi="Times" w:cs="Times New Roman"/>
          <w:noProof/>
        </w:rPr>
        <w:t>,</w:t>
      </w:r>
      <w:r w:rsidR="00FF4AB9" w:rsidRPr="006119A1">
        <w:rPr>
          <w:rFonts w:ascii="Times" w:hAnsi="Times" w:cs="Times New Roman"/>
          <w:noProof/>
        </w:rPr>
        <w:t xml:space="preserve"> e</w:t>
      </w:r>
      <w:r w:rsidR="00D30473" w:rsidRPr="006119A1">
        <w:rPr>
          <w:rFonts w:ascii="Times" w:hAnsi="Times" w:cs="Times New Roman"/>
          <w:noProof/>
        </w:rPr>
        <w:t>nquanto,</w:t>
      </w:r>
      <w:r w:rsidR="00FF4AB9" w:rsidRPr="006119A1">
        <w:rPr>
          <w:rFonts w:ascii="Times" w:hAnsi="Times" w:cs="Times New Roman"/>
          <w:noProof/>
        </w:rPr>
        <w:t xml:space="preserve"> no período de governo de Lula</w:t>
      </w:r>
      <w:r w:rsidR="00D30473" w:rsidRPr="006119A1">
        <w:rPr>
          <w:rFonts w:ascii="Times" w:hAnsi="Times" w:cs="Times New Roman"/>
          <w:noProof/>
        </w:rPr>
        <w:t>,</w:t>
      </w:r>
      <w:r w:rsidR="00FF4AB9" w:rsidRPr="006119A1">
        <w:rPr>
          <w:rFonts w:ascii="Times" w:hAnsi="Times" w:cs="Times New Roman"/>
          <w:noProof/>
        </w:rPr>
        <w:t xml:space="preserve"> </w:t>
      </w:r>
      <w:r w:rsidR="00D30473" w:rsidRPr="006119A1">
        <w:rPr>
          <w:rFonts w:ascii="Times" w:hAnsi="Times" w:cs="Times New Roman"/>
          <w:noProof/>
        </w:rPr>
        <w:t>aconteceu</w:t>
      </w:r>
      <w:r w:rsidR="00FF4AB9" w:rsidRPr="006119A1">
        <w:rPr>
          <w:rFonts w:ascii="Times" w:hAnsi="Times" w:cs="Times New Roman"/>
          <w:noProof/>
        </w:rPr>
        <w:t xml:space="preserve"> principalmente </w:t>
      </w:r>
      <w:r w:rsidR="00D30473" w:rsidRPr="006119A1">
        <w:rPr>
          <w:rFonts w:ascii="Times" w:hAnsi="Times" w:cs="Times New Roman"/>
          <w:noProof/>
        </w:rPr>
        <w:t>pel</w:t>
      </w:r>
      <w:r w:rsidR="00FF4AB9" w:rsidRPr="006119A1">
        <w:rPr>
          <w:rFonts w:ascii="Times" w:hAnsi="Times" w:cs="Times New Roman"/>
          <w:noProof/>
        </w:rPr>
        <w:t xml:space="preserve">as transferências e programas sociais destinados ao estrato </w:t>
      </w:r>
      <w:r w:rsidR="00D30473" w:rsidRPr="006119A1">
        <w:rPr>
          <w:rFonts w:ascii="Times" w:hAnsi="Times" w:cs="Times New Roman"/>
          <w:noProof/>
        </w:rPr>
        <w:t xml:space="preserve">mais pobre </w:t>
      </w:r>
      <w:r w:rsidR="00FF4AB9" w:rsidRPr="006119A1">
        <w:rPr>
          <w:rFonts w:ascii="Times" w:hAnsi="Times" w:cs="Times New Roman"/>
          <w:noProof/>
        </w:rPr>
        <w:t xml:space="preserve">da população. </w:t>
      </w:r>
    </w:p>
    <w:p w14:paraId="330E3655" w14:textId="77777777" w:rsidR="00A529F4" w:rsidRPr="006119A1" w:rsidRDefault="00FE32C3" w:rsidP="00347B57">
      <w:pPr>
        <w:spacing w:line="360" w:lineRule="auto"/>
        <w:ind w:firstLine="720"/>
        <w:jc w:val="both"/>
        <w:rPr>
          <w:rFonts w:ascii="Times" w:hAnsi="Times" w:cs="Times"/>
        </w:rPr>
      </w:pPr>
      <w:r w:rsidRPr="006119A1">
        <w:rPr>
          <w:rFonts w:ascii="Times" w:hAnsi="Times" w:cs="Lucida Grande"/>
          <w:bCs/>
        </w:rPr>
        <w:t xml:space="preserve">Para </w:t>
      </w:r>
      <w:r w:rsidRPr="003A39AD">
        <w:rPr>
          <w:rFonts w:ascii="Times" w:hAnsi="Times" w:cs="Times"/>
        </w:rPr>
        <w:t>Barros et al. (</w:t>
      </w:r>
      <w:r w:rsidRPr="006119A1">
        <w:rPr>
          <w:rFonts w:ascii="Times" w:hAnsi="Times" w:cs="Times"/>
        </w:rPr>
        <w:t>2006b</w:t>
      </w:r>
      <w:r w:rsidR="006D4DFE" w:rsidRPr="006119A1">
        <w:rPr>
          <w:rFonts w:ascii="Times" w:hAnsi="Times" w:cs="Times"/>
        </w:rPr>
        <w:t>, apud CARVALHAES et al., 2012</w:t>
      </w:r>
      <w:r w:rsidRPr="006119A1">
        <w:rPr>
          <w:rFonts w:ascii="Times" w:hAnsi="Times" w:cs="Lucida Grande"/>
          <w:bCs/>
        </w:rPr>
        <w:t xml:space="preserve">), a estabilização </w:t>
      </w:r>
      <w:r w:rsidR="00FF4AB9" w:rsidRPr="006119A1">
        <w:rPr>
          <w:rFonts w:ascii="Times" w:hAnsi="Times" w:cs="Lucida Grande"/>
          <w:bCs/>
        </w:rPr>
        <w:t>macroeconômica</w:t>
      </w:r>
      <w:r w:rsidRPr="006119A1">
        <w:rPr>
          <w:rFonts w:ascii="Times" w:hAnsi="Times" w:cs="Lucida Grande"/>
          <w:bCs/>
        </w:rPr>
        <w:t xml:space="preserve"> e o controle da inflação estão </w:t>
      </w:r>
      <w:r w:rsidR="00E41550" w:rsidRPr="006119A1">
        <w:rPr>
          <w:rFonts w:ascii="Times" w:hAnsi="Times" w:cs="Lucida Grande"/>
          <w:bCs/>
        </w:rPr>
        <w:t xml:space="preserve">igualmente </w:t>
      </w:r>
      <w:r w:rsidRPr="006119A1">
        <w:rPr>
          <w:rFonts w:ascii="Times" w:hAnsi="Times" w:cs="Lucida Grande"/>
          <w:bCs/>
        </w:rPr>
        <w:t xml:space="preserve">entre as principais causas do declínio da desigualdade de renda, mas </w:t>
      </w:r>
      <w:r w:rsidR="00E41550" w:rsidRPr="006119A1">
        <w:rPr>
          <w:rFonts w:ascii="Times" w:hAnsi="Times" w:cs="Lucida Grande"/>
          <w:bCs/>
        </w:rPr>
        <w:t xml:space="preserve">se </w:t>
      </w:r>
      <w:r w:rsidRPr="006119A1">
        <w:rPr>
          <w:rFonts w:ascii="Times" w:hAnsi="Times" w:cs="Lucida Grande"/>
          <w:bCs/>
        </w:rPr>
        <w:t xml:space="preserve">tornou claro que apenas o </w:t>
      </w:r>
      <w:r w:rsidRPr="006119A1">
        <w:rPr>
          <w:rFonts w:ascii="Times" w:hAnsi="Times" w:cs="Times"/>
        </w:rPr>
        <w:t>crescimento econômico não poderia ser responsável pela distribuição da renda. A ampliação das oportunidades educacionais dos</w:t>
      </w:r>
      <w:r w:rsidR="00493F1B" w:rsidRPr="006119A1">
        <w:rPr>
          <w:rFonts w:ascii="Times" w:hAnsi="Times" w:cs="Times"/>
        </w:rPr>
        <w:t xml:space="preserve"> níveis mais baixos de renda e a redução do</w:t>
      </w:r>
      <w:r w:rsidRPr="006119A1">
        <w:rPr>
          <w:rFonts w:ascii="Times" w:hAnsi="Times" w:cs="Times"/>
        </w:rPr>
        <w:t xml:space="preserve">s diferenciais de </w:t>
      </w:r>
      <w:r w:rsidR="0015270F" w:rsidRPr="006119A1">
        <w:rPr>
          <w:rFonts w:ascii="Times" w:hAnsi="Times" w:cs="Times"/>
        </w:rPr>
        <w:t>remuneração</w:t>
      </w:r>
      <w:r w:rsidRPr="006119A1">
        <w:rPr>
          <w:rFonts w:ascii="Times" w:hAnsi="Times" w:cs="Times"/>
        </w:rPr>
        <w:t xml:space="preserve"> explica</w:t>
      </w:r>
      <w:r w:rsidR="00493F1B" w:rsidRPr="006119A1">
        <w:rPr>
          <w:rFonts w:ascii="Times" w:hAnsi="Times" w:cs="Times"/>
        </w:rPr>
        <w:t>m</w:t>
      </w:r>
      <w:r w:rsidRPr="006119A1">
        <w:rPr>
          <w:rFonts w:ascii="Times" w:hAnsi="Times" w:cs="Times"/>
        </w:rPr>
        <w:t xml:space="preserve"> cerca de 40% da queda da desigualdade de renda</w:t>
      </w:r>
      <w:r w:rsidR="00E41550" w:rsidRPr="006119A1">
        <w:rPr>
          <w:rFonts w:ascii="Times" w:hAnsi="Times" w:cs="Times"/>
        </w:rPr>
        <w:t>,</w:t>
      </w:r>
      <w:r w:rsidRPr="006119A1">
        <w:rPr>
          <w:rFonts w:ascii="Times" w:hAnsi="Times" w:cs="Times"/>
        </w:rPr>
        <w:t xml:space="preserve"> entre 2001 e 2005. </w:t>
      </w:r>
    </w:p>
    <w:p w14:paraId="434723B6" w14:textId="0702215C" w:rsidR="00852958" w:rsidRPr="006119A1" w:rsidRDefault="009B7A07" w:rsidP="00691DA2">
      <w:pPr>
        <w:widowControl w:val="0"/>
        <w:autoSpaceDE w:val="0"/>
        <w:autoSpaceDN w:val="0"/>
        <w:adjustRightInd w:val="0"/>
        <w:spacing w:line="360" w:lineRule="auto"/>
        <w:ind w:firstLine="720"/>
        <w:jc w:val="both"/>
        <w:rPr>
          <w:rFonts w:ascii="Times" w:hAnsi="Times" w:cs="Times"/>
        </w:rPr>
      </w:pPr>
      <w:r w:rsidRPr="006119A1">
        <w:rPr>
          <w:rFonts w:ascii="Times" w:hAnsi="Times"/>
        </w:rPr>
        <w:t xml:space="preserve">Ribeiro </w:t>
      </w:r>
      <w:r w:rsidR="000D4CE8" w:rsidRPr="006119A1">
        <w:rPr>
          <w:rFonts w:ascii="Times" w:hAnsi="Times"/>
        </w:rPr>
        <w:t xml:space="preserve">e </w:t>
      </w:r>
      <w:r w:rsidRPr="006119A1">
        <w:rPr>
          <w:rFonts w:ascii="Times" w:hAnsi="Times"/>
        </w:rPr>
        <w:t xml:space="preserve">Neder </w:t>
      </w:r>
      <w:r w:rsidR="000D4CE8" w:rsidRPr="006119A1">
        <w:rPr>
          <w:rFonts w:ascii="Times" w:hAnsi="Times"/>
        </w:rPr>
        <w:t>(2011)</w:t>
      </w:r>
      <w:r w:rsidR="00691DA2">
        <w:rPr>
          <w:rFonts w:ascii="Times" w:hAnsi="Times"/>
        </w:rPr>
        <w:t xml:space="preserve"> </w:t>
      </w:r>
      <w:r w:rsidR="000D4CE8" w:rsidRPr="006119A1">
        <w:rPr>
          <w:rFonts w:ascii="Times" w:hAnsi="Times"/>
        </w:rPr>
        <w:t>aponta</w:t>
      </w:r>
      <w:r w:rsidR="00691DA2">
        <w:rPr>
          <w:rFonts w:ascii="Times" w:hAnsi="Times"/>
        </w:rPr>
        <w:t>m</w:t>
      </w:r>
      <w:r w:rsidR="000D4CE8" w:rsidRPr="006119A1">
        <w:rPr>
          <w:rFonts w:ascii="Times" w:hAnsi="Times"/>
        </w:rPr>
        <w:t xml:space="preserve"> as seguintes variáveis como mais importantes na </w:t>
      </w:r>
      <w:r w:rsidR="000D4CE8" w:rsidRPr="006119A1">
        <w:rPr>
          <w:rFonts w:ascii="Times" w:hAnsi="Times"/>
        </w:rPr>
        <w:lastRenderedPageBreak/>
        <w:t xml:space="preserve">explicação da desigualdade </w:t>
      </w:r>
      <w:r w:rsidR="00852958" w:rsidRPr="006119A1">
        <w:rPr>
          <w:rFonts w:ascii="Times" w:hAnsi="Times"/>
        </w:rPr>
        <w:t xml:space="preserve">de renda </w:t>
      </w:r>
      <w:r w:rsidR="000D4CE8" w:rsidRPr="006119A1">
        <w:rPr>
          <w:rFonts w:ascii="Times" w:hAnsi="Times"/>
        </w:rPr>
        <w:t>total</w:t>
      </w:r>
      <w:r w:rsidR="00852958" w:rsidRPr="006119A1">
        <w:rPr>
          <w:rFonts w:ascii="Times" w:hAnsi="Times"/>
        </w:rPr>
        <w:t xml:space="preserve"> no Brasil</w:t>
      </w:r>
      <w:r w:rsidR="000D4CE8" w:rsidRPr="006119A1">
        <w:rPr>
          <w:rFonts w:ascii="Times" w:hAnsi="Times"/>
        </w:rPr>
        <w:t xml:space="preserve">: anos de estudo, posição na ocupação, idade e gênero. </w:t>
      </w:r>
      <w:r w:rsidR="00581DC2" w:rsidRPr="006119A1">
        <w:rPr>
          <w:rFonts w:ascii="Times" w:hAnsi="Times" w:cs="Times"/>
        </w:rPr>
        <w:t xml:space="preserve">O aumento médio dos anos de estudo </w:t>
      </w:r>
      <w:r w:rsidR="00581DC2">
        <w:rPr>
          <w:rFonts w:ascii="Times" w:hAnsi="Times" w:cs="Times"/>
        </w:rPr>
        <w:t xml:space="preserve">também </w:t>
      </w:r>
      <w:r w:rsidR="00581DC2" w:rsidRPr="006119A1">
        <w:rPr>
          <w:rFonts w:ascii="Times" w:hAnsi="Times" w:cs="Times"/>
        </w:rPr>
        <w:t>foi a variável que mais contribuiu para diminuir a pobreza, principalmente a extrema pobreza</w:t>
      </w:r>
      <w:r w:rsidR="0026342D">
        <w:rPr>
          <w:rFonts w:ascii="Times" w:hAnsi="Times" w:cs="Times"/>
        </w:rPr>
        <w:t xml:space="preserve"> para Marinho, Linhares e Campelo(2011)</w:t>
      </w:r>
      <w:r w:rsidR="00581DC2">
        <w:rPr>
          <w:rFonts w:ascii="Times" w:hAnsi="Times" w:cs="Times"/>
        </w:rPr>
        <w:t>.</w:t>
      </w:r>
    </w:p>
    <w:p w14:paraId="1B31C5E0" w14:textId="77777777" w:rsidR="007A053E" w:rsidRPr="006119A1" w:rsidRDefault="00852958" w:rsidP="00347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s="Times"/>
        </w:rPr>
      </w:pPr>
      <w:r w:rsidRPr="006119A1">
        <w:rPr>
          <w:rFonts w:ascii="Times" w:hAnsi="Times" w:cs="Times"/>
        </w:rPr>
        <w:tab/>
        <w:t>D</w:t>
      </w:r>
      <w:r w:rsidR="000D4CE8" w:rsidRPr="006119A1">
        <w:rPr>
          <w:rFonts w:ascii="Times" w:hAnsi="Times" w:cs="Times"/>
        </w:rPr>
        <w:t xml:space="preserve">e acordo com Reis e Ramos (2011), </w:t>
      </w:r>
      <w:r w:rsidR="00412530" w:rsidRPr="006119A1">
        <w:rPr>
          <w:rFonts w:ascii="Times" w:hAnsi="Times" w:cs="Times"/>
        </w:rPr>
        <w:t>a estrutura educacional da família parece ter um papel importante nesse processo de transmissão da desigualdade de rendimentos entre gerações, pois trabalhadores cujos pais ou mães t</w:t>
      </w:r>
      <w:r w:rsidR="009B7A07">
        <w:rPr>
          <w:rFonts w:ascii="Times" w:hAnsi="Times" w:cs="Times"/>
        </w:rPr>
        <w:t>ê</w:t>
      </w:r>
      <w:r w:rsidR="00412530" w:rsidRPr="006119A1">
        <w:rPr>
          <w:rFonts w:ascii="Times" w:hAnsi="Times" w:cs="Times"/>
        </w:rPr>
        <w:t>m níveis mais altos de educaçã</w:t>
      </w:r>
      <w:r w:rsidRPr="006119A1">
        <w:rPr>
          <w:rFonts w:ascii="Times" w:hAnsi="Times" w:cs="Times"/>
        </w:rPr>
        <w:t>o</w:t>
      </w:r>
      <w:r w:rsidR="00412530" w:rsidRPr="006119A1">
        <w:rPr>
          <w:rFonts w:ascii="Times" w:hAnsi="Times" w:cs="Times"/>
        </w:rPr>
        <w:t xml:space="preserve"> tendem </w:t>
      </w:r>
      <w:r w:rsidRPr="006119A1">
        <w:rPr>
          <w:rFonts w:ascii="Times" w:hAnsi="Times" w:cs="Times"/>
        </w:rPr>
        <w:t xml:space="preserve">a </w:t>
      </w:r>
      <w:r w:rsidR="00412530" w:rsidRPr="006119A1">
        <w:rPr>
          <w:rFonts w:ascii="Times" w:hAnsi="Times" w:cs="Times"/>
        </w:rPr>
        <w:t>apresentar maiores anos de estudo</w:t>
      </w:r>
      <w:r w:rsidRPr="006119A1">
        <w:rPr>
          <w:rFonts w:ascii="Times" w:hAnsi="Times" w:cs="Times"/>
        </w:rPr>
        <w:t>,</w:t>
      </w:r>
      <w:r w:rsidR="00412530" w:rsidRPr="006119A1">
        <w:rPr>
          <w:rFonts w:ascii="Times" w:hAnsi="Times" w:cs="Times"/>
        </w:rPr>
        <w:t xml:space="preserve"> além de maiores retornos à escolaridade do que aqueles que t</w:t>
      </w:r>
      <w:r w:rsidR="009B7A07">
        <w:rPr>
          <w:rFonts w:ascii="Times" w:hAnsi="Times" w:cs="Times"/>
        </w:rPr>
        <w:t>ê</w:t>
      </w:r>
      <w:r w:rsidR="00412530" w:rsidRPr="006119A1">
        <w:rPr>
          <w:rFonts w:ascii="Times" w:hAnsi="Times" w:cs="Times"/>
        </w:rPr>
        <w:t>m poucos anos de estudo na família</w:t>
      </w:r>
      <w:r w:rsidR="00F3514A">
        <w:rPr>
          <w:rFonts w:ascii="Times" w:hAnsi="Times" w:cs="Times"/>
        </w:rPr>
        <w:t>.</w:t>
      </w:r>
    </w:p>
    <w:p w14:paraId="5F80E429" w14:textId="7BD93767" w:rsidR="000D4CE8" w:rsidRPr="006119A1" w:rsidRDefault="0037474B" w:rsidP="00347B57">
      <w:pPr>
        <w:widowControl w:val="0"/>
        <w:autoSpaceDE w:val="0"/>
        <w:autoSpaceDN w:val="0"/>
        <w:adjustRightInd w:val="0"/>
        <w:spacing w:line="360" w:lineRule="auto"/>
        <w:ind w:firstLine="720"/>
        <w:jc w:val="both"/>
        <w:rPr>
          <w:rFonts w:ascii="Times" w:hAnsi="Times"/>
        </w:rPr>
      </w:pPr>
      <w:r>
        <w:rPr>
          <w:rFonts w:ascii="Times" w:hAnsi="Times"/>
        </w:rPr>
        <w:t xml:space="preserve">O </w:t>
      </w:r>
      <w:r w:rsidR="000D4CE8" w:rsidRPr="006119A1">
        <w:rPr>
          <w:rFonts w:ascii="Times" w:hAnsi="Times"/>
        </w:rPr>
        <w:t>estudo de Soares et al</w:t>
      </w:r>
      <w:r w:rsidR="009B7A07">
        <w:rPr>
          <w:rFonts w:ascii="Times" w:hAnsi="Times"/>
        </w:rPr>
        <w:t>.</w:t>
      </w:r>
      <w:r w:rsidR="000D4CE8" w:rsidRPr="006119A1">
        <w:rPr>
          <w:rFonts w:ascii="Times" w:hAnsi="Times"/>
        </w:rPr>
        <w:t xml:space="preserve"> (2006) afirma que 74% da renda declarada do BPC e 80% da renda do Bolsa Família vão para famílias abaixo da linha da pobre</w:t>
      </w:r>
      <w:r w:rsidR="00852958" w:rsidRPr="006119A1">
        <w:rPr>
          <w:rFonts w:ascii="Times" w:hAnsi="Times"/>
        </w:rPr>
        <w:t>z</w:t>
      </w:r>
      <w:r w:rsidR="000D4CE8" w:rsidRPr="006119A1">
        <w:rPr>
          <w:rFonts w:ascii="Times" w:hAnsi="Times"/>
        </w:rPr>
        <w:t>a</w:t>
      </w:r>
      <w:r w:rsidR="009B7A07">
        <w:rPr>
          <w:rFonts w:ascii="Times" w:hAnsi="Times"/>
        </w:rPr>
        <w:t>, de sorte qu</w:t>
      </w:r>
      <w:r w:rsidR="000D4CE8" w:rsidRPr="006119A1">
        <w:rPr>
          <w:rFonts w:ascii="Times" w:hAnsi="Times"/>
        </w:rPr>
        <w:t>e es</w:t>
      </w:r>
      <w:r w:rsidR="009B7A07">
        <w:rPr>
          <w:rFonts w:ascii="Times" w:hAnsi="Times"/>
        </w:rPr>
        <w:t>s</w:t>
      </w:r>
      <w:r w:rsidR="000D4CE8" w:rsidRPr="006119A1">
        <w:rPr>
          <w:rFonts w:ascii="Times" w:hAnsi="Times"/>
        </w:rPr>
        <w:t>es programas juntos foram responsáveis por 28% da redução do</w:t>
      </w:r>
      <w:r w:rsidR="00852958" w:rsidRPr="006119A1">
        <w:rPr>
          <w:rFonts w:ascii="Times" w:hAnsi="Times"/>
        </w:rPr>
        <w:t xml:space="preserve"> Gini</w:t>
      </w:r>
      <w:r w:rsidR="009B7A07">
        <w:rPr>
          <w:rFonts w:ascii="Times" w:hAnsi="Times"/>
        </w:rPr>
        <w:t>,</w:t>
      </w:r>
      <w:r w:rsidR="00852958" w:rsidRPr="006119A1">
        <w:rPr>
          <w:rFonts w:ascii="Times" w:hAnsi="Times"/>
        </w:rPr>
        <w:t xml:space="preserve"> no período de 1995-2004. A</w:t>
      </w:r>
      <w:r w:rsidR="000D4CE8" w:rsidRPr="006119A1">
        <w:rPr>
          <w:rFonts w:ascii="Times" w:hAnsi="Times"/>
        </w:rPr>
        <w:t>s pensões e aposentadorias oficia</w:t>
      </w:r>
      <w:r w:rsidR="00852958" w:rsidRPr="006119A1">
        <w:rPr>
          <w:rFonts w:ascii="Times" w:hAnsi="Times"/>
        </w:rPr>
        <w:t>i</w:t>
      </w:r>
      <w:r w:rsidR="000D4CE8" w:rsidRPr="006119A1">
        <w:rPr>
          <w:rFonts w:ascii="Times" w:hAnsi="Times"/>
        </w:rPr>
        <w:t xml:space="preserve">s (valor de 1 salário mínimo) contribuíram </w:t>
      </w:r>
      <w:r w:rsidR="00F3514A">
        <w:rPr>
          <w:rFonts w:ascii="Times" w:hAnsi="Times"/>
        </w:rPr>
        <w:t xml:space="preserve">em </w:t>
      </w:r>
      <w:r w:rsidR="000D4CE8" w:rsidRPr="006119A1">
        <w:rPr>
          <w:rFonts w:ascii="Times" w:hAnsi="Times"/>
        </w:rPr>
        <w:t>32% para a redução do Gini.</w:t>
      </w:r>
    </w:p>
    <w:p w14:paraId="6EBDE52A" w14:textId="77777777" w:rsidR="00CF6698" w:rsidRPr="006119A1" w:rsidRDefault="00CF6698" w:rsidP="00347B57">
      <w:pPr>
        <w:widowControl w:val="0"/>
        <w:autoSpaceDE w:val="0"/>
        <w:autoSpaceDN w:val="0"/>
        <w:adjustRightInd w:val="0"/>
        <w:spacing w:line="360" w:lineRule="auto"/>
        <w:ind w:firstLine="720"/>
        <w:jc w:val="both"/>
        <w:rPr>
          <w:rFonts w:ascii="Times" w:hAnsi="Times"/>
        </w:rPr>
      </w:pPr>
      <w:r w:rsidRPr="006119A1">
        <w:rPr>
          <w:rFonts w:ascii="Times" w:hAnsi="Times"/>
        </w:rPr>
        <w:t>Hoffmann</w:t>
      </w:r>
      <w:r w:rsidR="009B7A07">
        <w:rPr>
          <w:rFonts w:ascii="Times" w:hAnsi="Times"/>
        </w:rPr>
        <w:t xml:space="preserve"> </w:t>
      </w:r>
      <w:r w:rsidR="00A97482" w:rsidRPr="006119A1">
        <w:rPr>
          <w:rFonts w:ascii="Times" w:hAnsi="Times"/>
        </w:rPr>
        <w:t>(2010</w:t>
      </w:r>
      <w:r w:rsidR="005F612A">
        <w:rPr>
          <w:rFonts w:ascii="Times" w:hAnsi="Times"/>
        </w:rPr>
        <w:t>)</w:t>
      </w:r>
      <w:r w:rsidRPr="006119A1">
        <w:rPr>
          <w:rFonts w:ascii="Times" w:hAnsi="Times"/>
        </w:rPr>
        <w:t xml:space="preserve"> verific</w:t>
      </w:r>
      <w:r w:rsidR="005F612A">
        <w:rPr>
          <w:rFonts w:ascii="Times" w:hAnsi="Times"/>
        </w:rPr>
        <w:t>ou</w:t>
      </w:r>
      <w:r w:rsidRPr="006119A1">
        <w:rPr>
          <w:rFonts w:ascii="Times" w:hAnsi="Times"/>
        </w:rPr>
        <w:t xml:space="preserve"> que tanto o rendimento dos empregadores como o rendimento de aluguel e aposentadorias e pensão de funcionários públicos são parcelas altamente regressivas, ou seja</w:t>
      </w:r>
      <w:r w:rsidR="009B7A07">
        <w:rPr>
          <w:rFonts w:ascii="Times" w:hAnsi="Times"/>
        </w:rPr>
        <w:t>,</w:t>
      </w:r>
      <w:r w:rsidRPr="006119A1">
        <w:rPr>
          <w:rFonts w:ascii="Times" w:hAnsi="Times"/>
        </w:rPr>
        <w:t xml:space="preserve"> contribuem para o aumento da desigualdade</w:t>
      </w:r>
      <w:r w:rsidR="009B7A07">
        <w:rPr>
          <w:rFonts w:ascii="Times" w:hAnsi="Times"/>
        </w:rPr>
        <w:t>, e</w:t>
      </w:r>
      <w:r w:rsidRPr="006119A1">
        <w:rPr>
          <w:rFonts w:ascii="Times" w:hAnsi="Times"/>
        </w:rPr>
        <w:t xml:space="preserve">nquanto as aposentadorias e pensões do Regime Geral de Previdência Social constituem parcela levemente progressiva de renda familiar e as parcelas mais progressivas são as </w:t>
      </w:r>
      <w:r w:rsidR="00852958" w:rsidRPr="006119A1">
        <w:rPr>
          <w:rFonts w:ascii="Times" w:hAnsi="Times"/>
        </w:rPr>
        <w:t>relacionadas aos</w:t>
      </w:r>
      <w:r w:rsidRPr="006119A1">
        <w:rPr>
          <w:rFonts w:ascii="Times" w:hAnsi="Times"/>
        </w:rPr>
        <w:t xml:space="preserve"> programas sociais.</w:t>
      </w:r>
    </w:p>
    <w:p w14:paraId="060D6829" w14:textId="1F439688" w:rsidR="00CF6698" w:rsidRPr="006119A1" w:rsidRDefault="00412530" w:rsidP="00347B57">
      <w:pPr>
        <w:widowControl w:val="0"/>
        <w:autoSpaceDE w:val="0"/>
        <w:autoSpaceDN w:val="0"/>
        <w:adjustRightInd w:val="0"/>
        <w:spacing w:line="360" w:lineRule="auto"/>
        <w:ind w:firstLine="720"/>
        <w:jc w:val="both"/>
        <w:rPr>
          <w:rFonts w:ascii="Times" w:hAnsi="Times"/>
        </w:rPr>
      </w:pPr>
      <w:r w:rsidRPr="006119A1">
        <w:rPr>
          <w:rFonts w:ascii="Times" w:hAnsi="Times"/>
        </w:rPr>
        <w:t>A estrutura ocupacional também mostrou sua import</w:t>
      </w:r>
      <w:r w:rsidR="000F31CD">
        <w:rPr>
          <w:rFonts w:ascii="Times" w:hAnsi="Times"/>
        </w:rPr>
        <w:t>â</w:t>
      </w:r>
      <w:r w:rsidRPr="006119A1">
        <w:rPr>
          <w:rFonts w:ascii="Times" w:hAnsi="Times"/>
        </w:rPr>
        <w:t xml:space="preserve">ncia para a melhora da desigualdade nos anos 2000. </w:t>
      </w:r>
      <w:r w:rsidR="00CF6698" w:rsidRPr="006119A1">
        <w:rPr>
          <w:rFonts w:ascii="Times" w:hAnsi="Times"/>
        </w:rPr>
        <w:t>Segundo M</w:t>
      </w:r>
      <w:r w:rsidR="000F31CD">
        <w:rPr>
          <w:rFonts w:ascii="Times" w:hAnsi="Times"/>
        </w:rPr>
        <w:t>aia</w:t>
      </w:r>
      <w:r w:rsidR="00CF6698" w:rsidRPr="006119A1">
        <w:rPr>
          <w:rFonts w:ascii="Times" w:hAnsi="Times"/>
        </w:rPr>
        <w:t xml:space="preserve"> (2013), o impacto mais significativo no mercado de trabalho foi o crescimento no número e na qualidade dos empregos gerados, no perí</w:t>
      </w:r>
      <w:r w:rsidR="00852958" w:rsidRPr="006119A1">
        <w:rPr>
          <w:rFonts w:ascii="Times" w:hAnsi="Times"/>
        </w:rPr>
        <w:t>o</w:t>
      </w:r>
      <w:r w:rsidR="00CF6698" w:rsidRPr="006119A1">
        <w:rPr>
          <w:rFonts w:ascii="Times" w:hAnsi="Times"/>
        </w:rPr>
        <w:t xml:space="preserve">do de 2002-2011. </w:t>
      </w:r>
      <w:r w:rsidR="00852958" w:rsidRPr="006119A1">
        <w:rPr>
          <w:rFonts w:ascii="Times" w:hAnsi="Times"/>
        </w:rPr>
        <w:t>H</w:t>
      </w:r>
      <w:r w:rsidR="00CF6698" w:rsidRPr="006119A1">
        <w:rPr>
          <w:rFonts w:ascii="Times" w:hAnsi="Times"/>
        </w:rPr>
        <w:t xml:space="preserve">ouve a redução de cargos menos qualificados na agricultura e o aumento de trabalhadores no suporte administrativo, ocupação típica de classe média. </w:t>
      </w:r>
    </w:p>
    <w:p w14:paraId="4B618F96" w14:textId="33428C79" w:rsidR="00847259" w:rsidRPr="00D7599C" w:rsidRDefault="00847259" w:rsidP="00347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s="Helvetica"/>
        </w:rPr>
      </w:pPr>
      <w:r w:rsidRPr="006119A1">
        <w:rPr>
          <w:rFonts w:ascii="Times" w:hAnsi="Times"/>
        </w:rPr>
        <w:tab/>
      </w:r>
      <w:r w:rsidR="00CC2EAD" w:rsidRPr="006119A1">
        <w:rPr>
          <w:rFonts w:ascii="Times" w:hAnsi="Times"/>
        </w:rPr>
        <w:t xml:space="preserve">O contexto macroeconômico deve ser posto </w:t>
      </w:r>
      <w:r w:rsidR="00A4393F">
        <w:rPr>
          <w:rFonts w:ascii="Times" w:hAnsi="Times"/>
        </w:rPr>
        <w:t>a esta altura</w:t>
      </w:r>
      <w:r w:rsidR="00CC2EAD" w:rsidRPr="006119A1">
        <w:rPr>
          <w:rFonts w:ascii="Times" w:hAnsi="Times"/>
        </w:rPr>
        <w:t xml:space="preserve">. </w:t>
      </w:r>
      <w:r w:rsidRPr="00D7599C">
        <w:rPr>
          <w:rFonts w:ascii="Times" w:hAnsi="Times" w:cs="Helvetica"/>
        </w:rPr>
        <w:t>Ante</w:t>
      </w:r>
      <w:r w:rsidR="00083122">
        <w:rPr>
          <w:rFonts w:ascii="Times" w:hAnsi="Times" w:cs="Helvetica"/>
        </w:rPr>
        <w:t>riormente ao</w:t>
      </w:r>
      <w:r w:rsidRPr="00D7599C">
        <w:rPr>
          <w:rFonts w:ascii="Times" w:hAnsi="Times" w:cs="Helvetica"/>
        </w:rPr>
        <w:t xml:space="preserve"> governo d</w:t>
      </w:r>
      <w:r w:rsidR="00A4393F">
        <w:rPr>
          <w:rFonts w:ascii="Times" w:hAnsi="Times" w:cs="Helvetica"/>
        </w:rPr>
        <w:t>e</w:t>
      </w:r>
      <w:r w:rsidRPr="00D7599C">
        <w:rPr>
          <w:rFonts w:ascii="Times" w:hAnsi="Times" w:cs="Helvetica"/>
        </w:rPr>
        <w:t xml:space="preserve"> Fernando Henrique Cardoso (1995-2002), o Brasil teve 20 anos de democracia de (1945-1964) e outros 20 anos de regime militar (1964-1984) até o retorno das Forças Armadas aos quartéis. O marco desse retorno foi a posse de José Sarney</w:t>
      </w:r>
      <w:r w:rsidR="00A4393F">
        <w:rPr>
          <w:rFonts w:ascii="Times" w:hAnsi="Times" w:cs="Helvetica"/>
        </w:rPr>
        <w:t>,</w:t>
      </w:r>
      <w:r w:rsidRPr="00D7599C">
        <w:rPr>
          <w:rFonts w:ascii="Times" w:hAnsi="Times" w:cs="Helvetica"/>
        </w:rPr>
        <w:t xml:space="preserve"> em 1985, na forma de um governo de transição (não mais militar)</w:t>
      </w:r>
      <w:r w:rsidR="00A4393F">
        <w:rPr>
          <w:rFonts w:ascii="Times" w:hAnsi="Times" w:cs="Helvetica"/>
        </w:rPr>
        <w:t>,</w:t>
      </w:r>
      <w:r w:rsidRPr="00D7599C">
        <w:rPr>
          <w:rFonts w:ascii="Times" w:hAnsi="Times" w:cs="Helvetica"/>
        </w:rPr>
        <w:t xml:space="preserve"> mas escolhido de forma indireta. </w:t>
      </w:r>
    </w:p>
    <w:p w14:paraId="78CE4B26" w14:textId="5C95A14F" w:rsidR="005F612A" w:rsidRDefault="00847259" w:rsidP="005F612A">
      <w:pPr>
        <w:widowControl w:val="0"/>
        <w:autoSpaceDE w:val="0"/>
        <w:autoSpaceDN w:val="0"/>
        <w:adjustRightInd w:val="0"/>
        <w:spacing w:line="360" w:lineRule="auto"/>
        <w:ind w:firstLine="720"/>
        <w:jc w:val="both"/>
        <w:rPr>
          <w:rFonts w:ascii="Times" w:hAnsi="Times" w:cs="Helvetica"/>
        </w:rPr>
      </w:pPr>
      <w:r w:rsidRPr="00D7599C">
        <w:rPr>
          <w:rFonts w:ascii="Times" w:hAnsi="Times" w:cs="Helvetica"/>
        </w:rPr>
        <w:t>Durante o governo democrático, em 40 anos</w:t>
      </w:r>
      <w:r w:rsidR="00A4393F">
        <w:rPr>
          <w:rFonts w:ascii="Times" w:hAnsi="Times" w:cs="Helvetica"/>
        </w:rPr>
        <w:t>,</w:t>
      </w:r>
      <w:r w:rsidRPr="00D7599C">
        <w:rPr>
          <w:rFonts w:ascii="Times" w:hAnsi="Times" w:cs="Helvetica"/>
        </w:rPr>
        <w:t xml:space="preserve"> quatro presidente</w:t>
      </w:r>
      <w:r w:rsidR="00CC2EAD" w:rsidRPr="00D7599C">
        <w:rPr>
          <w:rFonts w:ascii="Times" w:hAnsi="Times" w:cs="Helvetica"/>
        </w:rPr>
        <w:t>s</w:t>
      </w:r>
      <w:r w:rsidRPr="00D7599C">
        <w:rPr>
          <w:rFonts w:ascii="Times" w:hAnsi="Times" w:cs="Helvetica"/>
        </w:rPr>
        <w:t xml:space="preserve"> tiveram seu mandato interrompido em circunstância</w:t>
      </w:r>
      <w:r w:rsidR="00A4393F">
        <w:rPr>
          <w:rFonts w:ascii="Times" w:hAnsi="Times" w:cs="Helvetica"/>
        </w:rPr>
        <w:t>s</w:t>
      </w:r>
      <w:r w:rsidRPr="00D7599C">
        <w:rPr>
          <w:rFonts w:ascii="Times" w:hAnsi="Times" w:cs="Helvetica"/>
        </w:rPr>
        <w:t xml:space="preserve"> dramáticas para a vida brasileira: Getúlio Vargas, Jânio Quadros, João Goulart e Fernando Collor. Por isso</w:t>
      </w:r>
      <w:r w:rsidR="00CC2EAD" w:rsidRPr="00D7599C">
        <w:rPr>
          <w:rFonts w:ascii="Times" w:hAnsi="Times" w:cs="Helvetica"/>
        </w:rPr>
        <w:t>,</w:t>
      </w:r>
      <w:r w:rsidRPr="00D7599C">
        <w:rPr>
          <w:rFonts w:ascii="Times" w:hAnsi="Times" w:cs="Helvetica"/>
        </w:rPr>
        <w:t xml:space="preserve"> para FHC</w:t>
      </w:r>
      <w:r w:rsidR="00A4393F">
        <w:rPr>
          <w:rFonts w:ascii="Times" w:hAnsi="Times" w:cs="Helvetica"/>
        </w:rPr>
        <w:t>,</w:t>
      </w:r>
      <w:r w:rsidRPr="00D7599C">
        <w:rPr>
          <w:rFonts w:ascii="Times" w:hAnsi="Times" w:cs="Helvetica"/>
        </w:rPr>
        <w:t xml:space="preserve"> uma das prioridades era</w:t>
      </w:r>
      <w:r w:rsidR="00CC2EAD" w:rsidRPr="00D7599C">
        <w:rPr>
          <w:rFonts w:ascii="Times" w:hAnsi="Times" w:cs="Helvetica"/>
        </w:rPr>
        <w:t xml:space="preserve"> </w:t>
      </w:r>
      <w:r w:rsidRPr="00D7599C">
        <w:rPr>
          <w:rFonts w:ascii="Times" w:hAnsi="Times" w:cs="Helvetica"/>
        </w:rPr>
        <w:t xml:space="preserve">concluir o mandato presidencial na data prevista e vencer a inflação, a qual </w:t>
      </w:r>
      <w:r w:rsidR="00347B09">
        <w:rPr>
          <w:rFonts w:ascii="Times" w:hAnsi="Times" w:cs="Helvetica"/>
        </w:rPr>
        <w:t xml:space="preserve">lhe </w:t>
      </w:r>
      <w:r w:rsidRPr="00D7599C">
        <w:rPr>
          <w:rFonts w:ascii="Times" w:hAnsi="Times" w:cs="Helvetica"/>
        </w:rPr>
        <w:t>fo</w:t>
      </w:r>
      <w:r w:rsidR="00347B09">
        <w:rPr>
          <w:rFonts w:ascii="Times" w:hAnsi="Times" w:cs="Helvetica"/>
        </w:rPr>
        <w:t>ra</w:t>
      </w:r>
      <w:r w:rsidRPr="00D7599C">
        <w:rPr>
          <w:rFonts w:ascii="Times" w:hAnsi="Times" w:cs="Helvetica"/>
        </w:rPr>
        <w:t xml:space="preserve"> entregue p</w:t>
      </w:r>
      <w:r w:rsidR="00347B09">
        <w:rPr>
          <w:rFonts w:ascii="Times" w:hAnsi="Times" w:cs="Helvetica"/>
        </w:rPr>
        <w:t>or</w:t>
      </w:r>
      <w:r w:rsidRPr="00D7599C">
        <w:rPr>
          <w:rFonts w:ascii="Times" w:hAnsi="Times" w:cs="Helvetica"/>
        </w:rPr>
        <w:t xml:space="preserve"> Sarney </w:t>
      </w:r>
      <w:r w:rsidRPr="00D7599C">
        <w:rPr>
          <w:rFonts w:ascii="Times" w:hAnsi="Times" w:cs="Helvetica"/>
        </w:rPr>
        <w:lastRenderedPageBreak/>
        <w:t>com valor mensal de 80%.</w:t>
      </w:r>
    </w:p>
    <w:p w14:paraId="1D25F2F5" w14:textId="27BC29D8" w:rsidR="009B2544" w:rsidRDefault="005F612A" w:rsidP="005F612A">
      <w:pPr>
        <w:widowControl w:val="0"/>
        <w:autoSpaceDE w:val="0"/>
        <w:autoSpaceDN w:val="0"/>
        <w:adjustRightInd w:val="0"/>
        <w:spacing w:line="360" w:lineRule="auto"/>
        <w:ind w:firstLine="720"/>
        <w:jc w:val="both"/>
        <w:rPr>
          <w:rFonts w:ascii="Times" w:hAnsi="Times" w:cs="Helvetica"/>
        </w:rPr>
      </w:pPr>
      <w:r>
        <w:rPr>
          <w:rFonts w:ascii="Times" w:hAnsi="Times"/>
        </w:rPr>
        <w:t>O</w:t>
      </w:r>
      <w:r w:rsidR="004133A9" w:rsidRPr="00D7599C">
        <w:rPr>
          <w:rFonts w:ascii="Times" w:hAnsi="Times" w:cs="Helvetica"/>
        </w:rPr>
        <w:t xml:space="preserve"> </w:t>
      </w:r>
      <w:r w:rsidR="009B2544" w:rsidRPr="00D7599C">
        <w:rPr>
          <w:rFonts w:ascii="Times" w:hAnsi="Times" w:cs="Helvetica"/>
        </w:rPr>
        <w:t>primeiro governo FHC foi caracterizado por uma política cambial rígida, crescente dependência do financiamento externo e um desequilíbrio fiscal agudo. O segundo foi marcado pelo câmbio flutuante, redução do déficit em conta corrente e forte ajuste fiscal. Em comum</w:t>
      </w:r>
      <w:r w:rsidR="00347B09">
        <w:rPr>
          <w:rFonts w:ascii="Times" w:hAnsi="Times" w:cs="Helvetica"/>
        </w:rPr>
        <w:t>,</w:t>
      </w:r>
      <w:r w:rsidR="009B2544" w:rsidRPr="00D7599C">
        <w:rPr>
          <w:rFonts w:ascii="Times" w:hAnsi="Times" w:cs="Helvetica"/>
        </w:rPr>
        <w:t xml:space="preserve"> ambos os governos se preocuparam com a inflação, </w:t>
      </w:r>
      <w:r w:rsidR="00347B09">
        <w:rPr>
          <w:rFonts w:ascii="Times" w:hAnsi="Times" w:cs="Helvetica"/>
        </w:rPr>
        <w:t>todavia,</w:t>
      </w:r>
      <w:r w:rsidR="009B2544" w:rsidRPr="00D7599C">
        <w:rPr>
          <w:rFonts w:ascii="Times" w:hAnsi="Times" w:cs="Helvetica"/>
        </w:rPr>
        <w:t xml:space="preserve"> o lado negativo foi a contínua expansão do gasto público</w:t>
      </w:r>
      <w:r w:rsidR="00B43167">
        <w:rPr>
          <w:rFonts w:ascii="Times" w:hAnsi="Times" w:cs="Helvetica"/>
        </w:rPr>
        <w:t>.</w:t>
      </w:r>
      <w:r w:rsidR="00083122">
        <w:rPr>
          <w:rFonts w:ascii="Times" w:hAnsi="Times" w:cs="Helvetica"/>
        </w:rPr>
        <w:t xml:space="preserve"> </w:t>
      </w:r>
      <w:r w:rsidR="009B2544" w:rsidRPr="00D7599C">
        <w:rPr>
          <w:rFonts w:ascii="Times" w:hAnsi="Times" w:cs="Helvetica"/>
        </w:rPr>
        <w:t xml:space="preserve">Isto é, a consolidação da estabilidade e o fim de um processo histórico de 30 anos de indexação (1964-1994) são a parte </w:t>
      </w:r>
      <w:r w:rsidR="00B43167">
        <w:rPr>
          <w:rFonts w:ascii="Times" w:hAnsi="Times" w:cs="Helvetica"/>
        </w:rPr>
        <w:t>positiva</w:t>
      </w:r>
      <w:r w:rsidR="009B2544" w:rsidRPr="00D7599C">
        <w:rPr>
          <w:rFonts w:ascii="Times" w:hAnsi="Times" w:cs="Helvetica"/>
        </w:rPr>
        <w:t xml:space="preserve"> do perí</w:t>
      </w:r>
      <w:r w:rsidR="00CC2EAD" w:rsidRPr="00D7599C">
        <w:rPr>
          <w:rFonts w:ascii="Times" w:hAnsi="Times" w:cs="Helvetica"/>
        </w:rPr>
        <w:t>o</w:t>
      </w:r>
      <w:r w:rsidR="009B2544" w:rsidRPr="00D7599C">
        <w:rPr>
          <w:rFonts w:ascii="Times" w:hAnsi="Times" w:cs="Helvetica"/>
        </w:rPr>
        <w:t>do, mas que por outro lado, esteve associado a baixo crescimento, aumento d</w:t>
      </w:r>
      <w:r w:rsidR="00B43167">
        <w:rPr>
          <w:rFonts w:ascii="Times" w:hAnsi="Times" w:cs="Helvetica"/>
        </w:rPr>
        <w:t>a</w:t>
      </w:r>
      <w:r w:rsidR="009B2544" w:rsidRPr="00D7599C">
        <w:rPr>
          <w:rFonts w:ascii="Times" w:hAnsi="Times" w:cs="Helvetica"/>
        </w:rPr>
        <w:t xml:space="preserve"> carga tributária e uma pesada herança de elevado endividamento. </w:t>
      </w:r>
    </w:p>
    <w:p w14:paraId="53E6681C" w14:textId="565A6356" w:rsidR="009B2544" w:rsidRPr="006119A1" w:rsidRDefault="009B2544" w:rsidP="00347B57">
      <w:pPr>
        <w:widowControl w:val="0"/>
        <w:autoSpaceDE w:val="0"/>
        <w:autoSpaceDN w:val="0"/>
        <w:adjustRightInd w:val="0"/>
        <w:spacing w:line="360" w:lineRule="auto"/>
        <w:ind w:firstLine="720"/>
        <w:jc w:val="both"/>
        <w:rPr>
          <w:rFonts w:ascii="Times" w:hAnsi="Times"/>
        </w:rPr>
      </w:pPr>
      <w:r w:rsidRPr="00D7599C">
        <w:rPr>
          <w:rFonts w:ascii="Times" w:hAnsi="Times" w:cs="Helvetica"/>
        </w:rPr>
        <w:t xml:space="preserve"> No final de sua gestão</w:t>
      </w:r>
      <w:r w:rsidR="00347B09">
        <w:rPr>
          <w:rFonts w:ascii="Times" w:hAnsi="Times" w:cs="Helvetica"/>
        </w:rPr>
        <w:t>,</w:t>
      </w:r>
      <w:r w:rsidRPr="00D7599C">
        <w:rPr>
          <w:rFonts w:ascii="Times" w:hAnsi="Times" w:cs="Helvetica"/>
        </w:rPr>
        <w:t xml:space="preserve"> com </w:t>
      </w:r>
      <w:r w:rsidR="009B113D" w:rsidRPr="00D7599C">
        <w:rPr>
          <w:rFonts w:ascii="Times" w:hAnsi="Times" w:cs="Helvetica"/>
        </w:rPr>
        <w:t>saldo positivo</w:t>
      </w:r>
      <w:r w:rsidR="00347B09">
        <w:rPr>
          <w:rFonts w:ascii="Times" w:hAnsi="Times" w:cs="Helvetica"/>
        </w:rPr>
        <w:t>,</w:t>
      </w:r>
      <w:r w:rsidR="009B113D" w:rsidRPr="00D7599C">
        <w:rPr>
          <w:rFonts w:ascii="Times" w:hAnsi="Times" w:cs="Helvetica"/>
        </w:rPr>
        <w:t xml:space="preserve"> </w:t>
      </w:r>
      <w:r w:rsidR="005F612A">
        <w:rPr>
          <w:rFonts w:ascii="Times" w:hAnsi="Times" w:cs="Helvetica"/>
        </w:rPr>
        <w:t>FHC</w:t>
      </w:r>
      <w:r w:rsidR="009B113D" w:rsidRPr="00D7599C">
        <w:rPr>
          <w:rFonts w:ascii="Times" w:hAnsi="Times" w:cs="Helvetica"/>
        </w:rPr>
        <w:t xml:space="preserve"> deixou </w:t>
      </w:r>
      <w:r w:rsidRPr="00D7599C">
        <w:rPr>
          <w:rFonts w:ascii="Times" w:hAnsi="Times" w:cs="Helvetica"/>
        </w:rPr>
        <w:t>um "tripé"</w:t>
      </w:r>
      <w:r w:rsidR="0088279A" w:rsidRPr="00D7599C">
        <w:rPr>
          <w:rFonts w:ascii="Times" w:hAnsi="Times" w:cs="Helvetica"/>
        </w:rPr>
        <w:t xml:space="preserve"> </w:t>
      </w:r>
      <w:r w:rsidRPr="00D7599C">
        <w:rPr>
          <w:rFonts w:ascii="Times" w:hAnsi="Times" w:cs="Helvetica"/>
        </w:rPr>
        <w:t>de políticas</w:t>
      </w:r>
      <w:r w:rsidR="00347B09">
        <w:rPr>
          <w:rFonts w:ascii="Times" w:hAnsi="Times" w:cs="Helvetica"/>
        </w:rPr>
        <w:t xml:space="preserve"> –</w:t>
      </w:r>
      <w:r w:rsidRPr="00D7599C">
        <w:rPr>
          <w:rFonts w:ascii="Times" w:hAnsi="Times" w:cs="Helvetica"/>
        </w:rPr>
        <w:t xml:space="preserve">  metas de inflação, câmbio flutuante e austeridade fiscal</w:t>
      </w:r>
      <w:r w:rsidR="00347B09">
        <w:rPr>
          <w:rFonts w:ascii="Times" w:hAnsi="Times" w:cs="Helvetica"/>
        </w:rPr>
        <w:t xml:space="preserve"> –</w:t>
      </w:r>
      <w:r w:rsidRPr="00D7599C">
        <w:rPr>
          <w:rFonts w:ascii="Times" w:hAnsi="Times" w:cs="Helvetica"/>
        </w:rPr>
        <w:t xml:space="preserve"> que</w:t>
      </w:r>
      <w:r w:rsidR="00347B09">
        <w:rPr>
          <w:rFonts w:ascii="Times" w:hAnsi="Times" w:cs="Helvetica"/>
        </w:rPr>
        <w:t>,</w:t>
      </w:r>
      <w:r w:rsidRPr="00D7599C">
        <w:rPr>
          <w:rFonts w:ascii="Times" w:hAnsi="Times" w:cs="Helvetica"/>
        </w:rPr>
        <w:t xml:space="preserve"> se mantidas ao longo dos anos, poderiam criar as condições para o desenvolvimento econômico futuro com inflação baixa e equilíbrios externo e fiscal</w:t>
      </w:r>
      <w:r w:rsidR="00167DF1">
        <w:rPr>
          <w:rFonts w:ascii="Times" w:hAnsi="Times" w:cs="Helvetica"/>
        </w:rPr>
        <w:t>. U</w:t>
      </w:r>
      <w:r w:rsidRPr="00D7599C">
        <w:rPr>
          <w:rFonts w:ascii="Times" w:hAnsi="Times" w:cs="Helvetica"/>
        </w:rPr>
        <w:t xml:space="preserve">m elenco bastante robusto de mudanças estruturais </w:t>
      </w:r>
      <w:r w:rsidR="00167DF1">
        <w:rPr>
          <w:rFonts w:ascii="Times" w:hAnsi="Times" w:cs="Helvetica"/>
        </w:rPr>
        <w:t>também fo</w:t>
      </w:r>
      <w:r w:rsidR="0037474B">
        <w:rPr>
          <w:rFonts w:ascii="Times" w:hAnsi="Times" w:cs="Helvetica"/>
        </w:rPr>
        <w:t>i</w:t>
      </w:r>
      <w:r w:rsidR="00167DF1">
        <w:rPr>
          <w:rFonts w:ascii="Times" w:hAnsi="Times" w:cs="Helvetica"/>
        </w:rPr>
        <w:t xml:space="preserve"> </w:t>
      </w:r>
      <w:r w:rsidRPr="00D7599C">
        <w:rPr>
          <w:rFonts w:ascii="Times" w:hAnsi="Times" w:cs="Helvetica"/>
        </w:rPr>
        <w:t xml:space="preserve">importante, com destaque para </w:t>
      </w:r>
      <w:r w:rsidR="00347B09">
        <w:rPr>
          <w:rFonts w:ascii="Times" w:hAnsi="Times" w:cs="Helvetica"/>
        </w:rPr>
        <w:t xml:space="preserve">a </w:t>
      </w:r>
      <w:r w:rsidRPr="00D7599C">
        <w:rPr>
          <w:rFonts w:ascii="Times" w:hAnsi="Times" w:cs="Helvetica"/>
        </w:rPr>
        <w:t>Lei de Responsabilidade Fiscal</w:t>
      </w:r>
      <w:r w:rsidR="00347B09">
        <w:rPr>
          <w:rFonts w:ascii="Times" w:hAnsi="Times" w:cs="Helvetica"/>
        </w:rPr>
        <w:t>,</w:t>
      </w:r>
      <w:r w:rsidRPr="00D7599C">
        <w:rPr>
          <w:rFonts w:ascii="Times" w:hAnsi="Times" w:cs="Helvetica"/>
        </w:rPr>
        <w:t xml:space="preserve"> a reforma parcial de Previdência Social</w:t>
      </w:r>
      <w:r w:rsidR="00347B09">
        <w:rPr>
          <w:rFonts w:ascii="Times" w:hAnsi="Times" w:cs="Helvetica"/>
        </w:rPr>
        <w:t>,</w:t>
      </w:r>
      <w:r w:rsidRPr="00D7599C">
        <w:rPr>
          <w:rFonts w:ascii="Times" w:hAnsi="Times" w:cs="Helvetica"/>
        </w:rPr>
        <w:t xml:space="preserve"> o ajuste fiscal nos estados</w:t>
      </w:r>
      <w:r w:rsidR="00347B09">
        <w:rPr>
          <w:rFonts w:ascii="Times" w:hAnsi="Times" w:cs="Helvetica"/>
        </w:rPr>
        <w:t>,</w:t>
      </w:r>
      <w:r w:rsidRPr="00D7599C">
        <w:rPr>
          <w:rFonts w:ascii="Times" w:hAnsi="Times" w:cs="Helvetica"/>
        </w:rPr>
        <w:t xml:space="preserve"> o fim dos monopólios estatais nos setores de petróleo e telecomunicações e a reinserção do Brasil no mundo</w:t>
      </w:r>
      <w:r w:rsidR="00347B09">
        <w:rPr>
          <w:rFonts w:ascii="Times" w:hAnsi="Times" w:cs="Helvetica"/>
        </w:rPr>
        <w:t>,</w:t>
      </w:r>
      <w:r w:rsidRPr="00D7599C">
        <w:rPr>
          <w:rFonts w:ascii="Times" w:hAnsi="Times" w:cs="Helvetica"/>
        </w:rPr>
        <w:t xml:space="preserve"> através da obtenção de fluxos de IDE. A</w:t>
      </w:r>
      <w:r w:rsidR="00347B09">
        <w:rPr>
          <w:rFonts w:ascii="Times" w:hAnsi="Times" w:cs="Helvetica"/>
        </w:rPr>
        <w:t xml:space="preserve">o lado </w:t>
      </w:r>
      <w:r w:rsidRPr="00D7599C">
        <w:rPr>
          <w:rFonts w:ascii="Times" w:hAnsi="Times" w:cs="Helvetica"/>
        </w:rPr>
        <w:t>de alguns avanços institucionais registrados</w:t>
      </w:r>
      <w:r w:rsidR="00347B09">
        <w:rPr>
          <w:rFonts w:ascii="Times" w:hAnsi="Times" w:cs="Helvetica"/>
        </w:rPr>
        <w:t xml:space="preserve"> </w:t>
      </w:r>
      <w:r w:rsidRPr="00D7599C">
        <w:rPr>
          <w:rFonts w:ascii="Times" w:hAnsi="Times" w:cs="Helvetica"/>
        </w:rPr>
        <w:t>em diversos campos</w:t>
      </w:r>
      <w:r w:rsidR="00347B09">
        <w:rPr>
          <w:rFonts w:ascii="Times" w:hAnsi="Times" w:cs="Helvetica"/>
        </w:rPr>
        <w:t>,</w:t>
      </w:r>
      <w:r w:rsidRPr="00D7599C">
        <w:rPr>
          <w:rFonts w:ascii="Times" w:hAnsi="Times" w:cs="Helvetica"/>
        </w:rPr>
        <w:t xml:space="preserve"> nesse período, adotou-se</w:t>
      </w:r>
      <w:r w:rsidR="00347B09">
        <w:rPr>
          <w:rFonts w:ascii="Times" w:hAnsi="Times" w:cs="Helvetica"/>
        </w:rPr>
        <w:t>,</w:t>
      </w:r>
      <w:r w:rsidRPr="00D7599C">
        <w:rPr>
          <w:rFonts w:ascii="Times" w:hAnsi="Times" w:cs="Helvetica"/>
        </w:rPr>
        <w:t xml:space="preserve"> na prática</w:t>
      </w:r>
      <w:r w:rsidR="00347B09">
        <w:rPr>
          <w:rFonts w:ascii="Times" w:hAnsi="Times" w:cs="Helvetica"/>
        </w:rPr>
        <w:t>,</w:t>
      </w:r>
      <w:r w:rsidRPr="00D7599C">
        <w:rPr>
          <w:rFonts w:ascii="Times" w:hAnsi="Times" w:cs="Helvetica"/>
        </w:rPr>
        <w:t xml:space="preserve"> um regime de funcionamento autônomo do Banco Central; a instituição presidencial foi revalorizada; os ritos da democracia foram rigorosamente seguidos</w:t>
      </w:r>
      <w:r w:rsidR="00347B09">
        <w:rPr>
          <w:rFonts w:ascii="Times" w:hAnsi="Times" w:cs="Helvetica"/>
        </w:rPr>
        <w:t>;</w:t>
      </w:r>
      <w:r w:rsidRPr="00D7599C">
        <w:rPr>
          <w:rFonts w:ascii="Times" w:hAnsi="Times" w:cs="Helvetica"/>
        </w:rPr>
        <w:t xml:space="preserve"> portanto, o Brasil </w:t>
      </w:r>
      <w:r w:rsidR="00347B09">
        <w:rPr>
          <w:rFonts w:ascii="Times" w:hAnsi="Times" w:cs="Helvetica"/>
        </w:rPr>
        <w:t xml:space="preserve">se </w:t>
      </w:r>
      <w:r w:rsidRPr="00D7599C">
        <w:rPr>
          <w:rFonts w:ascii="Times" w:hAnsi="Times" w:cs="Helvetica"/>
        </w:rPr>
        <w:t>tornou uma nação adulta</w:t>
      </w:r>
      <w:r w:rsidR="00347B09">
        <w:rPr>
          <w:rFonts w:ascii="Times" w:hAnsi="Times" w:cs="Helvetica"/>
        </w:rPr>
        <w:t>,</w:t>
      </w:r>
      <w:r w:rsidRPr="00D7599C">
        <w:rPr>
          <w:rFonts w:ascii="Times" w:hAnsi="Times" w:cs="Helvetica"/>
        </w:rPr>
        <w:t xml:space="preserve"> nos anos 90. Em contrapartida, FHC ficou devendo a reforma tributária, o desenvolvimento do mercado de crédito e a superação duradoura da vulnerabilidade externa do país</w:t>
      </w:r>
      <w:r w:rsidR="0088279A" w:rsidRPr="00D7599C">
        <w:rPr>
          <w:rFonts w:ascii="Times" w:hAnsi="Times" w:cs="Helvetica"/>
        </w:rPr>
        <w:t xml:space="preserve"> (GIAMBIAGI, 2005)</w:t>
      </w:r>
      <w:r w:rsidR="00347B09">
        <w:rPr>
          <w:rFonts w:ascii="Times" w:hAnsi="Times" w:cs="Helvetica"/>
        </w:rPr>
        <w:t>.</w:t>
      </w:r>
    </w:p>
    <w:p w14:paraId="4934E279" w14:textId="217A409A" w:rsidR="007B0D3A" w:rsidRPr="00D7599C" w:rsidRDefault="0037474B" w:rsidP="00347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s="Helvetica"/>
        </w:rPr>
      </w:pPr>
      <w:r>
        <w:rPr>
          <w:rFonts w:ascii="Times" w:hAnsi="Times" w:cs="Lucida Grande"/>
          <w:bCs/>
        </w:rPr>
        <w:tab/>
        <w:t>N</w:t>
      </w:r>
      <w:r w:rsidR="007B0D3A" w:rsidRPr="00D7599C">
        <w:rPr>
          <w:rFonts w:ascii="Times" w:hAnsi="Times" w:cs="Helvetica"/>
        </w:rPr>
        <w:t>os anos FHC, houve uma série de reformas que modificaram significativamente a economia em relação ao que ela era até meados de 1980; contudo</w:t>
      </w:r>
      <w:r w:rsidR="00347B09">
        <w:rPr>
          <w:rFonts w:ascii="Times" w:hAnsi="Times" w:cs="Helvetica"/>
        </w:rPr>
        <w:t>,</w:t>
      </w:r>
      <w:r w:rsidR="007B0D3A" w:rsidRPr="00D7599C">
        <w:rPr>
          <w:rFonts w:ascii="Times" w:hAnsi="Times" w:cs="Helvetica"/>
        </w:rPr>
        <w:t xml:space="preserve"> a evolução de alguns indicadores macroeconômicos deixou muito a desejar. Além d</w:t>
      </w:r>
      <w:r w:rsidR="00347B09">
        <w:rPr>
          <w:rFonts w:ascii="Times" w:hAnsi="Times" w:cs="Helvetica"/>
        </w:rPr>
        <w:t xml:space="preserve">e </w:t>
      </w:r>
      <w:r w:rsidR="007B0D3A" w:rsidRPr="00D7599C">
        <w:rPr>
          <w:rFonts w:ascii="Times" w:hAnsi="Times" w:cs="Helvetica"/>
        </w:rPr>
        <w:t>o crescimento e d</w:t>
      </w:r>
      <w:r w:rsidR="00347B09">
        <w:rPr>
          <w:rFonts w:ascii="Times" w:hAnsi="Times" w:cs="Helvetica"/>
        </w:rPr>
        <w:t xml:space="preserve">e </w:t>
      </w:r>
      <w:r w:rsidR="007B0D3A" w:rsidRPr="00D7599C">
        <w:rPr>
          <w:rFonts w:ascii="Times" w:hAnsi="Times" w:cs="Helvetica"/>
        </w:rPr>
        <w:t>a geração de empregos serem muito modestos, a dívida pública, que era de 30% do PIB</w:t>
      </w:r>
      <w:r w:rsidR="00347B09">
        <w:rPr>
          <w:rFonts w:ascii="Times" w:hAnsi="Times" w:cs="Helvetica"/>
        </w:rPr>
        <w:t>,</w:t>
      </w:r>
      <w:r w:rsidR="007B0D3A" w:rsidRPr="00D7599C">
        <w:rPr>
          <w:rFonts w:ascii="Times" w:hAnsi="Times" w:cs="Helvetica"/>
        </w:rPr>
        <w:t xml:space="preserve"> em 1994, dobrou de tamanho oito anos depois; a dívida externa aumentou substancialmente e</w:t>
      </w:r>
      <w:r w:rsidR="00347B09">
        <w:rPr>
          <w:rFonts w:ascii="Times" w:hAnsi="Times" w:cs="Helvetica"/>
        </w:rPr>
        <w:t>,</w:t>
      </w:r>
      <w:r w:rsidR="007B0D3A" w:rsidRPr="00D7599C">
        <w:rPr>
          <w:rFonts w:ascii="Times" w:hAnsi="Times" w:cs="Helvetica"/>
        </w:rPr>
        <w:t xml:space="preserve"> no final da gestão</w:t>
      </w:r>
      <w:r w:rsidR="00347B09">
        <w:rPr>
          <w:rFonts w:ascii="Times" w:hAnsi="Times" w:cs="Helvetica"/>
        </w:rPr>
        <w:t>,</w:t>
      </w:r>
      <w:r w:rsidR="007B0D3A" w:rsidRPr="00D7599C">
        <w:rPr>
          <w:rFonts w:ascii="Times" w:hAnsi="Times" w:cs="Helvetica"/>
        </w:rPr>
        <w:t xml:space="preserve"> foi necessário recorrer ao FMI para não ficar sem reservas internacionais. </w:t>
      </w:r>
    </w:p>
    <w:p w14:paraId="0CE10FCE" w14:textId="77777777" w:rsidR="00413D7B" w:rsidRDefault="007B0D3A" w:rsidP="009D51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s="Helvetica"/>
        </w:rPr>
      </w:pPr>
      <w:r w:rsidRPr="00D7599C">
        <w:rPr>
          <w:rFonts w:ascii="Times" w:hAnsi="Times" w:cs="Helvetica"/>
        </w:rPr>
        <w:tab/>
        <w:t>Em contraste, nos anos Lula, além de ter havido uma recuperação do crescimento e do investimento, com um impacto muito favorável sobre o emprego, a dívida líquida do</w:t>
      </w:r>
      <w:r w:rsidR="009B113D" w:rsidRPr="00D7599C">
        <w:rPr>
          <w:rFonts w:ascii="Times" w:hAnsi="Times" w:cs="Helvetica"/>
        </w:rPr>
        <w:t xml:space="preserve"> setor público diminui um terço:</w:t>
      </w:r>
      <w:r w:rsidRPr="00D7599C">
        <w:rPr>
          <w:rFonts w:ascii="Times" w:hAnsi="Times" w:cs="Helvetica"/>
        </w:rPr>
        <w:t xml:space="preserve"> o país tornou-se credor líquido do exterior, já que a dívida externa líquida </w:t>
      </w:r>
      <w:r w:rsidR="00413D7B">
        <w:rPr>
          <w:rFonts w:ascii="Times" w:hAnsi="Times" w:cs="Helvetica"/>
        </w:rPr>
        <w:t xml:space="preserve">se </w:t>
      </w:r>
      <w:r w:rsidRPr="00D7599C">
        <w:rPr>
          <w:rFonts w:ascii="Times" w:hAnsi="Times" w:cs="Helvetica"/>
        </w:rPr>
        <w:t>tornou negativa</w:t>
      </w:r>
      <w:r w:rsidR="00413D7B">
        <w:rPr>
          <w:rFonts w:ascii="Times" w:hAnsi="Times" w:cs="Helvetica"/>
        </w:rPr>
        <w:t>,</w:t>
      </w:r>
      <w:r w:rsidRPr="00D7599C">
        <w:rPr>
          <w:rFonts w:ascii="Times" w:hAnsi="Times" w:cs="Helvetica"/>
        </w:rPr>
        <w:t xml:space="preserve"> </w:t>
      </w:r>
      <w:r w:rsidR="00413D7B">
        <w:rPr>
          <w:rFonts w:ascii="Times" w:hAnsi="Times" w:cs="Helvetica"/>
        </w:rPr>
        <w:t>ao mesmo tempo em qu</w:t>
      </w:r>
      <w:r w:rsidRPr="00D7599C">
        <w:rPr>
          <w:rFonts w:ascii="Times" w:hAnsi="Times" w:cs="Helvetica"/>
        </w:rPr>
        <w:t>e as reservas atingiram quase 290 bilhões de dólares</w:t>
      </w:r>
      <w:r w:rsidR="00413D7B">
        <w:rPr>
          <w:rFonts w:ascii="Times" w:hAnsi="Times" w:cs="Helvetica"/>
        </w:rPr>
        <w:t>,</w:t>
      </w:r>
      <w:r w:rsidRPr="00D7599C">
        <w:rPr>
          <w:rFonts w:ascii="Times" w:hAnsi="Times" w:cs="Helvetica"/>
        </w:rPr>
        <w:t xml:space="preserve"> em 2010. Em compensação, as reformas estruturais limitaram-se a uma Reforma da Previdência restrita ao âmbito do funcionalismo e de importância modesta.</w:t>
      </w:r>
      <w:r w:rsidR="0088279A" w:rsidRPr="00D7599C">
        <w:rPr>
          <w:rFonts w:ascii="Times" w:hAnsi="Times" w:cs="Helvetica"/>
        </w:rPr>
        <w:t xml:space="preserve"> (GIAMBIAGI, </w:t>
      </w:r>
      <w:r w:rsidR="0088279A" w:rsidRPr="00D7599C">
        <w:rPr>
          <w:rFonts w:ascii="Times" w:hAnsi="Times" w:cs="Helvetica"/>
        </w:rPr>
        <w:lastRenderedPageBreak/>
        <w:t>2011)</w:t>
      </w:r>
      <w:r w:rsidR="00413D7B">
        <w:rPr>
          <w:rFonts w:ascii="Times" w:hAnsi="Times" w:cs="Helvetica"/>
        </w:rPr>
        <w:t>.</w:t>
      </w:r>
    </w:p>
    <w:p w14:paraId="31280F21" w14:textId="77777777" w:rsidR="00952423" w:rsidRPr="00D7599C" w:rsidRDefault="00847259" w:rsidP="00347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s="Helvetica"/>
        </w:rPr>
      </w:pPr>
      <w:r w:rsidRPr="00D7599C">
        <w:rPr>
          <w:rFonts w:ascii="Times" w:hAnsi="Times" w:cs="Helvetica"/>
        </w:rPr>
        <w:tab/>
      </w:r>
      <w:r w:rsidR="00952423" w:rsidRPr="00D7599C">
        <w:rPr>
          <w:rFonts w:ascii="Times" w:hAnsi="Times" w:cs="Helvetica"/>
        </w:rPr>
        <w:t>Os oito anos do governo Lula se caracterizaram pela estabilidade macroeconômica</w:t>
      </w:r>
      <w:r w:rsidR="00413D7B">
        <w:rPr>
          <w:rFonts w:ascii="Times" w:hAnsi="Times" w:cs="Helvetica"/>
        </w:rPr>
        <w:t>,</w:t>
      </w:r>
      <w:r w:rsidR="00952423" w:rsidRPr="00D7599C">
        <w:rPr>
          <w:rFonts w:ascii="Times" w:hAnsi="Times" w:cs="Helvetica"/>
        </w:rPr>
        <w:t xml:space="preserve"> e</w:t>
      </w:r>
      <w:r w:rsidR="0015027E" w:rsidRPr="00D7599C">
        <w:rPr>
          <w:rFonts w:ascii="Times" w:hAnsi="Times" w:cs="Helvetica"/>
        </w:rPr>
        <w:t xml:space="preserve"> a estratégia brasileira foi pre</w:t>
      </w:r>
      <w:r w:rsidR="000C6676" w:rsidRPr="00D7599C">
        <w:rPr>
          <w:rFonts w:ascii="Times" w:hAnsi="Times" w:cs="Helvetica"/>
        </w:rPr>
        <w:t xml:space="preserve">miada </w:t>
      </w:r>
      <w:r w:rsidR="0015027E" w:rsidRPr="00D7599C">
        <w:rPr>
          <w:rFonts w:ascii="Times" w:hAnsi="Times" w:cs="Helvetica"/>
        </w:rPr>
        <w:t>com grau de investimento da</w:t>
      </w:r>
      <w:r w:rsidR="00314DA3">
        <w:rPr>
          <w:rFonts w:ascii="Times" w:hAnsi="Times" w:cs="Helvetica"/>
        </w:rPr>
        <w:t>s</w:t>
      </w:r>
      <w:r w:rsidR="0015027E" w:rsidRPr="00D7599C">
        <w:rPr>
          <w:rFonts w:ascii="Times" w:hAnsi="Times" w:cs="Helvetica"/>
        </w:rPr>
        <w:t xml:space="preserve"> agência</w:t>
      </w:r>
      <w:r w:rsidR="00314DA3">
        <w:rPr>
          <w:rFonts w:ascii="Times" w:hAnsi="Times" w:cs="Helvetica"/>
        </w:rPr>
        <w:t>s</w:t>
      </w:r>
      <w:r w:rsidR="0015027E" w:rsidRPr="00D7599C">
        <w:rPr>
          <w:rFonts w:ascii="Times" w:hAnsi="Times" w:cs="Helvetica"/>
        </w:rPr>
        <w:t xml:space="preserve"> de </w:t>
      </w:r>
      <w:r w:rsidR="0015027E" w:rsidRPr="009D5154">
        <w:rPr>
          <w:rFonts w:ascii="Times" w:hAnsi="Times" w:cs="Helvetica"/>
          <w:i/>
        </w:rPr>
        <w:t>rating</w:t>
      </w:r>
      <w:r w:rsidR="0015027E" w:rsidRPr="00D7599C">
        <w:rPr>
          <w:rFonts w:ascii="Times" w:hAnsi="Times" w:cs="Helvetica"/>
        </w:rPr>
        <w:t xml:space="preserve">. </w:t>
      </w:r>
      <w:r w:rsidR="00167DF1">
        <w:rPr>
          <w:rFonts w:ascii="Times" w:hAnsi="Times" w:cs="Helvetica"/>
        </w:rPr>
        <w:t>Mas</w:t>
      </w:r>
      <w:r w:rsidR="0015027E" w:rsidRPr="00D7599C">
        <w:rPr>
          <w:rFonts w:ascii="Times" w:hAnsi="Times" w:cs="Helvetica"/>
        </w:rPr>
        <w:t>, no final do governo Lula, em 2010, o Brasil estava às voltas com expressivos e cre</w:t>
      </w:r>
      <w:r w:rsidR="00413D7B">
        <w:rPr>
          <w:rFonts w:ascii="Times" w:hAnsi="Times" w:cs="Helvetica"/>
        </w:rPr>
        <w:t>s</w:t>
      </w:r>
      <w:r w:rsidR="0015027E" w:rsidRPr="00D7599C">
        <w:rPr>
          <w:rFonts w:ascii="Times" w:hAnsi="Times" w:cs="Helvetica"/>
        </w:rPr>
        <w:t>centes déficits externos em conta corren</w:t>
      </w:r>
      <w:r w:rsidR="00552F3C" w:rsidRPr="00D7599C">
        <w:rPr>
          <w:rFonts w:ascii="Times" w:hAnsi="Times" w:cs="Helvetica"/>
        </w:rPr>
        <w:t>te e com taxa de juros real mais</w:t>
      </w:r>
      <w:r w:rsidR="0015027E" w:rsidRPr="00D7599C">
        <w:rPr>
          <w:rFonts w:ascii="Times" w:hAnsi="Times" w:cs="Helvetica"/>
        </w:rPr>
        <w:t xml:space="preserve"> elevada (em termos internacionais). As explicações para tais fenômenos vão de</w:t>
      </w:r>
      <w:r w:rsidR="00413D7B">
        <w:rPr>
          <w:rFonts w:ascii="Times" w:hAnsi="Times" w:cs="Helvetica"/>
        </w:rPr>
        <w:t>sde</w:t>
      </w:r>
      <w:r w:rsidR="0015027E" w:rsidRPr="00D7599C">
        <w:rPr>
          <w:rFonts w:ascii="Times" w:hAnsi="Times" w:cs="Helvetica"/>
        </w:rPr>
        <w:t xml:space="preserve"> questões associadas a taxa de câmbio à procura de poupança externa, até a aus</w:t>
      </w:r>
      <w:r w:rsidR="00413D7B">
        <w:rPr>
          <w:rFonts w:ascii="Times" w:hAnsi="Times" w:cs="Helvetica"/>
        </w:rPr>
        <w:t>ê</w:t>
      </w:r>
      <w:r w:rsidR="0015027E" w:rsidRPr="00D7599C">
        <w:rPr>
          <w:rFonts w:ascii="Times" w:hAnsi="Times" w:cs="Helvetica"/>
        </w:rPr>
        <w:t>ncia de reformas estruturais mais profundas.</w:t>
      </w:r>
    </w:p>
    <w:p w14:paraId="68D92ECA" w14:textId="34A816DE" w:rsidR="00B3009E" w:rsidRPr="006119A1" w:rsidRDefault="00847259" w:rsidP="00347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s="Lucida Grande"/>
          <w:bCs/>
        </w:rPr>
      </w:pPr>
      <w:r w:rsidRPr="00D7599C">
        <w:rPr>
          <w:rFonts w:ascii="Times" w:hAnsi="Times" w:cs="Helvetica"/>
        </w:rPr>
        <w:tab/>
      </w:r>
      <w:r w:rsidR="0037474B">
        <w:rPr>
          <w:rFonts w:ascii="Times" w:hAnsi="Times" w:cs="Helvetica"/>
        </w:rPr>
        <w:t>Em síntese</w:t>
      </w:r>
      <w:r w:rsidR="000C6676" w:rsidRPr="00D7599C">
        <w:rPr>
          <w:rFonts w:ascii="Times" w:hAnsi="Times" w:cs="Helvetica"/>
        </w:rPr>
        <w:t>, os anos 2003-2010</w:t>
      </w:r>
      <w:r w:rsidR="0015027E" w:rsidRPr="00D7599C">
        <w:rPr>
          <w:rFonts w:ascii="Times" w:hAnsi="Times" w:cs="Helvetica"/>
        </w:rPr>
        <w:t xml:space="preserve"> foram marcados pela consolidação do processo de estabilização e por avanços sociais importantes. </w:t>
      </w:r>
      <w:r w:rsidR="00CC1702">
        <w:rPr>
          <w:rFonts w:ascii="Times" w:hAnsi="Times" w:cs="Helvetica"/>
        </w:rPr>
        <w:t>P</w:t>
      </w:r>
      <w:r w:rsidR="0015027E" w:rsidRPr="00D7599C">
        <w:rPr>
          <w:rFonts w:ascii="Times" w:hAnsi="Times" w:cs="Helvetica"/>
        </w:rPr>
        <w:t>or outro lado</w:t>
      </w:r>
      <w:r w:rsidR="00413D7B">
        <w:rPr>
          <w:rFonts w:ascii="Times" w:hAnsi="Times" w:cs="Helvetica"/>
        </w:rPr>
        <w:t>,</w:t>
      </w:r>
      <w:r w:rsidR="0015027E" w:rsidRPr="00D7599C">
        <w:rPr>
          <w:rFonts w:ascii="Times" w:hAnsi="Times" w:cs="Helvetica"/>
        </w:rPr>
        <w:t xml:space="preserve"> o Brasil</w:t>
      </w:r>
      <w:r w:rsidR="00413D7B">
        <w:rPr>
          <w:rFonts w:ascii="Times" w:hAnsi="Times" w:cs="Helvetica"/>
        </w:rPr>
        <w:t>,</w:t>
      </w:r>
      <w:r w:rsidR="0015027E" w:rsidRPr="00D7599C">
        <w:rPr>
          <w:rFonts w:ascii="Times" w:hAnsi="Times" w:cs="Helvetica"/>
        </w:rPr>
        <w:t xml:space="preserve"> em 2010</w:t>
      </w:r>
      <w:r w:rsidR="00413D7B">
        <w:rPr>
          <w:rFonts w:ascii="Times" w:hAnsi="Times" w:cs="Helvetica"/>
        </w:rPr>
        <w:t>,</w:t>
      </w:r>
      <w:r w:rsidR="0015027E" w:rsidRPr="00D7599C">
        <w:rPr>
          <w:rFonts w:ascii="Times" w:hAnsi="Times" w:cs="Helvetica"/>
        </w:rPr>
        <w:t xml:space="preserve"> ainda continuava com alguns problemas similares aos de 1995, como taxa de investimento insuficien</w:t>
      </w:r>
      <w:r w:rsidR="000C6676" w:rsidRPr="00D7599C">
        <w:rPr>
          <w:rFonts w:ascii="Times" w:hAnsi="Times" w:cs="Helvetica"/>
        </w:rPr>
        <w:t>te, uma poupança domé</w:t>
      </w:r>
      <w:r w:rsidR="00413D7B">
        <w:rPr>
          <w:rFonts w:ascii="Times" w:hAnsi="Times" w:cs="Helvetica"/>
        </w:rPr>
        <w:t>s</w:t>
      </w:r>
      <w:r w:rsidR="000C6676" w:rsidRPr="00D7599C">
        <w:rPr>
          <w:rFonts w:ascii="Times" w:hAnsi="Times" w:cs="Helvetica"/>
        </w:rPr>
        <w:t>tica baixa</w:t>
      </w:r>
      <w:r w:rsidR="0015027E" w:rsidRPr="00D7599C">
        <w:rPr>
          <w:rFonts w:ascii="Times" w:hAnsi="Times" w:cs="Helvetica"/>
        </w:rPr>
        <w:t xml:space="preserve"> e competitividade deficiente da economia, problemas que estavam por trás do ressurgimento dos déficits elevados em conta corrente. </w:t>
      </w:r>
    </w:p>
    <w:p w14:paraId="6EE4F85C" w14:textId="47BC3FEF" w:rsidR="00F46A48" w:rsidRDefault="00B3009E" w:rsidP="000924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s="Times"/>
        </w:rPr>
      </w:pPr>
      <w:r w:rsidRPr="006119A1">
        <w:rPr>
          <w:rFonts w:ascii="Times" w:hAnsi="Times" w:cs="Lucida Grande"/>
          <w:bCs/>
        </w:rPr>
        <w:tab/>
      </w:r>
      <w:r w:rsidR="003D0E0C" w:rsidRPr="00241D80">
        <w:rPr>
          <w:rFonts w:ascii="Times" w:hAnsi="Times" w:cs="Lucida Grande"/>
          <w:bCs/>
        </w:rPr>
        <w:t>E</w:t>
      </w:r>
      <w:r w:rsidR="00F46A48" w:rsidRPr="00241D80">
        <w:rPr>
          <w:rFonts w:ascii="Times" w:hAnsi="Times" w:cs="Lucida Grande"/>
          <w:bCs/>
        </w:rPr>
        <w:t>m relação ao mercado de trabalho</w:t>
      </w:r>
      <w:r w:rsidR="003D0E0C" w:rsidRPr="00241D80">
        <w:rPr>
          <w:rFonts w:ascii="Times" w:hAnsi="Times" w:cs="Lucida Grande"/>
          <w:bCs/>
        </w:rPr>
        <w:t>, a década de 2000 se iniciou nublada</w:t>
      </w:r>
      <w:r w:rsidR="00F46A48" w:rsidRPr="00241D80">
        <w:rPr>
          <w:rFonts w:ascii="Times" w:hAnsi="Times" w:cs="Lucida Grande"/>
          <w:bCs/>
        </w:rPr>
        <w:t>. A taxa de dese</w:t>
      </w:r>
      <w:r w:rsidR="001C797E" w:rsidRPr="00241D80">
        <w:rPr>
          <w:rFonts w:ascii="Times" w:hAnsi="Times" w:cs="Lucida Grande"/>
          <w:bCs/>
        </w:rPr>
        <w:t>mprego</w:t>
      </w:r>
      <w:r w:rsidR="00E41550" w:rsidRPr="00241D80">
        <w:rPr>
          <w:rFonts w:ascii="Times" w:hAnsi="Times" w:cs="Lucida Grande"/>
          <w:bCs/>
        </w:rPr>
        <w:t>,</w:t>
      </w:r>
      <w:r w:rsidR="002015AB" w:rsidRPr="00241D80">
        <w:rPr>
          <w:rFonts w:ascii="Times" w:hAnsi="Times" w:cs="Lucida Grande"/>
          <w:bCs/>
        </w:rPr>
        <w:t xml:space="preserve"> </w:t>
      </w:r>
      <w:r w:rsidR="00EC3E2F" w:rsidRPr="00241D80">
        <w:rPr>
          <w:rFonts w:ascii="Times" w:hAnsi="Times" w:cs="Lucida Grande"/>
          <w:bCs/>
        </w:rPr>
        <w:t>que</w:t>
      </w:r>
      <w:r w:rsidR="00E41550" w:rsidRPr="00241D80">
        <w:rPr>
          <w:rFonts w:ascii="Times" w:hAnsi="Times" w:cs="Lucida Grande"/>
          <w:bCs/>
        </w:rPr>
        <w:t>,</w:t>
      </w:r>
      <w:r w:rsidR="00EC3E2F" w:rsidRPr="00241D80">
        <w:rPr>
          <w:rFonts w:ascii="Times" w:hAnsi="Times" w:cs="Lucida Grande"/>
          <w:bCs/>
        </w:rPr>
        <w:t xml:space="preserve"> </w:t>
      </w:r>
      <w:r w:rsidR="002015AB" w:rsidRPr="00241D80">
        <w:rPr>
          <w:rFonts w:ascii="Times" w:hAnsi="Times" w:cs="Lucida Grande"/>
          <w:bCs/>
        </w:rPr>
        <w:t>em 1995</w:t>
      </w:r>
      <w:r w:rsidR="00E41550" w:rsidRPr="00241D80">
        <w:rPr>
          <w:rFonts w:ascii="Times" w:hAnsi="Times" w:cs="Lucida Grande"/>
          <w:bCs/>
        </w:rPr>
        <w:t>,</w:t>
      </w:r>
      <w:r w:rsidR="002015AB" w:rsidRPr="00241D80">
        <w:rPr>
          <w:rFonts w:ascii="Times" w:hAnsi="Times" w:cs="Lucida Grande"/>
          <w:bCs/>
        </w:rPr>
        <w:t xml:space="preserve"> era </w:t>
      </w:r>
      <w:r w:rsidR="00092452" w:rsidRPr="00241D80">
        <w:rPr>
          <w:rFonts w:ascii="Times" w:hAnsi="Times" w:cs="Lucida Grande"/>
          <w:bCs/>
        </w:rPr>
        <w:t xml:space="preserve">de </w:t>
      </w:r>
      <w:r w:rsidR="002015AB" w:rsidRPr="00241D80">
        <w:rPr>
          <w:rFonts w:ascii="Times" w:hAnsi="Times" w:cs="Lucida Grande"/>
          <w:bCs/>
        </w:rPr>
        <w:t>6,7</w:t>
      </w:r>
      <w:r w:rsidR="00092452" w:rsidRPr="00241D80">
        <w:rPr>
          <w:rFonts w:ascii="Times" w:hAnsi="Times" w:cs="Lucida Grande"/>
          <w:bCs/>
        </w:rPr>
        <w:t>%</w:t>
      </w:r>
      <w:r w:rsidR="00E41550" w:rsidRPr="00241D80">
        <w:rPr>
          <w:rFonts w:ascii="Times" w:hAnsi="Times" w:cs="Lucida Grande"/>
          <w:bCs/>
        </w:rPr>
        <w:t>,</w:t>
      </w:r>
      <w:r w:rsidR="002015AB" w:rsidRPr="00241D80">
        <w:rPr>
          <w:rFonts w:ascii="Times" w:hAnsi="Times" w:cs="Lucida Grande"/>
          <w:bCs/>
        </w:rPr>
        <w:t xml:space="preserve"> aument</w:t>
      </w:r>
      <w:r w:rsidR="005F070E" w:rsidRPr="00241D80">
        <w:rPr>
          <w:rFonts w:ascii="Times" w:hAnsi="Times" w:cs="Lucida Grande"/>
          <w:bCs/>
        </w:rPr>
        <w:t>ou</w:t>
      </w:r>
      <w:r w:rsidR="002015AB" w:rsidRPr="00241D80">
        <w:rPr>
          <w:rFonts w:ascii="Times" w:hAnsi="Times" w:cs="Lucida Grande"/>
          <w:bCs/>
        </w:rPr>
        <w:t xml:space="preserve"> e</w:t>
      </w:r>
      <w:r w:rsidR="001C797E" w:rsidRPr="00241D80">
        <w:rPr>
          <w:rFonts w:ascii="Times" w:hAnsi="Times" w:cs="Lucida Grande"/>
          <w:bCs/>
        </w:rPr>
        <w:t xml:space="preserve"> estabiliz</w:t>
      </w:r>
      <w:r w:rsidR="005F070E" w:rsidRPr="00241D80">
        <w:rPr>
          <w:rFonts w:ascii="Times" w:hAnsi="Times" w:cs="Lucida Grande"/>
          <w:bCs/>
        </w:rPr>
        <w:t>ou-se</w:t>
      </w:r>
      <w:r w:rsidR="001C797E" w:rsidRPr="00241D80">
        <w:rPr>
          <w:rFonts w:ascii="Times" w:hAnsi="Times" w:cs="Lucida Grande"/>
          <w:bCs/>
        </w:rPr>
        <w:t xml:space="preserve"> entre 9,5</w:t>
      </w:r>
      <w:r w:rsidR="00F46A48" w:rsidRPr="00241D80">
        <w:rPr>
          <w:rFonts w:ascii="Times" w:hAnsi="Times" w:cs="Lucida Grande"/>
          <w:bCs/>
        </w:rPr>
        <w:t>% e 10,5%</w:t>
      </w:r>
      <w:r w:rsidR="00E41550" w:rsidRPr="00241D80">
        <w:rPr>
          <w:rFonts w:ascii="Times" w:hAnsi="Times" w:cs="Lucida Grande"/>
          <w:bCs/>
        </w:rPr>
        <w:t>,</w:t>
      </w:r>
      <w:r w:rsidR="00F46A48" w:rsidRPr="00241D80">
        <w:rPr>
          <w:rFonts w:ascii="Times" w:hAnsi="Times" w:cs="Lucida Grande"/>
          <w:bCs/>
        </w:rPr>
        <w:t xml:space="preserve"> nos anos de 1999 a 2005</w:t>
      </w:r>
      <w:r w:rsidR="00EC3E2F" w:rsidRPr="00241D80">
        <w:rPr>
          <w:rFonts w:ascii="Times" w:hAnsi="Times" w:cs="Lucida Grande"/>
          <w:bCs/>
        </w:rPr>
        <w:t>. D</w:t>
      </w:r>
      <w:r w:rsidR="002015AB" w:rsidRPr="00241D80">
        <w:rPr>
          <w:rFonts w:ascii="Times" w:hAnsi="Times" w:cs="Lucida Grande"/>
          <w:bCs/>
        </w:rPr>
        <w:t>e 2005 em diante</w:t>
      </w:r>
      <w:r w:rsidR="00E41550" w:rsidRPr="00241D80">
        <w:rPr>
          <w:rFonts w:ascii="Times" w:hAnsi="Times" w:cs="Lucida Grande"/>
          <w:bCs/>
        </w:rPr>
        <w:t>,</w:t>
      </w:r>
      <w:r w:rsidR="002015AB" w:rsidRPr="00241D80">
        <w:rPr>
          <w:rFonts w:ascii="Times" w:hAnsi="Times" w:cs="Lucida Grande"/>
          <w:bCs/>
        </w:rPr>
        <w:t xml:space="preserve"> as taxas </w:t>
      </w:r>
      <w:r w:rsidR="0015270F" w:rsidRPr="00241D80">
        <w:rPr>
          <w:rFonts w:ascii="Times" w:hAnsi="Times" w:cs="Lucida Grande"/>
          <w:bCs/>
        </w:rPr>
        <w:t>caíram</w:t>
      </w:r>
      <w:r w:rsidR="002015AB" w:rsidRPr="00241D80">
        <w:rPr>
          <w:rFonts w:ascii="Times" w:hAnsi="Times" w:cs="Lucida Grande"/>
          <w:bCs/>
        </w:rPr>
        <w:t xml:space="preserve">, </w:t>
      </w:r>
      <w:r w:rsidR="00EC3E2F" w:rsidRPr="00241D80">
        <w:rPr>
          <w:rFonts w:ascii="Times" w:hAnsi="Times" w:cs="Lucida Grande"/>
          <w:bCs/>
        </w:rPr>
        <w:t xml:space="preserve">sendo que </w:t>
      </w:r>
      <w:r w:rsidR="002015AB" w:rsidRPr="00241D80">
        <w:rPr>
          <w:rFonts w:ascii="Times" w:hAnsi="Times" w:cs="Lucida Grande"/>
          <w:bCs/>
        </w:rPr>
        <w:t>a menor taxa da década foi 7,8%</w:t>
      </w:r>
      <w:r w:rsidR="00092452" w:rsidRPr="00241D80">
        <w:rPr>
          <w:rFonts w:ascii="Times" w:hAnsi="Times" w:cs="Lucida Grande"/>
          <w:bCs/>
        </w:rPr>
        <w:t>, em 2008</w:t>
      </w:r>
      <w:r w:rsidR="00EC3E2F" w:rsidRPr="00241D80">
        <w:rPr>
          <w:rFonts w:ascii="Times" w:hAnsi="Times" w:cs="Lucida Grande"/>
          <w:bCs/>
        </w:rPr>
        <w:t>. Em</w:t>
      </w:r>
      <w:r w:rsidR="002015AB" w:rsidRPr="00241D80">
        <w:rPr>
          <w:rFonts w:ascii="Times" w:hAnsi="Times" w:cs="Lucida Grande"/>
          <w:bCs/>
        </w:rPr>
        <w:t xml:space="preserve"> 2009</w:t>
      </w:r>
      <w:r w:rsidR="00E41550" w:rsidRPr="00241D80">
        <w:rPr>
          <w:rFonts w:ascii="Times" w:hAnsi="Times" w:cs="Lucida Grande"/>
          <w:bCs/>
        </w:rPr>
        <w:t>,</w:t>
      </w:r>
      <w:r w:rsidR="002015AB" w:rsidRPr="00241D80">
        <w:rPr>
          <w:rFonts w:ascii="Times" w:hAnsi="Times" w:cs="Lucida Grande"/>
          <w:bCs/>
        </w:rPr>
        <w:t xml:space="preserve"> já houve um aumento para 9,1%</w:t>
      </w:r>
      <w:r w:rsidR="00EC3E2F" w:rsidRPr="00241D80">
        <w:rPr>
          <w:rFonts w:ascii="Times" w:hAnsi="Times" w:cs="Lucida Grande"/>
          <w:bCs/>
        </w:rPr>
        <w:t>, influenciado pela crise internacional</w:t>
      </w:r>
      <w:r w:rsidR="004F2123" w:rsidRPr="00241D80">
        <w:rPr>
          <w:rFonts w:ascii="Times" w:hAnsi="Times" w:cs="Lucida Grande"/>
          <w:bCs/>
        </w:rPr>
        <w:t xml:space="preserve"> </w:t>
      </w:r>
      <w:r w:rsidR="00FE32C3" w:rsidRPr="00241D80">
        <w:rPr>
          <w:rFonts w:ascii="Times" w:hAnsi="Times" w:cs="Lucida Grande"/>
          <w:bCs/>
        </w:rPr>
        <w:t>(</w:t>
      </w:r>
      <w:r w:rsidR="00FE32C3" w:rsidRPr="00241D80">
        <w:rPr>
          <w:rFonts w:ascii="Times" w:hAnsi="Times" w:cs="Times"/>
        </w:rPr>
        <w:t>CARVALHAES et al., 2012)</w:t>
      </w:r>
      <w:r w:rsidR="0015270F" w:rsidRPr="00241D80">
        <w:rPr>
          <w:rFonts w:ascii="Times" w:hAnsi="Times" w:cs="Times"/>
        </w:rPr>
        <w:t>.</w:t>
      </w:r>
      <w:r w:rsidR="00092452" w:rsidRPr="00241D80">
        <w:rPr>
          <w:rFonts w:ascii="Times" w:hAnsi="Times" w:cs="Times"/>
        </w:rPr>
        <w:t xml:space="preserve"> </w:t>
      </w:r>
    </w:p>
    <w:p w14:paraId="6118E0B9" w14:textId="76511768" w:rsidR="006A37C4" w:rsidRDefault="00F46A48" w:rsidP="00347B57">
      <w:pPr>
        <w:spacing w:line="360" w:lineRule="auto"/>
        <w:ind w:firstLine="720"/>
        <w:jc w:val="both"/>
        <w:rPr>
          <w:rFonts w:ascii="Times" w:hAnsi="Times" w:cs="Times"/>
        </w:rPr>
      </w:pPr>
      <w:r w:rsidRPr="00241D80">
        <w:rPr>
          <w:rFonts w:ascii="Times" w:hAnsi="Times" w:cs="Times"/>
        </w:rPr>
        <w:t xml:space="preserve">A expansão do emprego na década 2000 se caracteriza por um modelo de melhoria </w:t>
      </w:r>
      <w:r w:rsidR="00E41550" w:rsidRPr="00241D80">
        <w:rPr>
          <w:rFonts w:ascii="Times" w:hAnsi="Times" w:cs="Times"/>
        </w:rPr>
        <w:t>nesse setor</w:t>
      </w:r>
      <w:r w:rsidRPr="00241D80">
        <w:rPr>
          <w:rFonts w:ascii="Times" w:hAnsi="Times" w:cs="Times"/>
        </w:rPr>
        <w:t xml:space="preserve">. </w:t>
      </w:r>
      <w:r w:rsidR="00FE32C3" w:rsidRPr="00241D80">
        <w:rPr>
          <w:rFonts w:ascii="Times" w:hAnsi="Times" w:cs="Times"/>
        </w:rPr>
        <w:t>Trata-se de um crescimento concentrado principalmente nos empregos de melhor qualidade</w:t>
      </w:r>
      <w:r w:rsidR="00E41550" w:rsidRPr="00241D80">
        <w:rPr>
          <w:rFonts w:ascii="Times" w:hAnsi="Times" w:cs="Times"/>
        </w:rPr>
        <w:t>, e</w:t>
      </w:r>
      <w:r w:rsidR="00FE32C3" w:rsidRPr="00241D80">
        <w:rPr>
          <w:rFonts w:ascii="Times" w:hAnsi="Times" w:cs="Times"/>
        </w:rPr>
        <w:t>mbora, por maior que tenha sido o saldo de empregos da década, ele não alterou substancialmente a estrutura ocupacional. As mudanças salariais, por sua vez, impulsionadas fortemente pelos reajustes do salário mínimo, têm um efeito mais transversal, afetando todos os indivíduos ocupados</w:t>
      </w:r>
      <w:r w:rsidR="007F0EFC">
        <w:rPr>
          <w:rFonts w:ascii="Times" w:hAnsi="Times" w:cs="Times"/>
        </w:rPr>
        <w:t>.</w:t>
      </w:r>
    </w:p>
    <w:p w14:paraId="12720A6D" w14:textId="0515556A" w:rsidR="00431A28" w:rsidRPr="006119A1" w:rsidRDefault="00B4668E" w:rsidP="00347B57">
      <w:pPr>
        <w:spacing w:line="360" w:lineRule="auto"/>
        <w:ind w:firstLine="720"/>
        <w:jc w:val="both"/>
        <w:rPr>
          <w:rFonts w:ascii="Times" w:hAnsi="Times" w:cs="Times New Roman"/>
          <w:noProof/>
        </w:rPr>
      </w:pPr>
      <w:r w:rsidRPr="00241D80">
        <w:rPr>
          <w:rFonts w:ascii="Times" w:hAnsi="Times" w:cs="Times New Roman"/>
          <w:noProof/>
        </w:rPr>
        <w:t>O crescimento da economia n</w:t>
      </w:r>
      <w:r w:rsidR="000B17F7" w:rsidRPr="00241D80">
        <w:rPr>
          <w:rFonts w:ascii="Times" w:hAnsi="Times" w:cs="Times New Roman"/>
          <w:noProof/>
        </w:rPr>
        <w:t>a década de 2000</w:t>
      </w:r>
      <w:r w:rsidRPr="00241D80">
        <w:rPr>
          <w:rFonts w:ascii="Times" w:hAnsi="Times" w:cs="Times New Roman"/>
          <w:noProof/>
        </w:rPr>
        <w:t>, associado às</w:t>
      </w:r>
      <w:r w:rsidRPr="006119A1">
        <w:rPr>
          <w:rFonts w:ascii="Times" w:hAnsi="Times" w:cs="Times New Roman"/>
          <w:noProof/>
        </w:rPr>
        <w:t xml:space="preserve"> medidas de caráter socia</w:t>
      </w:r>
      <w:r w:rsidR="008D2485" w:rsidRPr="006119A1">
        <w:rPr>
          <w:rFonts w:ascii="Times" w:hAnsi="Times" w:cs="Times New Roman"/>
          <w:noProof/>
        </w:rPr>
        <w:t>l</w:t>
      </w:r>
      <w:r w:rsidRPr="006119A1">
        <w:rPr>
          <w:rFonts w:ascii="Times" w:hAnsi="Times" w:cs="Times New Roman"/>
          <w:noProof/>
        </w:rPr>
        <w:t xml:space="preserve"> adotadas, implicou alterações relevantes nos ganhos de qualidade de vida das pessoas. O aumento das atividades intensivas em mão</w:t>
      </w:r>
      <w:r w:rsidR="0030419C">
        <w:rPr>
          <w:rFonts w:ascii="Times" w:hAnsi="Times" w:cs="Times New Roman"/>
          <w:noProof/>
        </w:rPr>
        <w:t xml:space="preserve"> </w:t>
      </w:r>
      <w:r w:rsidRPr="006119A1">
        <w:rPr>
          <w:rFonts w:ascii="Times" w:hAnsi="Times" w:cs="Times New Roman"/>
          <w:noProof/>
        </w:rPr>
        <w:t>de</w:t>
      </w:r>
      <w:r w:rsidR="0030419C">
        <w:rPr>
          <w:rFonts w:ascii="Times" w:hAnsi="Times" w:cs="Times New Roman"/>
          <w:noProof/>
        </w:rPr>
        <w:t xml:space="preserve"> </w:t>
      </w:r>
      <w:r w:rsidRPr="006119A1">
        <w:rPr>
          <w:rFonts w:ascii="Times" w:hAnsi="Times" w:cs="Times New Roman"/>
          <w:noProof/>
        </w:rPr>
        <w:t>obra e estímulos diretos</w:t>
      </w:r>
      <w:r w:rsidR="00E41550" w:rsidRPr="006119A1">
        <w:rPr>
          <w:rFonts w:ascii="Times" w:hAnsi="Times" w:cs="Times New Roman"/>
          <w:noProof/>
        </w:rPr>
        <w:t>,</w:t>
      </w:r>
      <w:r w:rsidRPr="006119A1">
        <w:rPr>
          <w:rFonts w:ascii="Times" w:hAnsi="Times" w:cs="Times New Roman"/>
          <w:noProof/>
        </w:rPr>
        <w:t xml:space="preserve"> como o crédito favorecido aos pequenos empreendedores</w:t>
      </w:r>
      <w:r w:rsidR="00E41550" w:rsidRPr="006119A1">
        <w:rPr>
          <w:rFonts w:ascii="Times" w:hAnsi="Times" w:cs="Times New Roman"/>
          <w:noProof/>
        </w:rPr>
        <w:t>,</w:t>
      </w:r>
      <w:r w:rsidRPr="006119A1">
        <w:rPr>
          <w:rFonts w:ascii="Times" w:hAnsi="Times" w:cs="Times New Roman"/>
          <w:noProof/>
        </w:rPr>
        <w:t xml:space="preserve"> e os indiretos</w:t>
      </w:r>
      <w:r w:rsidR="00E41550" w:rsidRPr="006119A1">
        <w:rPr>
          <w:rFonts w:ascii="Times" w:hAnsi="Times" w:cs="Times New Roman"/>
          <w:noProof/>
        </w:rPr>
        <w:t>,</w:t>
      </w:r>
      <w:r w:rsidRPr="006119A1">
        <w:rPr>
          <w:rFonts w:ascii="Times" w:hAnsi="Times" w:cs="Times New Roman"/>
          <w:noProof/>
        </w:rPr>
        <w:t xml:space="preserve"> vindos do crescimento da demanda por bens e serviços, </w:t>
      </w:r>
      <w:r w:rsidR="00E41550" w:rsidRPr="006119A1">
        <w:rPr>
          <w:rFonts w:ascii="Times" w:hAnsi="Times" w:cs="Times New Roman"/>
          <w:noProof/>
        </w:rPr>
        <w:t xml:space="preserve">cooperaram </w:t>
      </w:r>
      <w:r w:rsidRPr="006119A1">
        <w:rPr>
          <w:rFonts w:ascii="Times" w:hAnsi="Times" w:cs="Times New Roman"/>
          <w:noProof/>
        </w:rPr>
        <w:t>para a redução da pobreza</w:t>
      </w:r>
      <w:r w:rsidR="00E41550" w:rsidRPr="006119A1">
        <w:rPr>
          <w:rFonts w:ascii="Times" w:hAnsi="Times" w:cs="Times New Roman"/>
          <w:noProof/>
        </w:rPr>
        <w:t>,</w:t>
      </w:r>
      <w:r w:rsidRPr="006119A1">
        <w:rPr>
          <w:rFonts w:ascii="Times" w:hAnsi="Times" w:cs="Times New Roman"/>
          <w:noProof/>
        </w:rPr>
        <w:t xml:space="preserve"> no período de 1994 a 2010</w:t>
      </w:r>
      <w:r w:rsidR="00431A28" w:rsidRPr="006119A1">
        <w:rPr>
          <w:rFonts w:ascii="Times" w:hAnsi="Times" w:cs="Times New Roman"/>
          <w:noProof/>
        </w:rPr>
        <w:t xml:space="preserve"> (NERI,</w:t>
      </w:r>
      <w:r w:rsidR="00107952" w:rsidRPr="006119A1">
        <w:rPr>
          <w:rFonts w:ascii="Times" w:hAnsi="Times" w:cs="Times New Roman"/>
          <w:noProof/>
        </w:rPr>
        <w:t xml:space="preserve"> </w:t>
      </w:r>
      <w:r w:rsidR="00431A28" w:rsidRPr="006119A1">
        <w:rPr>
          <w:rFonts w:ascii="Times" w:hAnsi="Times" w:cs="Times New Roman"/>
          <w:noProof/>
        </w:rPr>
        <w:t>2011)</w:t>
      </w:r>
      <w:r w:rsidR="00E41550" w:rsidRPr="006119A1">
        <w:rPr>
          <w:rFonts w:ascii="Times" w:hAnsi="Times" w:cs="Times New Roman"/>
          <w:noProof/>
        </w:rPr>
        <w:t>.</w:t>
      </w:r>
    </w:p>
    <w:p w14:paraId="3C06BCAF" w14:textId="106FDD9B" w:rsidR="008B2D2F" w:rsidRPr="006119A1" w:rsidRDefault="000B17F7" w:rsidP="00347B57">
      <w:pPr>
        <w:spacing w:line="360" w:lineRule="auto"/>
        <w:ind w:firstLine="720"/>
        <w:jc w:val="both"/>
        <w:rPr>
          <w:rFonts w:ascii="Times" w:hAnsi="Times" w:cs="Times New Roman"/>
          <w:noProof/>
        </w:rPr>
      </w:pPr>
      <w:r w:rsidRPr="006119A1">
        <w:rPr>
          <w:rFonts w:ascii="Times" w:hAnsi="Times" w:cs="Times New Roman"/>
          <w:noProof/>
        </w:rPr>
        <w:t xml:space="preserve">Ainda </w:t>
      </w:r>
      <w:r w:rsidR="00011B73" w:rsidRPr="006119A1">
        <w:rPr>
          <w:rFonts w:ascii="Times" w:hAnsi="Times" w:cs="Times New Roman"/>
          <w:noProof/>
        </w:rPr>
        <w:t xml:space="preserve">que </w:t>
      </w:r>
      <w:r w:rsidRPr="006119A1">
        <w:rPr>
          <w:rFonts w:ascii="Times" w:hAnsi="Times" w:cs="Times New Roman"/>
          <w:noProof/>
        </w:rPr>
        <w:t>o</w:t>
      </w:r>
      <w:r w:rsidR="008B2D2F" w:rsidRPr="006119A1">
        <w:rPr>
          <w:rFonts w:ascii="Times" w:hAnsi="Times" w:cs="Times New Roman"/>
          <w:noProof/>
        </w:rPr>
        <w:t xml:space="preserve"> Brasil </w:t>
      </w:r>
      <w:r w:rsidRPr="006119A1">
        <w:rPr>
          <w:rFonts w:ascii="Times" w:hAnsi="Times" w:cs="Times New Roman"/>
          <w:noProof/>
        </w:rPr>
        <w:t>tenha apresentado crescimento do PIB e redução da desigualdade de renda e pobreza, existem abordagens regionais relevantes pela vastidão de seu</w:t>
      </w:r>
      <w:r w:rsidR="00033BB7" w:rsidRPr="006119A1">
        <w:rPr>
          <w:rFonts w:ascii="Times" w:hAnsi="Times" w:cs="Times New Roman"/>
          <w:noProof/>
        </w:rPr>
        <w:t xml:space="preserve"> território</w:t>
      </w:r>
      <w:r w:rsidR="008B2D2F" w:rsidRPr="006119A1">
        <w:rPr>
          <w:rFonts w:ascii="Times" w:hAnsi="Times" w:cs="Times New Roman"/>
          <w:noProof/>
        </w:rPr>
        <w:t>. Por isso</w:t>
      </w:r>
      <w:r w:rsidR="0037474B">
        <w:rPr>
          <w:rFonts w:ascii="Times" w:hAnsi="Times" w:cs="Times New Roman"/>
          <w:noProof/>
        </w:rPr>
        <w:t>,</w:t>
      </w:r>
      <w:r w:rsidR="00767AB6">
        <w:rPr>
          <w:rFonts w:ascii="Times" w:hAnsi="Times" w:cs="Times New Roman"/>
          <w:noProof/>
        </w:rPr>
        <w:t xml:space="preserve"> </w:t>
      </w:r>
      <w:r w:rsidR="008B2D2F" w:rsidRPr="006119A1">
        <w:rPr>
          <w:rFonts w:ascii="Times" w:hAnsi="Times" w:cs="Times New Roman"/>
          <w:noProof/>
        </w:rPr>
        <w:t>o enfoque da Região Sul</w:t>
      </w:r>
      <w:r w:rsidR="0037474B">
        <w:rPr>
          <w:rFonts w:ascii="Times" w:hAnsi="Times" w:cs="Times New Roman"/>
          <w:noProof/>
        </w:rPr>
        <w:t xml:space="preserve"> neste artigo</w:t>
      </w:r>
      <w:r w:rsidR="00033BB7" w:rsidRPr="006119A1">
        <w:rPr>
          <w:rFonts w:ascii="Times" w:hAnsi="Times" w:cs="Times New Roman"/>
          <w:noProof/>
        </w:rPr>
        <w:t>,</w:t>
      </w:r>
      <w:r w:rsidR="008B2D2F" w:rsidRPr="006119A1">
        <w:rPr>
          <w:rFonts w:ascii="Times" w:hAnsi="Times" w:cs="Times New Roman"/>
          <w:noProof/>
        </w:rPr>
        <w:t xml:space="preserve"> a</w:t>
      </w:r>
      <w:r w:rsidR="00235834" w:rsidRPr="006119A1">
        <w:rPr>
          <w:rFonts w:ascii="Times" w:hAnsi="Times" w:cs="Times New Roman"/>
          <w:noProof/>
        </w:rPr>
        <w:t xml:space="preserve"> </w:t>
      </w:r>
      <w:r w:rsidR="008B2D2F" w:rsidRPr="006119A1">
        <w:rPr>
          <w:rFonts w:ascii="Times" w:hAnsi="Times" w:cs="Times New Roman"/>
          <w:noProof/>
        </w:rPr>
        <w:t xml:space="preserve">fim de entender </w:t>
      </w:r>
      <w:r w:rsidR="00252DAB">
        <w:rPr>
          <w:rFonts w:ascii="Times" w:hAnsi="Times" w:cs="Times New Roman"/>
          <w:noProof/>
        </w:rPr>
        <w:t>as</w:t>
      </w:r>
      <w:r w:rsidR="008B2D2F" w:rsidRPr="006119A1">
        <w:rPr>
          <w:rFonts w:ascii="Times" w:hAnsi="Times" w:cs="Times New Roman"/>
          <w:noProof/>
        </w:rPr>
        <w:t xml:space="preserve"> </w:t>
      </w:r>
      <w:r w:rsidRPr="006119A1">
        <w:rPr>
          <w:rFonts w:ascii="Times" w:hAnsi="Times" w:cs="Times New Roman"/>
          <w:noProof/>
        </w:rPr>
        <w:t xml:space="preserve">especificidades </w:t>
      </w:r>
      <w:r w:rsidR="00011B73" w:rsidRPr="006119A1">
        <w:rPr>
          <w:rFonts w:ascii="Times" w:hAnsi="Times" w:cs="Times New Roman"/>
          <w:noProof/>
        </w:rPr>
        <w:t xml:space="preserve">sobre as </w:t>
      </w:r>
      <w:r w:rsidR="008B2D2F" w:rsidRPr="006119A1">
        <w:rPr>
          <w:rFonts w:ascii="Times" w:hAnsi="Times" w:cs="Times New Roman"/>
          <w:noProof/>
        </w:rPr>
        <w:t xml:space="preserve">fontes de renda </w:t>
      </w:r>
      <w:r w:rsidR="00011B73" w:rsidRPr="006119A1">
        <w:rPr>
          <w:rFonts w:ascii="Times" w:hAnsi="Times" w:cs="Times New Roman"/>
          <w:noProof/>
        </w:rPr>
        <w:t>e sua contribuição</w:t>
      </w:r>
      <w:r w:rsidR="00033BB7" w:rsidRPr="006119A1">
        <w:rPr>
          <w:rFonts w:ascii="Times" w:hAnsi="Times" w:cs="Times New Roman"/>
          <w:noProof/>
        </w:rPr>
        <w:t xml:space="preserve"> </w:t>
      </w:r>
      <w:r w:rsidR="008B2D2F" w:rsidRPr="006119A1">
        <w:rPr>
          <w:rFonts w:ascii="Times" w:hAnsi="Times" w:cs="Times New Roman"/>
          <w:noProof/>
        </w:rPr>
        <w:t>para at</w:t>
      </w:r>
      <w:r w:rsidR="00E347A1" w:rsidRPr="006119A1">
        <w:rPr>
          <w:rFonts w:ascii="Times" w:hAnsi="Times" w:cs="Times New Roman"/>
          <w:noProof/>
        </w:rPr>
        <w:t>enuar a desigualdade regional</w:t>
      </w:r>
      <w:r w:rsidR="00033BB7" w:rsidRPr="006119A1">
        <w:rPr>
          <w:rFonts w:ascii="Times" w:hAnsi="Times" w:cs="Times New Roman"/>
          <w:noProof/>
        </w:rPr>
        <w:t xml:space="preserve"> </w:t>
      </w:r>
      <w:r w:rsidR="00B43167">
        <w:rPr>
          <w:rFonts w:ascii="Times" w:hAnsi="Times" w:cs="Times New Roman"/>
          <w:noProof/>
        </w:rPr>
        <w:t>.</w:t>
      </w:r>
    </w:p>
    <w:p w14:paraId="69814B2E" w14:textId="77777777" w:rsidR="00767AB6" w:rsidRPr="00492E9C" w:rsidRDefault="00767AB6" w:rsidP="00347B57">
      <w:pPr>
        <w:spacing w:line="360" w:lineRule="auto"/>
        <w:jc w:val="both"/>
        <w:rPr>
          <w:rFonts w:ascii="Times" w:hAnsi="Times" w:cs="Times New Roman"/>
          <w:b/>
          <w:noProof/>
        </w:rPr>
      </w:pPr>
    </w:p>
    <w:p w14:paraId="202E1A1A" w14:textId="77777777" w:rsidR="00CC1702" w:rsidRPr="00492E9C" w:rsidRDefault="00CC1702" w:rsidP="00347B57">
      <w:pPr>
        <w:spacing w:line="360" w:lineRule="auto"/>
        <w:jc w:val="both"/>
        <w:rPr>
          <w:rFonts w:ascii="Times" w:hAnsi="Times" w:cs="Times New Roman"/>
          <w:b/>
          <w:noProof/>
        </w:rPr>
      </w:pPr>
      <w:r w:rsidRPr="00492E9C">
        <w:rPr>
          <w:rFonts w:ascii="Times" w:hAnsi="Times" w:cs="Times New Roman"/>
          <w:b/>
          <w:noProof/>
        </w:rPr>
        <w:lastRenderedPageBreak/>
        <w:t>2.2. Perfil econômico e social da região sul do Brasil</w:t>
      </w:r>
    </w:p>
    <w:p w14:paraId="23AC0AA0" w14:textId="0600592F" w:rsidR="00C53B43" w:rsidRPr="006119A1" w:rsidRDefault="00D55382" w:rsidP="00C53B43">
      <w:pPr>
        <w:spacing w:line="360" w:lineRule="auto"/>
        <w:ind w:firstLine="720"/>
        <w:jc w:val="both"/>
        <w:rPr>
          <w:rFonts w:ascii="Times" w:hAnsi="Times"/>
        </w:rPr>
      </w:pPr>
      <w:r w:rsidRPr="006119A1">
        <w:rPr>
          <w:rFonts w:ascii="Times" w:hAnsi="Times"/>
        </w:rPr>
        <w:t xml:space="preserve">A </w:t>
      </w:r>
      <w:r w:rsidR="00033BB7" w:rsidRPr="0037474B">
        <w:rPr>
          <w:rFonts w:ascii="Times" w:hAnsi="Times"/>
        </w:rPr>
        <w:t xml:space="preserve">Tabela </w:t>
      </w:r>
      <w:r w:rsidR="00167DF1" w:rsidRPr="0037474B">
        <w:rPr>
          <w:rFonts w:ascii="Times" w:hAnsi="Times"/>
        </w:rPr>
        <w:t>2</w:t>
      </w:r>
      <w:r w:rsidR="007C4D92">
        <w:rPr>
          <w:rFonts w:ascii="Times" w:hAnsi="Times"/>
        </w:rPr>
        <w:t xml:space="preserve"> </w:t>
      </w:r>
      <w:r w:rsidR="007C5F6F">
        <w:rPr>
          <w:rFonts w:ascii="Times" w:hAnsi="Times"/>
        </w:rPr>
        <w:t>e</w:t>
      </w:r>
      <w:r w:rsidRPr="006119A1">
        <w:rPr>
          <w:rFonts w:ascii="Times" w:hAnsi="Times"/>
        </w:rPr>
        <w:t>x</w:t>
      </w:r>
      <w:r w:rsidR="001F06BA" w:rsidRPr="006119A1">
        <w:rPr>
          <w:rFonts w:ascii="Times" w:hAnsi="Times"/>
        </w:rPr>
        <w:t xml:space="preserve">ibe </w:t>
      </w:r>
      <w:r w:rsidR="00D87A34" w:rsidRPr="006119A1">
        <w:rPr>
          <w:rFonts w:ascii="Times" w:hAnsi="Times"/>
        </w:rPr>
        <w:t xml:space="preserve">os </w:t>
      </w:r>
      <w:r w:rsidR="001F06BA" w:rsidRPr="006119A1">
        <w:rPr>
          <w:rFonts w:ascii="Times" w:hAnsi="Times"/>
        </w:rPr>
        <w:t xml:space="preserve">indicadores </w:t>
      </w:r>
      <w:r w:rsidR="0084660E">
        <w:rPr>
          <w:rFonts w:ascii="Times" w:hAnsi="Times"/>
        </w:rPr>
        <w:t xml:space="preserve">do </w:t>
      </w:r>
      <w:r w:rsidR="000D7D1E">
        <w:rPr>
          <w:rFonts w:ascii="Times" w:hAnsi="Times"/>
        </w:rPr>
        <w:t>P</w:t>
      </w:r>
      <w:r w:rsidR="0084660E">
        <w:rPr>
          <w:rFonts w:ascii="Times" w:hAnsi="Times"/>
        </w:rPr>
        <w:t xml:space="preserve">roduto </w:t>
      </w:r>
      <w:r w:rsidR="00197648">
        <w:rPr>
          <w:rFonts w:ascii="Times" w:hAnsi="Times"/>
        </w:rPr>
        <w:t>Interno B</w:t>
      </w:r>
      <w:r w:rsidR="0084660E">
        <w:rPr>
          <w:rFonts w:ascii="Times" w:hAnsi="Times"/>
        </w:rPr>
        <w:t>ruto (PIB)</w:t>
      </w:r>
      <w:r w:rsidR="007C4D92">
        <w:rPr>
          <w:rFonts w:ascii="Times" w:hAnsi="Times"/>
        </w:rPr>
        <w:t xml:space="preserve"> </w:t>
      </w:r>
      <w:r w:rsidR="00D87A34" w:rsidRPr="006119A1">
        <w:rPr>
          <w:rFonts w:ascii="Times" w:hAnsi="Times"/>
        </w:rPr>
        <w:t xml:space="preserve">no Brasil e na </w:t>
      </w:r>
      <w:r w:rsidR="00033BB7" w:rsidRPr="006119A1">
        <w:rPr>
          <w:rFonts w:ascii="Times" w:hAnsi="Times"/>
        </w:rPr>
        <w:t xml:space="preserve">Região </w:t>
      </w:r>
      <w:r w:rsidR="00D87A34" w:rsidRPr="006119A1">
        <w:rPr>
          <w:rFonts w:ascii="Times" w:hAnsi="Times"/>
        </w:rPr>
        <w:t>Sul</w:t>
      </w:r>
      <w:r w:rsidR="007C4D92">
        <w:rPr>
          <w:rFonts w:ascii="Times" w:hAnsi="Times"/>
        </w:rPr>
        <w:t>.</w:t>
      </w:r>
    </w:p>
    <w:p w14:paraId="1A2051ED" w14:textId="2C6DE53E" w:rsidR="00D55382" w:rsidRPr="007A2FC9" w:rsidRDefault="00D55382" w:rsidP="00347B57">
      <w:pPr>
        <w:spacing w:line="360" w:lineRule="auto"/>
        <w:jc w:val="both"/>
        <w:rPr>
          <w:rFonts w:ascii="Times" w:hAnsi="Times"/>
        </w:rPr>
      </w:pPr>
      <w:r w:rsidRPr="00492E9C">
        <w:rPr>
          <w:rFonts w:ascii="Times" w:hAnsi="Times"/>
        </w:rPr>
        <w:t>Tabela</w:t>
      </w:r>
      <w:r w:rsidR="00483374" w:rsidRPr="00492E9C">
        <w:rPr>
          <w:rFonts w:ascii="Times" w:hAnsi="Times"/>
        </w:rPr>
        <w:t xml:space="preserve"> </w:t>
      </w:r>
      <w:r w:rsidR="00167DF1" w:rsidRPr="00492E9C">
        <w:rPr>
          <w:rFonts w:ascii="Times" w:hAnsi="Times"/>
        </w:rPr>
        <w:t>2</w:t>
      </w:r>
      <w:r w:rsidR="00492E9C">
        <w:rPr>
          <w:rFonts w:ascii="Times" w:hAnsi="Times"/>
        </w:rPr>
        <w:t xml:space="preserve"> -</w:t>
      </w:r>
      <w:r w:rsidRPr="007A2FC9">
        <w:rPr>
          <w:rFonts w:ascii="Times" w:hAnsi="Times"/>
          <w:b/>
        </w:rPr>
        <w:t xml:space="preserve"> </w:t>
      </w:r>
      <w:r w:rsidR="007B1A78" w:rsidRPr="007A2FC9">
        <w:rPr>
          <w:rFonts w:ascii="Times" w:hAnsi="Times"/>
        </w:rPr>
        <w:t>Indicadores econô</w:t>
      </w:r>
      <w:r w:rsidR="000364C0" w:rsidRPr="007A2FC9">
        <w:rPr>
          <w:rFonts w:ascii="Times" w:hAnsi="Times"/>
        </w:rPr>
        <w:t>micos da</w:t>
      </w:r>
      <w:r w:rsidR="00334831" w:rsidRPr="007A2FC9">
        <w:rPr>
          <w:rFonts w:ascii="Times" w:hAnsi="Times"/>
        </w:rPr>
        <w:t xml:space="preserve"> Região Sul e Brasil</w:t>
      </w:r>
      <w:r w:rsidR="000D7D1E">
        <w:rPr>
          <w:rFonts w:ascii="Times" w:hAnsi="Times"/>
        </w:rPr>
        <w:t>. 1995-2010</w:t>
      </w:r>
    </w:p>
    <w:tbl>
      <w:tblPr>
        <w:tblStyle w:val="SombreamentoClaro"/>
        <w:tblW w:w="5000" w:type="pct"/>
        <w:tblLook w:val="06A0" w:firstRow="1" w:lastRow="0" w:firstColumn="1" w:lastColumn="0" w:noHBand="1" w:noVBand="1"/>
      </w:tblPr>
      <w:tblGrid>
        <w:gridCol w:w="1749"/>
        <w:gridCol w:w="1740"/>
        <w:gridCol w:w="1340"/>
        <w:gridCol w:w="1126"/>
        <w:gridCol w:w="1653"/>
        <w:gridCol w:w="1456"/>
      </w:tblGrid>
      <w:tr w:rsidR="001D4D4E" w:rsidRPr="00BD4734" w14:paraId="085F3B9A" w14:textId="77777777" w:rsidTr="007C4D92">
        <w:trPr>
          <w:cnfStyle w:val="100000000000" w:firstRow="1" w:lastRow="0" w:firstColumn="0" w:lastColumn="0" w:oddVBand="0" w:evenVBand="0" w:oddHBand="0"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65" w:type="pct"/>
          </w:tcPr>
          <w:p w14:paraId="64F3B49B" w14:textId="77777777" w:rsidR="001D4D4E" w:rsidRPr="000D7D1E" w:rsidRDefault="001D4D4E" w:rsidP="00CC1702">
            <w:pPr>
              <w:jc w:val="both"/>
              <w:rPr>
                <w:rFonts w:ascii="Times" w:hAnsi="Times"/>
                <w:b w:val="0"/>
                <w:color w:val="auto"/>
                <w:sz w:val="20"/>
                <w:szCs w:val="20"/>
              </w:rPr>
            </w:pPr>
            <w:r w:rsidRPr="000D7D1E">
              <w:rPr>
                <w:rFonts w:ascii="Times" w:hAnsi="Times"/>
                <w:b w:val="0"/>
                <w:color w:val="auto"/>
                <w:sz w:val="20"/>
                <w:szCs w:val="20"/>
              </w:rPr>
              <w:t xml:space="preserve">Indicadores  </w:t>
            </w:r>
          </w:p>
        </w:tc>
        <w:tc>
          <w:tcPr>
            <w:tcW w:w="960" w:type="pct"/>
          </w:tcPr>
          <w:p w14:paraId="74649165" w14:textId="77777777" w:rsidR="001D4D4E" w:rsidRPr="00BD4734" w:rsidRDefault="001D4D4E" w:rsidP="00CC1702">
            <w:pPr>
              <w:jc w:val="both"/>
              <w:cnfStyle w:val="100000000000" w:firstRow="1" w:lastRow="0" w:firstColumn="0" w:lastColumn="0" w:oddVBand="0" w:evenVBand="0" w:oddHBand="0" w:evenHBand="0" w:firstRowFirstColumn="0" w:firstRowLastColumn="0" w:lastRowFirstColumn="0" w:lastRowLastColumn="0"/>
              <w:rPr>
                <w:rFonts w:ascii="Times" w:hAnsi="Times"/>
                <w:b w:val="0"/>
                <w:color w:val="auto"/>
                <w:sz w:val="20"/>
                <w:szCs w:val="20"/>
              </w:rPr>
            </w:pPr>
            <w:r w:rsidRPr="00BD4734">
              <w:rPr>
                <w:rFonts w:ascii="Times" w:hAnsi="Times"/>
                <w:b w:val="0"/>
                <w:color w:val="auto"/>
                <w:sz w:val="20"/>
                <w:szCs w:val="20"/>
              </w:rPr>
              <w:t>Região</w:t>
            </w:r>
          </w:p>
        </w:tc>
        <w:tc>
          <w:tcPr>
            <w:tcW w:w="739" w:type="pct"/>
          </w:tcPr>
          <w:p w14:paraId="512ACFE5" w14:textId="77777777" w:rsidR="001D4D4E" w:rsidRPr="00BD4734" w:rsidRDefault="001D4D4E" w:rsidP="00CC1702">
            <w:pPr>
              <w:jc w:val="both"/>
              <w:cnfStyle w:val="100000000000" w:firstRow="1" w:lastRow="0" w:firstColumn="0" w:lastColumn="0" w:oddVBand="0" w:evenVBand="0" w:oddHBand="0" w:evenHBand="0" w:firstRowFirstColumn="0" w:firstRowLastColumn="0" w:lastRowFirstColumn="0" w:lastRowLastColumn="0"/>
              <w:rPr>
                <w:rFonts w:ascii="Times" w:hAnsi="Times"/>
                <w:b w:val="0"/>
                <w:color w:val="auto"/>
                <w:sz w:val="20"/>
                <w:szCs w:val="20"/>
              </w:rPr>
            </w:pPr>
            <w:r w:rsidRPr="00BD4734">
              <w:rPr>
                <w:rFonts w:ascii="Times" w:hAnsi="Times"/>
                <w:b w:val="0"/>
                <w:color w:val="auto"/>
                <w:sz w:val="20"/>
                <w:szCs w:val="20"/>
              </w:rPr>
              <w:t>1995</w:t>
            </w:r>
          </w:p>
        </w:tc>
        <w:tc>
          <w:tcPr>
            <w:tcW w:w="621" w:type="pct"/>
          </w:tcPr>
          <w:p w14:paraId="727655EF" w14:textId="77777777" w:rsidR="001D4D4E" w:rsidRPr="00BD4734" w:rsidRDefault="001D4D4E" w:rsidP="00CC1702">
            <w:pPr>
              <w:jc w:val="both"/>
              <w:cnfStyle w:val="100000000000" w:firstRow="1" w:lastRow="0" w:firstColumn="0" w:lastColumn="0" w:oddVBand="0" w:evenVBand="0" w:oddHBand="0" w:evenHBand="0" w:firstRowFirstColumn="0" w:firstRowLastColumn="0" w:lastRowFirstColumn="0" w:lastRowLastColumn="0"/>
              <w:rPr>
                <w:rFonts w:ascii="Times" w:hAnsi="Times"/>
                <w:b w:val="0"/>
                <w:color w:val="auto"/>
                <w:sz w:val="20"/>
                <w:szCs w:val="20"/>
              </w:rPr>
            </w:pPr>
            <w:r w:rsidRPr="00BD4734">
              <w:rPr>
                <w:rFonts w:ascii="Times" w:hAnsi="Times"/>
                <w:b w:val="0"/>
                <w:color w:val="auto"/>
                <w:sz w:val="20"/>
                <w:szCs w:val="20"/>
              </w:rPr>
              <w:t>2002</w:t>
            </w:r>
          </w:p>
        </w:tc>
        <w:tc>
          <w:tcPr>
            <w:tcW w:w="912" w:type="pct"/>
          </w:tcPr>
          <w:p w14:paraId="40CBB88C" w14:textId="77777777" w:rsidR="001D4D4E" w:rsidRPr="00BD4734" w:rsidRDefault="001D4D4E" w:rsidP="00CC1702">
            <w:pPr>
              <w:jc w:val="both"/>
              <w:cnfStyle w:val="100000000000" w:firstRow="1" w:lastRow="0" w:firstColumn="0" w:lastColumn="0" w:oddVBand="0" w:evenVBand="0" w:oddHBand="0" w:evenHBand="0" w:firstRowFirstColumn="0" w:firstRowLastColumn="0" w:lastRowFirstColumn="0" w:lastRowLastColumn="0"/>
              <w:rPr>
                <w:rFonts w:ascii="Times" w:hAnsi="Times"/>
                <w:b w:val="0"/>
                <w:color w:val="auto"/>
                <w:sz w:val="20"/>
                <w:szCs w:val="20"/>
              </w:rPr>
            </w:pPr>
            <w:r w:rsidRPr="00BD4734">
              <w:rPr>
                <w:rFonts w:ascii="Times" w:hAnsi="Times"/>
                <w:b w:val="0"/>
                <w:color w:val="auto"/>
                <w:sz w:val="20"/>
                <w:szCs w:val="20"/>
              </w:rPr>
              <w:t>2003</w:t>
            </w:r>
          </w:p>
        </w:tc>
        <w:tc>
          <w:tcPr>
            <w:tcW w:w="803" w:type="pct"/>
          </w:tcPr>
          <w:p w14:paraId="62739D1D" w14:textId="77777777" w:rsidR="001D4D4E" w:rsidRPr="00BD4734" w:rsidRDefault="001D4D4E" w:rsidP="00CC1702">
            <w:pPr>
              <w:jc w:val="both"/>
              <w:cnfStyle w:val="100000000000" w:firstRow="1" w:lastRow="0" w:firstColumn="0" w:lastColumn="0" w:oddVBand="0" w:evenVBand="0" w:oddHBand="0" w:evenHBand="0" w:firstRowFirstColumn="0" w:firstRowLastColumn="0" w:lastRowFirstColumn="0" w:lastRowLastColumn="0"/>
              <w:rPr>
                <w:rFonts w:ascii="Times" w:hAnsi="Times"/>
                <w:b w:val="0"/>
                <w:color w:val="auto"/>
                <w:sz w:val="20"/>
                <w:szCs w:val="20"/>
              </w:rPr>
            </w:pPr>
            <w:r w:rsidRPr="00BD4734">
              <w:rPr>
                <w:rFonts w:ascii="Times" w:hAnsi="Times"/>
                <w:b w:val="0"/>
                <w:color w:val="auto"/>
                <w:sz w:val="20"/>
                <w:szCs w:val="20"/>
              </w:rPr>
              <w:t>2010</w:t>
            </w:r>
          </w:p>
        </w:tc>
      </w:tr>
      <w:tr w:rsidR="00AA22E6" w:rsidRPr="00BD4734" w14:paraId="07C53716" w14:textId="77777777" w:rsidTr="007C4D92">
        <w:trPr>
          <w:trHeight w:val="522"/>
        </w:trPr>
        <w:tc>
          <w:tcPr>
            <w:cnfStyle w:val="001000000000" w:firstRow="0" w:lastRow="0" w:firstColumn="1" w:lastColumn="0" w:oddVBand="0" w:evenVBand="0" w:oddHBand="0" w:evenHBand="0" w:firstRowFirstColumn="0" w:firstRowLastColumn="0" w:lastRowFirstColumn="0" w:lastRowLastColumn="0"/>
            <w:tcW w:w="965" w:type="pct"/>
            <w:vMerge w:val="restart"/>
          </w:tcPr>
          <w:p w14:paraId="487E4329" w14:textId="77777777" w:rsidR="003A0B8A" w:rsidRPr="000D7D1E" w:rsidRDefault="001D4D4E" w:rsidP="00CC1702">
            <w:pPr>
              <w:jc w:val="both"/>
              <w:rPr>
                <w:rFonts w:ascii="Times" w:hAnsi="Times"/>
                <w:b w:val="0"/>
                <w:color w:val="auto"/>
                <w:sz w:val="20"/>
                <w:szCs w:val="20"/>
              </w:rPr>
            </w:pPr>
            <w:r w:rsidRPr="000D7D1E">
              <w:rPr>
                <w:rFonts w:ascii="Times" w:hAnsi="Times"/>
                <w:b w:val="0"/>
                <w:color w:val="auto"/>
                <w:sz w:val="20"/>
                <w:szCs w:val="20"/>
              </w:rPr>
              <w:t xml:space="preserve">PIB corrente </w:t>
            </w:r>
          </w:p>
          <w:p w14:paraId="2EE348EC" w14:textId="77777777" w:rsidR="001D4D4E" w:rsidRPr="000D7D1E" w:rsidRDefault="001D4D4E" w:rsidP="00CC1702">
            <w:pPr>
              <w:jc w:val="both"/>
              <w:rPr>
                <w:rFonts w:ascii="Times" w:hAnsi="Times"/>
                <w:b w:val="0"/>
                <w:color w:val="auto"/>
                <w:sz w:val="20"/>
                <w:szCs w:val="20"/>
              </w:rPr>
            </w:pPr>
            <w:r w:rsidRPr="000D7D1E">
              <w:rPr>
                <w:rFonts w:ascii="Times" w:hAnsi="Times"/>
                <w:b w:val="0"/>
                <w:color w:val="auto"/>
                <w:sz w:val="20"/>
                <w:szCs w:val="20"/>
              </w:rPr>
              <w:t>(R$</w:t>
            </w:r>
            <w:r w:rsidR="00E816E8" w:rsidRPr="000D7D1E">
              <w:rPr>
                <w:rFonts w:ascii="Times" w:hAnsi="Times"/>
                <w:b w:val="0"/>
                <w:color w:val="auto"/>
                <w:sz w:val="20"/>
                <w:szCs w:val="20"/>
              </w:rPr>
              <w:t xml:space="preserve"> </w:t>
            </w:r>
            <w:r w:rsidR="0098309B" w:rsidRPr="000D7D1E">
              <w:rPr>
                <w:rFonts w:ascii="Times" w:hAnsi="Times"/>
                <w:b w:val="0"/>
                <w:color w:val="auto"/>
                <w:sz w:val="20"/>
                <w:szCs w:val="20"/>
              </w:rPr>
              <w:t>milhões</w:t>
            </w:r>
            <w:r w:rsidRPr="000D7D1E">
              <w:rPr>
                <w:rFonts w:ascii="Times" w:hAnsi="Times"/>
                <w:b w:val="0"/>
                <w:color w:val="auto"/>
                <w:sz w:val="20"/>
                <w:szCs w:val="20"/>
              </w:rPr>
              <w:t>)</w:t>
            </w:r>
          </w:p>
        </w:tc>
        <w:tc>
          <w:tcPr>
            <w:tcW w:w="960" w:type="pct"/>
          </w:tcPr>
          <w:p w14:paraId="60715515" w14:textId="77777777" w:rsidR="001D4D4E" w:rsidRPr="00BD4734" w:rsidRDefault="001D4D4E" w:rsidP="00CC1702">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0"/>
                <w:szCs w:val="20"/>
              </w:rPr>
            </w:pPr>
            <w:r w:rsidRPr="00BD4734">
              <w:rPr>
                <w:rFonts w:ascii="Times" w:hAnsi="Times"/>
                <w:color w:val="auto"/>
                <w:sz w:val="20"/>
                <w:szCs w:val="20"/>
              </w:rPr>
              <w:t>Brasil</w:t>
            </w:r>
          </w:p>
        </w:tc>
        <w:tc>
          <w:tcPr>
            <w:tcW w:w="739" w:type="pct"/>
          </w:tcPr>
          <w:p w14:paraId="76D9EE2D" w14:textId="77777777" w:rsidR="001D4D4E" w:rsidRPr="00BD4734" w:rsidRDefault="001D4D4E" w:rsidP="00CC1702">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0"/>
                <w:szCs w:val="20"/>
              </w:rPr>
            </w:pPr>
            <w:r w:rsidRPr="00BD4734">
              <w:rPr>
                <w:rFonts w:ascii="Times" w:hAnsi="Times"/>
                <w:color w:val="auto"/>
                <w:sz w:val="20"/>
                <w:szCs w:val="20"/>
              </w:rPr>
              <w:t>705.641</w:t>
            </w:r>
          </w:p>
        </w:tc>
        <w:tc>
          <w:tcPr>
            <w:tcW w:w="621" w:type="pct"/>
          </w:tcPr>
          <w:p w14:paraId="2193359A" w14:textId="77777777" w:rsidR="001D4D4E" w:rsidRPr="00BD4734" w:rsidRDefault="001D4D4E" w:rsidP="00CC1702">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0"/>
                <w:szCs w:val="20"/>
              </w:rPr>
            </w:pPr>
            <w:r w:rsidRPr="00BD4734">
              <w:rPr>
                <w:rFonts w:ascii="Times" w:hAnsi="Times"/>
                <w:color w:val="auto"/>
                <w:sz w:val="20"/>
                <w:szCs w:val="20"/>
              </w:rPr>
              <w:t>1.477.822</w:t>
            </w:r>
          </w:p>
        </w:tc>
        <w:tc>
          <w:tcPr>
            <w:tcW w:w="912" w:type="pct"/>
          </w:tcPr>
          <w:p w14:paraId="277C1529" w14:textId="77777777" w:rsidR="001D4D4E" w:rsidRPr="00BD4734" w:rsidRDefault="001D4D4E" w:rsidP="00CC1702">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0"/>
                <w:szCs w:val="20"/>
              </w:rPr>
            </w:pPr>
            <w:r w:rsidRPr="00BD4734">
              <w:rPr>
                <w:rFonts w:ascii="Times" w:hAnsi="Times" w:cs="Verdana"/>
                <w:color w:val="auto"/>
                <w:sz w:val="20"/>
                <w:szCs w:val="20"/>
                <w:lang w:val="en-US"/>
              </w:rPr>
              <w:t>1.699.900</w:t>
            </w:r>
          </w:p>
        </w:tc>
        <w:tc>
          <w:tcPr>
            <w:tcW w:w="803" w:type="pct"/>
          </w:tcPr>
          <w:p w14:paraId="5E4492EB" w14:textId="77777777" w:rsidR="001D4D4E" w:rsidRPr="00BD4734" w:rsidRDefault="001D4D4E" w:rsidP="00CC1702">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0"/>
                <w:szCs w:val="20"/>
              </w:rPr>
            </w:pPr>
            <w:r w:rsidRPr="00BD4734">
              <w:rPr>
                <w:rFonts w:ascii="Times" w:hAnsi="Times"/>
                <w:color w:val="auto"/>
                <w:sz w:val="20"/>
                <w:szCs w:val="20"/>
              </w:rPr>
              <w:t>3.770.085</w:t>
            </w:r>
          </w:p>
        </w:tc>
      </w:tr>
      <w:tr w:rsidR="001D4D4E" w:rsidRPr="00BD4734" w14:paraId="244E19F9" w14:textId="77777777" w:rsidTr="007C4D92">
        <w:trPr>
          <w:trHeight w:val="522"/>
        </w:trPr>
        <w:tc>
          <w:tcPr>
            <w:cnfStyle w:val="001000000000" w:firstRow="0" w:lastRow="0" w:firstColumn="1" w:lastColumn="0" w:oddVBand="0" w:evenVBand="0" w:oddHBand="0" w:evenHBand="0" w:firstRowFirstColumn="0" w:firstRowLastColumn="0" w:lastRowFirstColumn="0" w:lastRowLastColumn="0"/>
            <w:tcW w:w="965" w:type="pct"/>
            <w:vMerge/>
          </w:tcPr>
          <w:p w14:paraId="33DF082E" w14:textId="77777777" w:rsidR="001D4D4E" w:rsidRPr="000D7D1E" w:rsidRDefault="001D4D4E" w:rsidP="00CC1702">
            <w:pPr>
              <w:jc w:val="both"/>
              <w:rPr>
                <w:rFonts w:ascii="Times" w:hAnsi="Times"/>
                <w:b w:val="0"/>
                <w:color w:val="auto"/>
                <w:sz w:val="20"/>
                <w:szCs w:val="20"/>
              </w:rPr>
            </w:pPr>
          </w:p>
        </w:tc>
        <w:tc>
          <w:tcPr>
            <w:tcW w:w="960" w:type="pct"/>
          </w:tcPr>
          <w:p w14:paraId="0E49A79A" w14:textId="77777777" w:rsidR="001D4D4E" w:rsidRPr="00BD4734" w:rsidRDefault="001D4D4E" w:rsidP="00CC1702">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0"/>
                <w:szCs w:val="20"/>
              </w:rPr>
            </w:pPr>
            <w:r w:rsidRPr="00BD4734">
              <w:rPr>
                <w:rFonts w:ascii="Times" w:hAnsi="Times"/>
                <w:color w:val="auto"/>
                <w:sz w:val="20"/>
                <w:szCs w:val="20"/>
              </w:rPr>
              <w:t>Sul</w:t>
            </w:r>
          </w:p>
        </w:tc>
        <w:tc>
          <w:tcPr>
            <w:tcW w:w="739" w:type="pct"/>
          </w:tcPr>
          <w:p w14:paraId="3AAF7F16" w14:textId="77777777" w:rsidR="001D4D4E" w:rsidRPr="00BD4734" w:rsidRDefault="001D4D4E" w:rsidP="00CC1702">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0"/>
                <w:szCs w:val="20"/>
              </w:rPr>
            </w:pPr>
            <w:r w:rsidRPr="00BD4734">
              <w:rPr>
                <w:rFonts w:ascii="Times" w:hAnsi="Times"/>
                <w:color w:val="auto"/>
                <w:sz w:val="20"/>
                <w:szCs w:val="20"/>
              </w:rPr>
              <w:t>114.314</w:t>
            </w:r>
          </w:p>
        </w:tc>
        <w:tc>
          <w:tcPr>
            <w:tcW w:w="621" w:type="pct"/>
          </w:tcPr>
          <w:p w14:paraId="79AB350C" w14:textId="77777777" w:rsidR="001D4D4E" w:rsidRPr="00BD4734" w:rsidRDefault="001D4D4E" w:rsidP="00CC1702">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0"/>
                <w:szCs w:val="20"/>
              </w:rPr>
            </w:pPr>
            <w:r w:rsidRPr="00BD4734">
              <w:rPr>
                <w:rFonts w:ascii="Times" w:hAnsi="Times"/>
                <w:color w:val="auto"/>
                <w:sz w:val="20"/>
                <w:szCs w:val="20"/>
              </w:rPr>
              <w:t>249.626</w:t>
            </w:r>
          </w:p>
        </w:tc>
        <w:tc>
          <w:tcPr>
            <w:tcW w:w="912" w:type="pct"/>
          </w:tcPr>
          <w:p w14:paraId="381F0732" w14:textId="77777777" w:rsidR="001D4D4E" w:rsidRPr="00BD4734" w:rsidRDefault="001D4D4E" w:rsidP="00CC1702">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0"/>
                <w:szCs w:val="20"/>
              </w:rPr>
            </w:pPr>
            <w:r w:rsidRPr="00BD4734">
              <w:rPr>
                <w:rFonts w:ascii="Times" w:hAnsi="Times" w:cs="Verdana"/>
                <w:color w:val="auto"/>
                <w:sz w:val="20"/>
                <w:szCs w:val="20"/>
                <w:lang w:val="en-US"/>
              </w:rPr>
              <w:t>300.858</w:t>
            </w:r>
          </w:p>
        </w:tc>
        <w:tc>
          <w:tcPr>
            <w:tcW w:w="803" w:type="pct"/>
          </w:tcPr>
          <w:p w14:paraId="1963CA21" w14:textId="77777777" w:rsidR="001D4D4E" w:rsidRPr="00BD4734" w:rsidRDefault="001D4D4E" w:rsidP="00CC1702">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0"/>
                <w:szCs w:val="20"/>
              </w:rPr>
            </w:pPr>
            <w:r w:rsidRPr="00BD4734">
              <w:rPr>
                <w:rFonts w:ascii="Times" w:hAnsi="Times"/>
                <w:color w:val="auto"/>
                <w:sz w:val="20"/>
                <w:szCs w:val="20"/>
              </w:rPr>
              <w:t>622.255</w:t>
            </w:r>
          </w:p>
        </w:tc>
      </w:tr>
      <w:tr w:rsidR="00AA22E6" w:rsidRPr="00BD4734" w14:paraId="7BD12F1A" w14:textId="77777777" w:rsidTr="007C4D92">
        <w:trPr>
          <w:trHeight w:val="522"/>
        </w:trPr>
        <w:tc>
          <w:tcPr>
            <w:cnfStyle w:val="001000000000" w:firstRow="0" w:lastRow="0" w:firstColumn="1" w:lastColumn="0" w:oddVBand="0" w:evenVBand="0" w:oddHBand="0" w:evenHBand="0" w:firstRowFirstColumn="0" w:firstRowLastColumn="0" w:lastRowFirstColumn="0" w:lastRowLastColumn="0"/>
            <w:tcW w:w="965" w:type="pct"/>
            <w:vMerge w:val="restart"/>
          </w:tcPr>
          <w:p w14:paraId="634731F5" w14:textId="77777777" w:rsidR="001D4D4E" w:rsidRPr="000D7D1E" w:rsidRDefault="001D4D4E" w:rsidP="00CC1702">
            <w:pPr>
              <w:jc w:val="both"/>
              <w:rPr>
                <w:rFonts w:ascii="Times" w:hAnsi="Times"/>
                <w:b w:val="0"/>
                <w:color w:val="auto"/>
                <w:sz w:val="20"/>
                <w:szCs w:val="20"/>
              </w:rPr>
            </w:pPr>
            <w:r w:rsidRPr="000D7D1E">
              <w:rPr>
                <w:rFonts w:ascii="Times" w:hAnsi="Times"/>
                <w:b w:val="0"/>
                <w:color w:val="auto"/>
                <w:sz w:val="20"/>
                <w:szCs w:val="20"/>
              </w:rPr>
              <w:t>PIB (%)</w:t>
            </w:r>
          </w:p>
        </w:tc>
        <w:tc>
          <w:tcPr>
            <w:tcW w:w="960" w:type="pct"/>
          </w:tcPr>
          <w:p w14:paraId="3D546F4D" w14:textId="77777777" w:rsidR="001D4D4E" w:rsidRPr="00BD4734" w:rsidRDefault="001D4D4E" w:rsidP="00CC1702">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0"/>
                <w:szCs w:val="20"/>
              </w:rPr>
            </w:pPr>
            <w:r w:rsidRPr="00BD4734">
              <w:rPr>
                <w:rFonts w:ascii="Times" w:hAnsi="Times"/>
                <w:color w:val="auto"/>
                <w:sz w:val="20"/>
                <w:szCs w:val="20"/>
              </w:rPr>
              <w:t>Brasil</w:t>
            </w:r>
          </w:p>
        </w:tc>
        <w:tc>
          <w:tcPr>
            <w:tcW w:w="739" w:type="pct"/>
          </w:tcPr>
          <w:p w14:paraId="6B3EBB01" w14:textId="77777777" w:rsidR="001D4D4E" w:rsidRPr="00BD4734" w:rsidRDefault="001D4D4E" w:rsidP="00CC1702">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0"/>
                <w:szCs w:val="20"/>
              </w:rPr>
            </w:pPr>
            <w:r w:rsidRPr="00BD4734">
              <w:rPr>
                <w:rFonts w:ascii="Times" w:hAnsi="Times"/>
                <w:color w:val="auto"/>
                <w:sz w:val="20"/>
                <w:szCs w:val="20"/>
              </w:rPr>
              <w:t>100</w:t>
            </w:r>
          </w:p>
        </w:tc>
        <w:tc>
          <w:tcPr>
            <w:tcW w:w="621" w:type="pct"/>
          </w:tcPr>
          <w:p w14:paraId="609913FE" w14:textId="77777777" w:rsidR="001D4D4E" w:rsidRPr="00BD4734" w:rsidRDefault="001D4D4E" w:rsidP="00CC1702">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0"/>
                <w:szCs w:val="20"/>
              </w:rPr>
            </w:pPr>
            <w:r w:rsidRPr="00BD4734">
              <w:rPr>
                <w:rFonts w:ascii="Times" w:hAnsi="Times"/>
                <w:color w:val="auto"/>
                <w:sz w:val="20"/>
                <w:szCs w:val="20"/>
              </w:rPr>
              <w:t>100</w:t>
            </w:r>
          </w:p>
        </w:tc>
        <w:tc>
          <w:tcPr>
            <w:tcW w:w="912" w:type="pct"/>
          </w:tcPr>
          <w:p w14:paraId="6BA0D036" w14:textId="77777777" w:rsidR="001D4D4E" w:rsidRPr="00BD4734" w:rsidRDefault="001D4D4E" w:rsidP="00CC1702">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0"/>
                <w:szCs w:val="20"/>
              </w:rPr>
            </w:pPr>
            <w:r w:rsidRPr="00BD4734">
              <w:rPr>
                <w:rFonts w:ascii="Times" w:hAnsi="Times"/>
                <w:color w:val="auto"/>
                <w:sz w:val="20"/>
                <w:szCs w:val="20"/>
              </w:rPr>
              <w:t>100</w:t>
            </w:r>
          </w:p>
        </w:tc>
        <w:tc>
          <w:tcPr>
            <w:tcW w:w="803" w:type="pct"/>
          </w:tcPr>
          <w:p w14:paraId="136098C3" w14:textId="77777777" w:rsidR="001D4D4E" w:rsidRPr="00BD4734" w:rsidRDefault="001D4D4E" w:rsidP="00CC1702">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0"/>
                <w:szCs w:val="20"/>
              </w:rPr>
            </w:pPr>
            <w:r w:rsidRPr="00BD4734">
              <w:rPr>
                <w:rFonts w:ascii="Times" w:hAnsi="Times"/>
                <w:color w:val="auto"/>
                <w:sz w:val="20"/>
                <w:szCs w:val="20"/>
              </w:rPr>
              <w:t>100</w:t>
            </w:r>
          </w:p>
        </w:tc>
      </w:tr>
      <w:tr w:rsidR="001D4D4E" w:rsidRPr="00BD4734" w14:paraId="776AF1C9" w14:textId="77777777" w:rsidTr="007C4D92">
        <w:trPr>
          <w:trHeight w:val="522"/>
        </w:trPr>
        <w:tc>
          <w:tcPr>
            <w:cnfStyle w:val="001000000000" w:firstRow="0" w:lastRow="0" w:firstColumn="1" w:lastColumn="0" w:oddVBand="0" w:evenVBand="0" w:oddHBand="0" w:evenHBand="0" w:firstRowFirstColumn="0" w:firstRowLastColumn="0" w:lastRowFirstColumn="0" w:lastRowLastColumn="0"/>
            <w:tcW w:w="965" w:type="pct"/>
            <w:vMerge/>
          </w:tcPr>
          <w:p w14:paraId="2308F67A" w14:textId="77777777" w:rsidR="001D4D4E" w:rsidRPr="000D7D1E" w:rsidRDefault="001D4D4E" w:rsidP="00CC1702">
            <w:pPr>
              <w:jc w:val="both"/>
              <w:rPr>
                <w:rFonts w:ascii="Times" w:hAnsi="Times"/>
                <w:b w:val="0"/>
                <w:color w:val="auto"/>
                <w:sz w:val="20"/>
                <w:szCs w:val="20"/>
              </w:rPr>
            </w:pPr>
          </w:p>
        </w:tc>
        <w:tc>
          <w:tcPr>
            <w:tcW w:w="960" w:type="pct"/>
          </w:tcPr>
          <w:p w14:paraId="29E46DE1" w14:textId="77777777" w:rsidR="001D4D4E" w:rsidRPr="00BD4734" w:rsidRDefault="001D4D4E" w:rsidP="00CC1702">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0"/>
                <w:szCs w:val="20"/>
              </w:rPr>
            </w:pPr>
            <w:r w:rsidRPr="00BD4734">
              <w:rPr>
                <w:rFonts w:ascii="Times" w:hAnsi="Times"/>
                <w:color w:val="auto"/>
                <w:sz w:val="20"/>
                <w:szCs w:val="20"/>
              </w:rPr>
              <w:t>Sul</w:t>
            </w:r>
          </w:p>
        </w:tc>
        <w:tc>
          <w:tcPr>
            <w:tcW w:w="739" w:type="pct"/>
          </w:tcPr>
          <w:p w14:paraId="3B58161F" w14:textId="77777777" w:rsidR="001D4D4E" w:rsidRPr="00BD4734" w:rsidRDefault="001D4D4E" w:rsidP="00CC1702">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0"/>
                <w:szCs w:val="20"/>
              </w:rPr>
            </w:pPr>
            <w:r w:rsidRPr="00BD4734">
              <w:rPr>
                <w:rFonts w:ascii="Times" w:hAnsi="Times"/>
                <w:color w:val="auto"/>
                <w:sz w:val="20"/>
                <w:szCs w:val="20"/>
              </w:rPr>
              <w:t>16,2</w:t>
            </w:r>
          </w:p>
        </w:tc>
        <w:tc>
          <w:tcPr>
            <w:tcW w:w="621" w:type="pct"/>
          </w:tcPr>
          <w:p w14:paraId="3D5584BE" w14:textId="77777777" w:rsidR="001D4D4E" w:rsidRPr="00BD4734" w:rsidRDefault="001D4D4E" w:rsidP="00CC1702">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0"/>
                <w:szCs w:val="20"/>
              </w:rPr>
            </w:pPr>
            <w:r w:rsidRPr="00BD4734">
              <w:rPr>
                <w:rFonts w:ascii="Times" w:hAnsi="Times"/>
                <w:color w:val="auto"/>
                <w:sz w:val="20"/>
                <w:szCs w:val="20"/>
              </w:rPr>
              <w:t>16,9</w:t>
            </w:r>
          </w:p>
        </w:tc>
        <w:tc>
          <w:tcPr>
            <w:tcW w:w="912" w:type="pct"/>
          </w:tcPr>
          <w:p w14:paraId="14D252EE" w14:textId="77777777" w:rsidR="001D4D4E" w:rsidRPr="00BD4734" w:rsidRDefault="001D4D4E" w:rsidP="00CC1702">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0"/>
                <w:szCs w:val="20"/>
              </w:rPr>
            </w:pPr>
            <w:r w:rsidRPr="00BD4734">
              <w:rPr>
                <w:rFonts w:ascii="Times" w:hAnsi="Times"/>
                <w:color w:val="auto"/>
                <w:sz w:val="20"/>
                <w:szCs w:val="20"/>
              </w:rPr>
              <w:t>17,7</w:t>
            </w:r>
          </w:p>
        </w:tc>
        <w:tc>
          <w:tcPr>
            <w:tcW w:w="803" w:type="pct"/>
          </w:tcPr>
          <w:p w14:paraId="63C42922" w14:textId="77777777" w:rsidR="001D4D4E" w:rsidRPr="00BD4734" w:rsidRDefault="001D4D4E" w:rsidP="00CC1702">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0"/>
                <w:szCs w:val="20"/>
              </w:rPr>
            </w:pPr>
            <w:r w:rsidRPr="00BD4734">
              <w:rPr>
                <w:rFonts w:ascii="Times" w:hAnsi="Times"/>
                <w:color w:val="auto"/>
                <w:sz w:val="20"/>
                <w:szCs w:val="20"/>
              </w:rPr>
              <w:t>16,5</w:t>
            </w:r>
          </w:p>
        </w:tc>
      </w:tr>
      <w:tr w:rsidR="00AA22E6" w:rsidRPr="007A2FC9" w14:paraId="30C0BC7F" w14:textId="77777777" w:rsidTr="007C4D92">
        <w:trPr>
          <w:trHeight w:val="560"/>
        </w:trPr>
        <w:tc>
          <w:tcPr>
            <w:cnfStyle w:val="001000000000" w:firstRow="0" w:lastRow="0" w:firstColumn="1" w:lastColumn="0" w:oddVBand="0" w:evenVBand="0" w:oddHBand="0" w:evenHBand="0" w:firstRowFirstColumn="0" w:firstRowLastColumn="0" w:lastRowFirstColumn="0" w:lastRowLastColumn="0"/>
            <w:tcW w:w="965" w:type="pct"/>
            <w:vMerge w:val="restart"/>
          </w:tcPr>
          <w:p w14:paraId="5CCAB68F" w14:textId="77777777" w:rsidR="003A0B8A" w:rsidRPr="000D7D1E" w:rsidRDefault="001D4D4E" w:rsidP="00CC1702">
            <w:pPr>
              <w:jc w:val="both"/>
              <w:rPr>
                <w:rFonts w:ascii="Times" w:hAnsi="Times"/>
                <w:b w:val="0"/>
                <w:color w:val="auto"/>
                <w:sz w:val="20"/>
                <w:szCs w:val="20"/>
              </w:rPr>
            </w:pPr>
            <w:r w:rsidRPr="000D7D1E">
              <w:rPr>
                <w:rFonts w:ascii="Times" w:hAnsi="Times"/>
                <w:b w:val="0"/>
                <w:color w:val="auto"/>
                <w:sz w:val="20"/>
                <w:szCs w:val="20"/>
              </w:rPr>
              <w:t xml:space="preserve">PIB </w:t>
            </w:r>
            <w:r w:rsidRPr="000D7D1E">
              <w:rPr>
                <w:rFonts w:ascii="Times" w:hAnsi="Times"/>
                <w:b w:val="0"/>
                <w:i/>
                <w:color w:val="auto"/>
                <w:sz w:val="20"/>
                <w:szCs w:val="20"/>
              </w:rPr>
              <w:t>per capita</w:t>
            </w:r>
            <w:r w:rsidRPr="000D7D1E">
              <w:rPr>
                <w:rFonts w:ascii="Times" w:hAnsi="Times"/>
                <w:b w:val="0"/>
                <w:color w:val="auto"/>
                <w:sz w:val="20"/>
                <w:szCs w:val="20"/>
              </w:rPr>
              <w:t xml:space="preserve">      </w:t>
            </w:r>
          </w:p>
          <w:p w14:paraId="67CA869B" w14:textId="77777777" w:rsidR="001D4D4E" w:rsidRPr="000D7D1E" w:rsidRDefault="001D4D4E" w:rsidP="00CC1702">
            <w:pPr>
              <w:jc w:val="both"/>
              <w:rPr>
                <w:rFonts w:ascii="Times" w:hAnsi="Times"/>
                <w:b w:val="0"/>
                <w:color w:val="auto"/>
                <w:sz w:val="20"/>
                <w:szCs w:val="20"/>
              </w:rPr>
            </w:pPr>
            <w:r w:rsidRPr="000D7D1E">
              <w:rPr>
                <w:rFonts w:ascii="Times" w:hAnsi="Times"/>
                <w:b w:val="0"/>
                <w:color w:val="auto"/>
                <w:sz w:val="20"/>
                <w:szCs w:val="20"/>
              </w:rPr>
              <w:t>(R$ de 2000 - mil)</w:t>
            </w:r>
          </w:p>
        </w:tc>
        <w:tc>
          <w:tcPr>
            <w:tcW w:w="960" w:type="pct"/>
          </w:tcPr>
          <w:p w14:paraId="5F9ACF69" w14:textId="77777777" w:rsidR="001D4D4E" w:rsidRPr="007A2FC9" w:rsidRDefault="001D4D4E" w:rsidP="00CC1702">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0"/>
                <w:szCs w:val="20"/>
              </w:rPr>
            </w:pPr>
            <w:r w:rsidRPr="007A2FC9">
              <w:rPr>
                <w:rFonts w:ascii="Times" w:hAnsi="Times"/>
                <w:color w:val="auto"/>
                <w:sz w:val="20"/>
                <w:szCs w:val="20"/>
              </w:rPr>
              <w:t>Brasil</w:t>
            </w:r>
          </w:p>
        </w:tc>
        <w:tc>
          <w:tcPr>
            <w:tcW w:w="739" w:type="pct"/>
          </w:tcPr>
          <w:p w14:paraId="5113C696" w14:textId="77777777" w:rsidR="001D4D4E" w:rsidRPr="007A2FC9" w:rsidRDefault="001D4D4E" w:rsidP="00CC1702">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0"/>
                <w:szCs w:val="20"/>
              </w:rPr>
            </w:pPr>
            <w:r w:rsidRPr="007A2FC9">
              <w:rPr>
                <w:rFonts w:ascii="Times" w:hAnsi="Times"/>
                <w:color w:val="auto"/>
                <w:sz w:val="20"/>
                <w:szCs w:val="20"/>
              </w:rPr>
              <w:t>6,15</w:t>
            </w:r>
          </w:p>
        </w:tc>
        <w:tc>
          <w:tcPr>
            <w:tcW w:w="621" w:type="pct"/>
          </w:tcPr>
          <w:p w14:paraId="7EB6415B" w14:textId="77777777" w:rsidR="001D4D4E" w:rsidRPr="007A2FC9" w:rsidRDefault="001D4D4E" w:rsidP="00CC1702">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0"/>
                <w:szCs w:val="20"/>
              </w:rPr>
            </w:pPr>
            <w:r w:rsidRPr="007A2FC9">
              <w:rPr>
                <w:rFonts w:ascii="Times" w:hAnsi="Times"/>
                <w:color w:val="auto"/>
                <w:sz w:val="20"/>
                <w:szCs w:val="20"/>
              </w:rPr>
              <w:t>6,95</w:t>
            </w:r>
          </w:p>
        </w:tc>
        <w:tc>
          <w:tcPr>
            <w:tcW w:w="912" w:type="pct"/>
          </w:tcPr>
          <w:p w14:paraId="30F62A3C" w14:textId="77777777" w:rsidR="001D4D4E" w:rsidRPr="007A2FC9" w:rsidRDefault="003A0B8A" w:rsidP="00CC1702">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0"/>
                <w:szCs w:val="20"/>
              </w:rPr>
            </w:pPr>
            <w:r w:rsidRPr="007A2FC9">
              <w:rPr>
                <w:rFonts w:ascii="Times" w:hAnsi="Times"/>
                <w:color w:val="auto"/>
                <w:sz w:val="20"/>
                <w:szCs w:val="20"/>
              </w:rPr>
              <w:t>6,93</w:t>
            </w:r>
          </w:p>
        </w:tc>
        <w:tc>
          <w:tcPr>
            <w:tcW w:w="803" w:type="pct"/>
          </w:tcPr>
          <w:p w14:paraId="6EBF021B" w14:textId="77777777" w:rsidR="001D4D4E" w:rsidRPr="007A2FC9" w:rsidRDefault="001D4D4E" w:rsidP="00CC1702">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0"/>
                <w:szCs w:val="20"/>
              </w:rPr>
            </w:pPr>
            <w:r w:rsidRPr="007A2FC9">
              <w:rPr>
                <w:rFonts w:ascii="Times" w:hAnsi="Times"/>
                <w:color w:val="auto"/>
                <w:sz w:val="20"/>
                <w:szCs w:val="20"/>
              </w:rPr>
              <w:t>8,82</w:t>
            </w:r>
          </w:p>
        </w:tc>
      </w:tr>
      <w:tr w:rsidR="001D4D4E" w:rsidRPr="007A2FC9" w14:paraId="23D63E28" w14:textId="77777777" w:rsidTr="007C4D92">
        <w:trPr>
          <w:trHeight w:val="560"/>
        </w:trPr>
        <w:tc>
          <w:tcPr>
            <w:cnfStyle w:val="001000000000" w:firstRow="0" w:lastRow="0" w:firstColumn="1" w:lastColumn="0" w:oddVBand="0" w:evenVBand="0" w:oddHBand="0" w:evenHBand="0" w:firstRowFirstColumn="0" w:firstRowLastColumn="0" w:lastRowFirstColumn="0" w:lastRowLastColumn="0"/>
            <w:tcW w:w="965" w:type="pct"/>
            <w:vMerge/>
          </w:tcPr>
          <w:p w14:paraId="6D0C232F" w14:textId="77777777" w:rsidR="001D4D4E" w:rsidRPr="000D7D1E" w:rsidRDefault="001D4D4E" w:rsidP="00CC1702">
            <w:pPr>
              <w:jc w:val="both"/>
              <w:rPr>
                <w:rFonts w:ascii="Times" w:hAnsi="Times"/>
                <w:b w:val="0"/>
                <w:color w:val="auto"/>
                <w:sz w:val="20"/>
                <w:szCs w:val="20"/>
              </w:rPr>
            </w:pPr>
          </w:p>
        </w:tc>
        <w:tc>
          <w:tcPr>
            <w:tcW w:w="960" w:type="pct"/>
          </w:tcPr>
          <w:p w14:paraId="05AEB41E" w14:textId="77777777" w:rsidR="001D4D4E" w:rsidRPr="007A2FC9" w:rsidRDefault="001D4D4E" w:rsidP="00CC1702">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0"/>
                <w:szCs w:val="20"/>
              </w:rPr>
            </w:pPr>
            <w:r w:rsidRPr="007A2FC9">
              <w:rPr>
                <w:rFonts w:ascii="Times" w:hAnsi="Times"/>
                <w:color w:val="auto"/>
                <w:sz w:val="20"/>
                <w:szCs w:val="20"/>
              </w:rPr>
              <w:t>Sul</w:t>
            </w:r>
          </w:p>
        </w:tc>
        <w:tc>
          <w:tcPr>
            <w:tcW w:w="739" w:type="pct"/>
          </w:tcPr>
          <w:p w14:paraId="1A40A80F" w14:textId="77777777" w:rsidR="001D4D4E" w:rsidRPr="007A2FC9" w:rsidRDefault="001D4D4E" w:rsidP="00CC1702">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0"/>
                <w:szCs w:val="20"/>
              </w:rPr>
            </w:pPr>
            <w:r w:rsidRPr="007A2FC9">
              <w:rPr>
                <w:rFonts w:ascii="Times" w:hAnsi="Times"/>
                <w:color w:val="auto"/>
                <w:sz w:val="20"/>
                <w:szCs w:val="20"/>
              </w:rPr>
              <w:t>7,38</w:t>
            </w:r>
          </w:p>
        </w:tc>
        <w:tc>
          <w:tcPr>
            <w:tcW w:w="621" w:type="pct"/>
          </w:tcPr>
          <w:p w14:paraId="3D7C1407" w14:textId="77777777" w:rsidR="001D4D4E" w:rsidRPr="007A2FC9" w:rsidRDefault="001D4D4E" w:rsidP="00CC1702">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0"/>
                <w:szCs w:val="20"/>
              </w:rPr>
            </w:pPr>
            <w:r w:rsidRPr="007A2FC9">
              <w:rPr>
                <w:rFonts w:ascii="Times" w:hAnsi="Times"/>
                <w:color w:val="auto"/>
                <w:sz w:val="20"/>
                <w:szCs w:val="20"/>
              </w:rPr>
              <w:t>7,98</w:t>
            </w:r>
          </w:p>
        </w:tc>
        <w:tc>
          <w:tcPr>
            <w:tcW w:w="912" w:type="pct"/>
          </w:tcPr>
          <w:p w14:paraId="5C191C72" w14:textId="77777777" w:rsidR="001D4D4E" w:rsidRPr="007A2FC9" w:rsidRDefault="003A0B8A" w:rsidP="00CC1702">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0"/>
                <w:szCs w:val="20"/>
              </w:rPr>
            </w:pPr>
            <w:r w:rsidRPr="007A2FC9">
              <w:rPr>
                <w:rFonts w:ascii="Times" w:hAnsi="Times"/>
                <w:color w:val="auto"/>
                <w:sz w:val="20"/>
                <w:szCs w:val="20"/>
              </w:rPr>
              <w:t>8,35</w:t>
            </w:r>
          </w:p>
        </w:tc>
        <w:tc>
          <w:tcPr>
            <w:tcW w:w="803" w:type="pct"/>
          </w:tcPr>
          <w:p w14:paraId="4A651B54" w14:textId="77777777" w:rsidR="001D4D4E" w:rsidRPr="007A2FC9" w:rsidRDefault="001D4D4E" w:rsidP="00CC1702">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0"/>
                <w:szCs w:val="20"/>
              </w:rPr>
            </w:pPr>
            <w:r w:rsidRPr="007A2FC9">
              <w:rPr>
                <w:rFonts w:ascii="Times" w:hAnsi="Times"/>
                <w:color w:val="auto"/>
                <w:sz w:val="20"/>
                <w:szCs w:val="20"/>
              </w:rPr>
              <w:t>10,14</w:t>
            </w:r>
          </w:p>
        </w:tc>
      </w:tr>
      <w:tr w:rsidR="00CC1702" w:rsidRPr="007A2FC9" w14:paraId="7E367D9E" w14:textId="77777777" w:rsidTr="007C4D92">
        <w:trPr>
          <w:trHeight w:val="560"/>
        </w:trPr>
        <w:tc>
          <w:tcPr>
            <w:cnfStyle w:val="001000000000" w:firstRow="0" w:lastRow="0" w:firstColumn="1" w:lastColumn="0" w:oddVBand="0" w:evenVBand="0" w:oddHBand="0" w:evenHBand="0" w:firstRowFirstColumn="0" w:firstRowLastColumn="0" w:lastRowFirstColumn="0" w:lastRowLastColumn="0"/>
            <w:tcW w:w="965" w:type="pct"/>
          </w:tcPr>
          <w:p w14:paraId="6D1B59CC" w14:textId="77777777" w:rsidR="00CC1702" w:rsidRPr="000D7D1E" w:rsidRDefault="00CC1702" w:rsidP="00CC1702">
            <w:pPr>
              <w:jc w:val="both"/>
              <w:rPr>
                <w:rFonts w:ascii="Times" w:hAnsi="Times"/>
                <w:b w:val="0"/>
                <w:color w:val="auto"/>
                <w:sz w:val="20"/>
                <w:szCs w:val="20"/>
              </w:rPr>
            </w:pPr>
          </w:p>
        </w:tc>
        <w:tc>
          <w:tcPr>
            <w:tcW w:w="960" w:type="pct"/>
          </w:tcPr>
          <w:p w14:paraId="4D50DC12" w14:textId="77777777" w:rsidR="00CC1702" w:rsidRPr="007A2FC9" w:rsidRDefault="00CC1702" w:rsidP="00CC1702">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0"/>
                <w:szCs w:val="20"/>
              </w:rPr>
            </w:pPr>
            <w:r w:rsidRPr="007A2FC9">
              <w:rPr>
                <w:rFonts w:ascii="Times" w:hAnsi="Times"/>
                <w:color w:val="auto"/>
                <w:sz w:val="20"/>
                <w:szCs w:val="20"/>
              </w:rPr>
              <w:t>Paraná</w:t>
            </w:r>
          </w:p>
        </w:tc>
        <w:tc>
          <w:tcPr>
            <w:tcW w:w="739" w:type="pct"/>
          </w:tcPr>
          <w:p w14:paraId="32178D36" w14:textId="77777777" w:rsidR="00CC1702" w:rsidRPr="007A2FC9" w:rsidRDefault="00CC1702" w:rsidP="00CC1702">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A2FC9">
              <w:rPr>
                <w:rFonts w:ascii="Times" w:hAnsi="Times"/>
                <w:color w:val="auto"/>
                <w:sz w:val="22"/>
                <w:szCs w:val="22"/>
              </w:rPr>
              <w:t>6,42</w:t>
            </w:r>
          </w:p>
        </w:tc>
        <w:tc>
          <w:tcPr>
            <w:tcW w:w="621" w:type="pct"/>
          </w:tcPr>
          <w:p w14:paraId="4C910EF5" w14:textId="77777777" w:rsidR="00CC1702" w:rsidRPr="007A2FC9" w:rsidRDefault="00CC1702" w:rsidP="00CC1702">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A2FC9">
              <w:rPr>
                <w:rFonts w:ascii="Times" w:hAnsi="Times"/>
                <w:color w:val="auto"/>
                <w:sz w:val="22"/>
                <w:szCs w:val="22"/>
              </w:rPr>
              <w:t>7,43</w:t>
            </w:r>
          </w:p>
        </w:tc>
        <w:tc>
          <w:tcPr>
            <w:tcW w:w="912" w:type="pct"/>
          </w:tcPr>
          <w:p w14:paraId="73F7ABA3" w14:textId="77777777" w:rsidR="00CC1702" w:rsidRPr="007A2FC9" w:rsidRDefault="00CC1702" w:rsidP="00CC1702">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A2FC9">
              <w:rPr>
                <w:rFonts w:ascii="Times" w:hAnsi="Times"/>
                <w:color w:val="auto"/>
                <w:sz w:val="22"/>
                <w:szCs w:val="22"/>
              </w:rPr>
              <w:t>7,98</w:t>
            </w:r>
          </w:p>
        </w:tc>
        <w:tc>
          <w:tcPr>
            <w:tcW w:w="803" w:type="pct"/>
          </w:tcPr>
          <w:p w14:paraId="7F8075DC" w14:textId="77777777" w:rsidR="00CC1702" w:rsidRPr="007A2FC9" w:rsidRDefault="00CC1702" w:rsidP="00CC1702">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A2FC9">
              <w:rPr>
                <w:rFonts w:ascii="Times" w:hAnsi="Times"/>
                <w:color w:val="auto"/>
                <w:sz w:val="22"/>
                <w:szCs w:val="22"/>
              </w:rPr>
              <w:t>9,29</w:t>
            </w:r>
          </w:p>
        </w:tc>
      </w:tr>
      <w:tr w:rsidR="00CC1702" w:rsidRPr="00BD4734" w14:paraId="158927E3" w14:textId="77777777" w:rsidTr="007C4D92">
        <w:trPr>
          <w:trHeight w:val="560"/>
        </w:trPr>
        <w:tc>
          <w:tcPr>
            <w:cnfStyle w:val="001000000000" w:firstRow="0" w:lastRow="0" w:firstColumn="1" w:lastColumn="0" w:oddVBand="0" w:evenVBand="0" w:oddHBand="0" w:evenHBand="0" w:firstRowFirstColumn="0" w:firstRowLastColumn="0" w:lastRowFirstColumn="0" w:lastRowLastColumn="0"/>
            <w:tcW w:w="965" w:type="pct"/>
          </w:tcPr>
          <w:p w14:paraId="0B7E0A9E" w14:textId="77777777" w:rsidR="00CC1702" w:rsidRPr="00B43167" w:rsidRDefault="00CC1702" w:rsidP="00CC1702">
            <w:pPr>
              <w:jc w:val="both"/>
              <w:rPr>
                <w:rFonts w:ascii="Times" w:hAnsi="Times"/>
                <w:b w:val="0"/>
                <w:color w:val="FF0000"/>
                <w:sz w:val="20"/>
                <w:szCs w:val="20"/>
              </w:rPr>
            </w:pPr>
          </w:p>
        </w:tc>
        <w:tc>
          <w:tcPr>
            <w:tcW w:w="960" w:type="pct"/>
          </w:tcPr>
          <w:p w14:paraId="7D69F861" w14:textId="77777777" w:rsidR="00CC1702" w:rsidRPr="000D7D1E" w:rsidRDefault="00CC1702" w:rsidP="00CC1702">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0"/>
                <w:szCs w:val="20"/>
              </w:rPr>
            </w:pPr>
            <w:r w:rsidRPr="000D7D1E">
              <w:rPr>
                <w:rFonts w:ascii="Times" w:hAnsi="Times"/>
                <w:color w:val="auto"/>
                <w:sz w:val="20"/>
                <w:szCs w:val="20"/>
              </w:rPr>
              <w:t>Rio G. do Sul</w:t>
            </w:r>
          </w:p>
        </w:tc>
        <w:tc>
          <w:tcPr>
            <w:tcW w:w="739" w:type="pct"/>
          </w:tcPr>
          <w:p w14:paraId="656AAF27" w14:textId="77777777" w:rsidR="00CC1702" w:rsidRPr="000D7D1E" w:rsidRDefault="00CC1702" w:rsidP="00CC1702">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0"/>
                <w:szCs w:val="20"/>
              </w:rPr>
            </w:pPr>
            <w:r w:rsidRPr="000D7D1E">
              <w:rPr>
                <w:rFonts w:ascii="Times" w:hAnsi="Times"/>
                <w:color w:val="auto"/>
                <w:sz w:val="20"/>
                <w:szCs w:val="20"/>
              </w:rPr>
              <w:t>8,37</w:t>
            </w:r>
          </w:p>
        </w:tc>
        <w:tc>
          <w:tcPr>
            <w:tcW w:w="621" w:type="pct"/>
          </w:tcPr>
          <w:p w14:paraId="48CE4635" w14:textId="77777777" w:rsidR="00CC1702" w:rsidRPr="000D7D1E" w:rsidRDefault="00CC1702" w:rsidP="00CC1702">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0"/>
                <w:szCs w:val="20"/>
              </w:rPr>
            </w:pPr>
            <w:r w:rsidRPr="000D7D1E">
              <w:rPr>
                <w:rFonts w:ascii="Times" w:hAnsi="Times"/>
                <w:color w:val="auto"/>
                <w:sz w:val="20"/>
                <w:szCs w:val="20"/>
              </w:rPr>
              <w:t>8,35</w:t>
            </w:r>
          </w:p>
        </w:tc>
        <w:tc>
          <w:tcPr>
            <w:tcW w:w="912" w:type="pct"/>
          </w:tcPr>
          <w:p w14:paraId="2C682D55" w14:textId="77777777" w:rsidR="00CC1702" w:rsidRPr="000D7D1E" w:rsidRDefault="00CC1702" w:rsidP="00CC1702">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0"/>
                <w:szCs w:val="20"/>
              </w:rPr>
            </w:pPr>
            <w:r w:rsidRPr="000D7D1E">
              <w:rPr>
                <w:rFonts w:ascii="Times" w:hAnsi="Times"/>
                <w:color w:val="auto"/>
                <w:sz w:val="20"/>
                <w:szCs w:val="20"/>
              </w:rPr>
              <w:t>8,57</w:t>
            </w:r>
          </w:p>
        </w:tc>
        <w:tc>
          <w:tcPr>
            <w:tcW w:w="803" w:type="pct"/>
          </w:tcPr>
          <w:p w14:paraId="339FD3B2" w14:textId="77777777" w:rsidR="00CC1702" w:rsidRPr="000D7D1E" w:rsidRDefault="00CC1702" w:rsidP="00CC1702">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0"/>
                <w:szCs w:val="20"/>
              </w:rPr>
            </w:pPr>
            <w:r w:rsidRPr="000D7D1E">
              <w:rPr>
                <w:rFonts w:ascii="Times" w:hAnsi="Times"/>
                <w:color w:val="auto"/>
                <w:sz w:val="20"/>
                <w:szCs w:val="20"/>
              </w:rPr>
              <w:t>10,53</w:t>
            </w:r>
          </w:p>
        </w:tc>
      </w:tr>
      <w:tr w:rsidR="00CC1702" w:rsidRPr="00BD4734" w14:paraId="5F26EEA0" w14:textId="77777777" w:rsidTr="007C4D92">
        <w:trPr>
          <w:trHeight w:val="560"/>
        </w:trPr>
        <w:tc>
          <w:tcPr>
            <w:cnfStyle w:val="001000000000" w:firstRow="0" w:lastRow="0" w:firstColumn="1" w:lastColumn="0" w:oddVBand="0" w:evenVBand="0" w:oddHBand="0" w:evenHBand="0" w:firstRowFirstColumn="0" w:firstRowLastColumn="0" w:lastRowFirstColumn="0" w:lastRowLastColumn="0"/>
            <w:tcW w:w="965" w:type="pct"/>
          </w:tcPr>
          <w:p w14:paraId="49CBE93C" w14:textId="77777777" w:rsidR="00CC1702" w:rsidRPr="00B43167" w:rsidRDefault="00CC1702" w:rsidP="00CC1702">
            <w:pPr>
              <w:jc w:val="both"/>
              <w:rPr>
                <w:rFonts w:ascii="Times" w:hAnsi="Times"/>
                <w:b w:val="0"/>
                <w:color w:val="FF0000"/>
                <w:sz w:val="20"/>
                <w:szCs w:val="20"/>
              </w:rPr>
            </w:pPr>
          </w:p>
        </w:tc>
        <w:tc>
          <w:tcPr>
            <w:tcW w:w="960" w:type="pct"/>
          </w:tcPr>
          <w:p w14:paraId="2EBF7E5C" w14:textId="77777777" w:rsidR="00CC1702" w:rsidRPr="000D7D1E" w:rsidRDefault="00CC1702" w:rsidP="00CC1702">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0"/>
                <w:szCs w:val="20"/>
              </w:rPr>
            </w:pPr>
            <w:r w:rsidRPr="000D7D1E">
              <w:rPr>
                <w:rFonts w:ascii="Times" w:hAnsi="Times"/>
                <w:color w:val="auto"/>
                <w:sz w:val="20"/>
                <w:szCs w:val="20"/>
              </w:rPr>
              <w:t>Santa Catarina</w:t>
            </w:r>
          </w:p>
        </w:tc>
        <w:tc>
          <w:tcPr>
            <w:tcW w:w="739" w:type="pct"/>
          </w:tcPr>
          <w:p w14:paraId="035F67EB" w14:textId="77777777" w:rsidR="00CC1702" w:rsidRPr="000D7D1E" w:rsidRDefault="00CC1702" w:rsidP="00CC1702">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0"/>
                <w:szCs w:val="20"/>
              </w:rPr>
            </w:pPr>
            <w:r w:rsidRPr="000D7D1E">
              <w:rPr>
                <w:rFonts w:ascii="Times" w:hAnsi="Times"/>
                <w:color w:val="auto"/>
                <w:sz w:val="20"/>
                <w:szCs w:val="20"/>
              </w:rPr>
              <w:t>7,17</w:t>
            </w:r>
          </w:p>
        </w:tc>
        <w:tc>
          <w:tcPr>
            <w:tcW w:w="621" w:type="pct"/>
          </w:tcPr>
          <w:p w14:paraId="7E224356" w14:textId="77777777" w:rsidR="00CC1702" w:rsidRPr="000D7D1E" w:rsidRDefault="00CC1702" w:rsidP="00CC1702">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0"/>
                <w:szCs w:val="20"/>
              </w:rPr>
            </w:pPr>
            <w:r w:rsidRPr="000D7D1E">
              <w:rPr>
                <w:rFonts w:ascii="Times" w:hAnsi="Times"/>
                <w:color w:val="auto"/>
                <w:sz w:val="20"/>
                <w:szCs w:val="20"/>
              </w:rPr>
              <w:t>8,28</w:t>
            </w:r>
          </w:p>
        </w:tc>
        <w:tc>
          <w:tcPr>
            <w:tcW w:w="912" w:type="pct"/>
          </w:tcPr>
          <w:p w14:paraId="037E3774" w14:textId="77777777" w:rsidR="00CC1702" w:rsidRPr="000D7D1E" w:rsidRDefault="00CC1702" w:rsidP="00CC1702">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0"/>
                <w:szCs w:val="20"/>
              </w:rPr>
            </w:pPr>
            <w:r w:rsidRPr="000D7D1E">
              <w:rPr>
                <w:rFonts w:ascii="Times" w:hAnsi="Times"/>
                <w:color w:val="auto"/>
                <w:sz w:val="20"/>
                <w:szCs w:val="20"/>
              </w:rPr>
              <w:t>8,59</w:t>
            </w:r>
          </w:p>
        </w:tc>
        <w:tc>
          <w:tcPr>
            <w:tcW w:w="803" w:type="pct"/>
          </w:tcPr>
          <w:p w14:paraId="1C21FE56" w14:textId="77777777" w:rsidR="00CC1702" w:rsidRPr="000D7D1E" w:rsidRDefault="00CC1702" w:rsidP="00CC1702">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0"/>
                <w:szCs w:val="20"/>
              </w:rPr>
            </w:pPr>
            <w:r w:rsidRPr="000D7D1E">
              <w:rPr>
                <w:rFonts w:ascii="Times" w:hAnsi="Times"/>
                <w:color w:val="auto"/>
                <w:sz w:val="20"/>
                <w:szCs w:val="20"/>
              </w:rPr>
              <w:t>10,53</w:t>
            </w:r>
          </w:p>
        </w:tc>
      </w:tr>
    </w:tbl>
    <w:p w14:paraId="640FF363" w14:textId="33022946" w:rsidR="0071114A" w:rsidRDefault="00571370" w:rsidP="00347B57">
      <w:pPr>
        <w:spacing w:line="360" w:lineRule="auto"/>
        <w:jc w:val="both"/>
        <w:rPr>
          <w:rFonts w:ascii="Times" w:hAnsi="Times"/>
          <w:sz w:val="20"/>
          <w:szCs w:val="20"/>
        </w:rPr>
      </w:pPr>
      <w:r w:rsidRPr="008A0234">
        <w:rPr>
          <w:rFonts w:ascii="Times" w:hAnsi="Times"/>
          <w:sz w:val="20"/>
          <w:szCs w:val="20"/>
        </w:rPr>
        <w:t>Fonte: IPEADATA (2014)</w:t>
      </w:r>
      <w:r w:rsidR="00687B06" w:rsidRPr="008A0234">
        <w:rPr>
          <w:rFonts w:ascii="Times" w:hAnsi="Times"/>
          <w:sz w:val="20"/>
          <w:szCs w:val="20"/>
        </w:rPr>
        <w:t>; IBGE. C</w:t>
      </w:r>
      <w:r w:rsidR="00D55382" w:rsidRPr="008A0234">
        <w:rPr>
          <w:rFonts w:ascii="Times" w:hAnsi="Times"/>
          <w:sz w:val="20"/>
          <w:szCs w:val="20"/>
        </w:rPr>
        <w:t>ontas regionais</w:t>
      </w:r>
      <w:r w:rsidR="00D75D1E" w:rsidRPr="008A0234">
        <w:rPr>
          <w:rFonts w:ascii="Times" w:hAnsi="Times"/>
          <w:sz w:val="20"/>
          <w:szCs w:val="20"/>
        </w:rPr>
        <w:t xml:space="preserve"> </w:t>
      </w:r>
      <w:r w:rsidR="00727223" w:rsidRPr="008A0234">
        <w:rPr>
          <w:rFonts w:ascii="Times" w:hAnsi="Times"/>
          <w:sz w:val="20"/>
          <w:szCs w:val="20"/>
        </w:rPr>
        <w:t>(2014</w:t>
      </w:r>
      <w:r w:rsidR="00687B06" w:rsidRPr="008A0234">
        <w:rPr>
          <w:rFonts w:ascii="Times" w:hAnsi="Times"/>
          <w:sz w:val="20"/>
          <w:szCs w:val="20"/>
        </w:rPr>
        <w:t>)</w:t>
      </w:r>
    </w:p>
    <w:p w14:paraId="74F633E0" w14:textId="77777777" w:rsidR="0037474B" w:rsidRPr="008A0234" w:rsidRDefault="0037474B" w:rsidP="00347B57">
      <w:pPr>
        <w:spacing w:line="360" w:lineRule="auto"/>
        <w:jc w:val="both"/>
        <w:rPr>
          <w:rFonts w:ascii="Times" w:hAnsi="Times"/>
          <w:sz w:val="20"/>
          <w:szCs w:val="20"/>
        </w:rPr>
      </w:pPr>
    </w:p>
    <w:p w14:paraId="3DD0B820" w14:textId="50E11E83" w:rsidR="00252DAB" w:rsidRDefault="00AF29E3" w:rsidP="00382591">
      <w:pPr>
        <w:widowControl w:val="0"/>
        <w:autoSpaceDE w:val="0"/>
        <w:autoSpaceDN w:val="0"/>
        <w:adjustRightInd w:val="0"/>
        <w:spacing w:after="240" w:line="360" w:lineRule="auto"/>
        <w:ind w:firstLine="720"/>
        <w:jc w:val="both"/>
        <w:rPr>
          <w:rFonts w:ascii="Times" w:hAnsi="Times" w:cs="Times New Roman"/>
          <w:noProof/>
        </w:rPr>
      </w:pPr>
      <w:r w:rsidRPr="006119A1">
        <w:rPr>
          <w:rFonts w:ascii="Times" w:hAnsi="Times" w:cs="Times New Roman"/>
          <w:noProof/>
        </w:rPr>
        <w:t xml:space="preserve">Durante o governo de Fernando H. Cardoso, período de 1995-2002, a renda domiciliar </w:t>
      </w:r>
      <w:r w:rsidRPr="006119A1">
        <w:rPr>
          <w:rFonts w:ascii="Times" w:hAnsi="Times" w:cs="Times New Roman"/>
          <w:i/>
          <w:noProof/>
        </w:rPr>
        <w:t>per capita</w:t>
      </w:r>
      <w:r w:rsidRPr="006119A1">
        <w:rPr>
          <w:rFonts w:ascii="Times" w:hAnsi="Times" w:cs="Times New Roman"/>
          <w:noProof/>
        </w:rPr>
        <w:t xml:space="preserve"> média</w:t>
      </w:r>
      <w:r w:rsidR="00167DF1">
        <w:rPr>
          <w:rFonts w:ascii="Times" w:hAnsi="Times" w:cs="Times New Roman"/>
          <w:noProof/>
        </w:rPr>
        <w:t xml:space="preserve"> </w:t>
      </w:r>
      <w:r w:rsidRPr="006119A1">
        <w:rPr>
          <w:rFonts w:ascii="Times" w:hAnsi="Times" w:cs="Times New Roman"/>
          <w:noProof/>
        </w:rPr>
        <w:t xml:space="preserve">praticamente </w:t>
      </w:r>
      <w:r w:rsidR="007140F0">
        <w:rPr>
          <w:rFonts w:ascii="Times" w:hAnsi="Times" w:cs="Times New Roman"/>
          <w:noProof/>
        </w:rPr>
        <w:t xml:space="preserve">se </w:t>
      </w:r>
      <w:r w:rsidRPr="006119A1">
        <w:rPr>
          <w:rFonts w:ascii="Times" w:hAnsi="Times" w:cs="Times New Roman"/>
          <w:noProof/>
        </w:rPr>
        <w:t>manteve inalterada</w:t>
      </w:r>
      <w:r w:rsidR="00167DF1">
        <w:rPr>
          <w:rFonts w:ascii="Times" w:hAnsi="Times" w:cs="Times New Roman"/>
          <w:noProof/>
        </w:rPr>
        <w:t xml:space="preserve"> e a</w:t>
      </w:r>
      <w:r w:rsidR="00167DF1" w:rsidRPr="006119A1">
        <w:rPr>
          <w:rFonts w:ascii="Times" w:hAnsi="Times" w:cs="Times New Roman"/>
          <w:noProof/>
        </w:rPr>
        <w:t xml:space="preserve"> renda média de todos os </w:t>
      </w:r>
      <w:r w:rsidR="00167DF1" w:rsidRPr="000F6C75">
        <w:rPr>
          <w:rFonts w:ascii="Times" w:hAnsi="Times" w:cs="Times New Roman"/>
          <w:noProof/>
        </w:rPr>
        <w:t>trabalho</w:t>
      </w:r>
      <w:r w:rsidR="00167DF1" w:rsidRPr="000D173C">
        <w:rPr>
          <w:rFonts w:ascii="Times" w:hAnsi="Times" w:cs="Times New Roman"/>
          <w:noProof/>
        </w:rPr>
        <w:t>s</w:t>
      </w:r>
      <w:r w:rsidR="00167DF1">
        <w:rPr>
          <w:rFonts w:ascii="Times" w:hAnsi="Times" w:cs="Times New Roman"/>
          <w:noProof/>
        </w:rPr>
        <w:t xml:space="preserve"> declinou(Tabela 3</w:t>
      </w:r>
      <w:r w:rsidR="00825B23">
        <w:rPr>
          <w:rFonts w:ascii="Times" w:hAnsi="Times" w:cs="Times New Roman"/>
          <w:noProof/>
        </w:rPr>
        <w:t xml:space="preserve"> e 4)</w:t>
      </w:r>
      <w:r w:rsidR="00382591">
        <w:rPr>
          <w:rFonts w:ascii="Times" w:hAnsi="Times" w:cs="Times New Roman"/>
          <w:noProof/>
        </w:rPr>
        <w:t xml:space="preserve">. </w:t>
      </w:r>
      <w:r w:rsidR="009A768B">
        <w:rPr>
          <w:rFonts w:ascii="Times" w:hAnsi="Times" w:cs="Times New Roman"/>
          <w:noProof/>
        </w:rPr>
        <w:t>N</w:t>
      </w:r>
      <w:r w:rsidR="000B0DCD" w:rsidRPr="006119A1">
        <w:rPr>
          <w:rFonts w:ascii="Times" w:hAnsi="Times" w:cs="Times New Roman"/>
          <w:noProof/>
        </w:rPr>
        <w:t>o governo Lula, 200</w:t>
      </w:r>
      <w:r w:rsidR="00EC518D" w:rsidRPr="006119A1">
        <w:rPr>
          <w:rFonts w:ascii="Times" w:hAnsi="Times" w:cs="Times New Roman"/>
          <w:noProof/>
        </w:rPr>
        <w:t>3</w:t>
      </w:r>
      <w:r w:rsidR="000B0DCD" w:rsidRPr="006119A1">
        <w:rPr>
          <w:rFonts w:ascii="Times" w:hAnsi="Times" w:cs="Times New Roman"/>
          <w:noProof/>
        </w:rPr>
        <w:t>-201</w:t>
      </w:r>
      <w:r w:rsidR="00EC518D" w:rsidRPr="006119A1">
        <w:rPr>
          <w:rFonts w:ascii="Times" w:hAnsi="Times" w:cs="Times New Roman"/>
          <w:noProof/>
        </w:rPr>
        <w:t>0</w:t>
      </w:r>
      <w:r w:rsidR="000B0DCD" w:rsidRPr="006119A1">
        <w:rPr>
          <w:rFonts w:ascii="Times" w:hAnsi="Times" w:cs="Times New Roman"/>
          <w:noProof/>
        </w:rPr>
        <w:t xml:space="preserve">, houve um aumento significativo da renda domiciliar </w:t>
      </w:r>
      <w:r w:rsidR="000B0DCD" w:rsidRPr="009D5154">
        <w:rPr>
          <w:rFonts w:ascii="Times" w:hAnsi="Times" w:cs="Times New Roman"/>
          <w:i/>
          <w:noProof/>
        </w:rPr>
        <w:t>per capi</w:t>
      </w:r>
      <w:r w:rsidR="00EC6615" w:rsidRPr="009D5154">
        <w:rPr>
          <w:rFonts w:ascii="Times" w:hAnsi="Times" w:cs="Times New Roman"/>
          <w:i/>
          <w:noProof/>
        </w:rPr>
        <w:t>ta</w:t>
      </w:r>
      <w:r w:rsidR="00825B23">
        <w:rPr>
          <w:rFonts w:ascii="Times" w:hAnsi="Times" w:cs="Times New Roman"/>
          <w:i/>
          <w:noProof/>
        </w:rPr>
        <w:t xml:space="preserve"> </w:t>
      </w:r>
      <w:r w:rsidR="00825B23" w:rsidRPr="00825B23">
        <w:rPr>
          <w:rFonts w:ascii="Times" w:hAnsi="Times" w:cs="Times New Roman"/>
          <w:noProof/>
        </w:rPr>
        <w:t>e da renda média do trabalho</w:t>
      </w:r>
      <w:r w:rsidR="007C4D92">
        <w:rPr>
          <w:rFonts w:ascii="Times" w:hAnsi="Times" w:cs="Times New Roman"/>
          <w:noProof/>
        </w:rPr>
        <w:t>.</w:t>
      </w:r>
      <w:r w:rsidR="00564373" w:rsidRPr="00825B23">
        <w:rPr>
          <w:rFonts w:ascii="Times" w:hAnsi="Times" w:cs="Times New Roman"/>
          <w:noProof/>
        </w:rPr>
        <w:t xml:space="preserve"> </w:t>
      </w:r>
    </w:p>
    <w:p w14:paraId="5F57B63A" w14:textId="1BC7FD8C" w:rsidR="00EC518D" w:rsidRPr="00167DF1" w:rsidRDefault="00046898" w:rsidP="00167DF1">
      <w:pPr>
        <w:widowControl w:val="0"/>
        <w:autoSpaceDE w:val="0"/>
        <w:autoSpaceDN w:val="0"/>
        <w:adjustRightInd w:val="0"/>
        <w:spacing w:after="240"/>
        <w:contextualSpacing/>
        <w:jc w:val="both"/>
        <w:rPr>
          <w:rFonts w:ascii="Times" w:hAnsi="Times" w:cs="Times New Roman"/>
          <w:noProof/>
        </w:rPr>
      </w:pPr>
      <w:r w:rsidRPr="00492E9C">
        <w:rPr>
          <w:rFonts w:ascii="Times" w:hAnsi="Times" w:cs="Times New Roman"/>
          <w:noProof/>
        </w:rPr>
        <w:t>Tabela</w:t>
      </w:r>
      <w:r w:rsidR="00167DF1" w:rsidRPr="00492E9C">
        <w:rPr>
          <w:rFonts w:ascii="Times" w:hAnsi="Times" w:cs="Times New Roman"/>
          <w:noProof/>
        </w:rPr>
        <w:t xml:space="preserve"> 3</w:t>
      </w:r>
      <w:r w:rsidR="00492E9C">
        <w:rPr>
          <w:rFonts w:ascii="Times" w:hAnsi="Times" w:cs="Times New Roman"/>
          <w:noProof/>
        </w:rPr>
        <w:t xml:space="preserve"> -</w:t>
      </w:r>
      <w:r w:rsidRPr="00167DF1">
        <w:rPr>
          <w:rFonts w:ascii="Times" w:hAnsi="Times" w:cs="Times New Roman"/>
          <w:noProof/>
        </w:rPr>
        <w:t xml:space="preserve"> Renda domiciliar </w:t>
      </w:r>
      <w:r w:rsidRPr="00167DF1">
        <w:rPr>
          <w:rFonts w:ascii="Times" w:hAnsi="Times" w:cs="Times New Roman"/>
          <w:i/>
          <w:noProof/>
        </w:rPr>
        <w:t>per capita</w:t>
      </w:r>
      <w:r w:rsidRPr="00167DF1">
        <w:rPr>
          <w:rFonts w:ascii="Times" w:hAnsi="Times" w:cs="Times New Roman"/>
          <w:noProof/>
        </w:rPr>
        <w:t xml:space="preserve"> média (R$ de out. </w:t>
      </w:r>
      <w:r w:rsidR="006B5748" w:rsidRPr="00167DF1">
        <w:rPr>
          <w:rFonts w:ascii="Times" w:hAnsi="Times" w:cs="Times New Roman"/>
          <w:noProof/>
        </w:rPr>
        <w:t>de</w:t>
      </w:r>
      <w:r w:rsidRPr="00167DF1">
        <w:rPr>
          <w:rFonts w:ascii="Times" w:hAnsi="Times" w:cs="Times New Roman"/>
          <w:noProof/>
        </w:rPr>
        <w:t xml:space="preserve"> 2012)</w:t>
      </w:r>
    </w:p>
    <w:p w14:paraId="42F6C0E3" w14:textId="36B9193D" w:rsidR="00BB3F98" w:rsidRPr="00C60470" w:rsidRDefault="00C60470" w:rsidP="00C60470">
      <w:pPr>
        <w:tabs>
          <w:tab w:val="left" w:pos="6779"/>
        </w:tabs>
        <w:contextualSpacing/>
        <w:jc w:val="both"/>
        <w:rPr>
          <w:rFonts w:ascii="Times" w:hAnsi="Times" w:cs="Times New Roman"/>
          <w:noProof/>
          <w:sz w:val="20"/>
          <w:szCs w:val="20"/>
        </w:rPr>
      </w:pPr>
      <w:r w:rsidRPr="00C60470">
        <w:rPr>
          <w:rFonts w:ascii="Times" w:hAnsi="Times" w:cs="Times New Roman"/>
          <w:noProof/>
          <w:sz w:val="20"/>
          <w:szCs w:val="20"/>
        </w:rPr>
        <w:t>Fonte: IPEADATA(2014)</w:t>
      </w:r>
    </w:p>
    <w:tbl>
      <w:tblPr>
        <w:tblStyle w:val="SombreamentoClaro"/>
        <w:tblpPr w:leftFromText="180" w:rightFromText="180" w:vertAnchor="text" w:horzAnchor="page" w:tblpX="1483" w:tblpY="-10"/>
        <w:tblW w:w="8942" w:type="dxa"/>
        <w:tblLook w:val="06A0" w:firstRow="1" w:lastRow="0" w:firstColumn="1" w:lastColumn="0" w:noHBand="1" w:noVBand="1"/>
      </w:tblPr>
      <w:tblGrid>
        <w:gridCol w:w="1912"/>
        <w:gridCol w:w="1422"/>
        <w:gridCol w:w="1422"/>
        <w:gridCol w:w="1377"/>
        <w:gridCol w:w="1258"/>
        <w:gridCol w:w="1551"/>
      </w:tblGrid>
      <w:tr w:rsidR="00A2711F" w:rsidRPr="00747611" w14:paraId="0F6416FE" w14:textId="77777777" w:rsidTr="00C60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2" w:type="dxa"/>
          </w:tcPr>
          <w:p w14:paraId="0F529AEF" w14:textId="77777777" w:rsidR="00A2711F" w:rsidRPr="00747611" w:rsidRDefault="00A2711F" w:rsidP="00C60470">
            <w:pPr>
              <w:spacing w:line="360" w:lineRule="auto"/>
              <w:contextualSpacing/>
              <w:jc w:val="both"/>
              <w:rPr>
                <w:rFonts w:ascii="Times" w:hAnsi="Times"/>
                <w:b w:val="0"/>
                <w:color w:val="auto"/>
                <w:sz w:val="22"/>
                <w:szCs w:val="22"/>
              </w:rPr>
            </w:pPr>
            <w:r w:rsidRPr="00747611">
              <w:rPr>
                <w:rFonts w:ascii="Times" w:hAnsi="Times"/>
                <w:b w:val="0"/>
                <w:color w:val="auto"/>
                <w:sz w:val="22"/>
                <w:szCs w:val="22"/>
              </w:rPr>
              <w:t>Região</w:t>
            </w:r>
          </w:p>
        </w:tc>
        <w:tc>
          <w:tcPr>
            <w:tcW w:w="1422" w:type="dxa"/>
          </w:tcPr>
          <w:p w14:paraId="6F0E8DD3" w14:textId="77777777" w:rsidR="00A2711F" w:rsidRPr="00747611" w:rsidRDefault="00A2711F" w:rsidP="00C60470">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w:hAnsi="Times"/>
                <w:b w:val="0"/>
                <w:color w:val="auto"/>
                <w:sz w:val="22"/>
                <w:szCs w:val="22"/>
              </w:rPr>
            </w:pPr>
            <w:r w:rsidRPr="00747611">
              <w:rPr>
                <w:rFonts w:ascii="Times" w:hAnsi="Times"/>
                <w:b w:val="0"/>
                <w:color w:val="auto"/>
                <w:sz w:val="22"/>
                <w:szCs w:val="22"/>
              </w:rPr>
              <w:t>1995</w:t>
            </w:r>
          </w:p>
        </w:tc>
        <w:tc>
          <w:tcPr>
            <w:tcW w:w="1422" w:type="dxa"/>
          </w:tcPr>
          <w:p w14:paraId="1C63D10A" w14:textId="77777777" w:rsidR="00A2711F" w:rsidRPr="00747611" w:rsidRDefault="00A2711F" w:rsidP="00C60470">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w:hAnsi="Times"/>
                <w:b w:val="0"/>
                <w:color w:val="auto"/>
                <w:sz w:val="22"/>
                <w:szCs w:val="22"/>
              </w:rPr>
            </w:pPr>
            <w:r w:rsidRPr="00747611">
              <w:rPr>
                <w:rFonts w:ascii="Times" w:hAnsi="Times"/>
                <w:b w:val="0"/>
                <w:color w:val="auto"/>
                <w:sz w:val="22"/>
                <w:szCs w:val="22"/>
              </w:rPr>
              <w:t>2002</w:t>
            </w:r>
          </w:p>
        </w:tc>
        <w:tc>
          <w:tcPr>
            <w:tcW w:w="1377" w:type="dxa"/>
          </w:tcPr>
          <w:p w14:paraId="3C572A00" w14:textId="77777777" w:rsidR="00A2711F" w:rsidRPr="00747611" w:rsidRDefault="00A2711F" w:rsidP="00C60470">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w:hAnsi="Times"/>
                <w:b w:val="0"/>
                <w:color w:val="auto"/>
                <w:sz w:val="22"/>
                <w:szCs w:val="22"/>
              </w:rPr>
            </w:pPr>
            <w:r w:rsidRPr="00747611">
              <w:rPr>
                <w:rFonts w:ascii="Times" w:hAnsi="Times"/>
                <w:b w:val="0"/>
                <w:color w:val="auto"/>
                <w:sz w:val="22"/>
                <w:szCs w:val="22"/>
              </w:rPr>
              <w:t>2003</w:t>
            </w:r>
          </w:p>
        </w:tc>
        <w:tc>
          <w:tcPr>
            <w:tcW w:w="1258" w:type="dxa"/>
          </w:tcPr>
          <w:p w14:paraId="76F312C5" w14:textId="77777777" w:rsidR="00A2711F" w:rsidRPr="00747611" w:rsidRDefault="00A2711F" w:rsidP="00C60470">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w:hAnsi="Times"/>
                <w:b w:val="0"/>
                <w:color w:val="auto"/>
                <w:sz w:val="22"/>
                <w:szCs w:val="22"/>
              </w:rPr>
            </w:pPr>
            <w:r w:rsidRPr="00747611">
              <w:rPr>
                <w:rFonts w:ascii="Times" w:hAnsi="Times"/>
                <w:b w:val="0"/>
                <w:color w:val="auto"/>
                <w:sz w:val="22"/>
                <w:szCs w:val="22"/>
              </w:rPr>
              <w:t>2009</w:t>
            </w:r>
          </w:p>
        </w:tc>
        <w:tc>
          <w:tcPr>
            <w:tcW w:w="1551" w:type="dxa"/>
          </w:tcPr>
          <w:p w14:paraId="6624086C" w14:textId="77777777" w:rsidR="00A2711F" w:rsidRPr="00747611" w:rsidRDefault="00A2711F" w:rsidP="00C60470">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w:hAnsi="Times"/>
                <w:b w:val="0"/>
                <w:color w:val="auto"/>
                <w:sz w:val="22"/>
                <w:szCs w:val="22"/>
              </w:rPr>
            </w:pPr>
            <w:r w:rsidRPr="00747611">
              <w:rPr>
                <w:rFonts w:ascii="Times" w:hAnsi="Times"/>
                <w:b w:val="0"/>
                <w:color w:val="auto"/>
                <w:sz w:val="22"/>
                <w:szCs w:val="22"/>
              </w:rPr>
              <w:t>2011</w:t>
            </w:r>
          </w:p>
        </w:tc>
      </w:tr>
      <w:tr w:rsidR="00A2711F" w:rsidRPr="00747611" w14:paraId="66039C0D" w14:textId="77777777" w:rsidTr="00C60470">
        <w:tc>
          <w:tcPr>
            <w:cnfStyle w:val="001000000000" w:firstRow="0" w:lastRow="0" w:firstColumn="1" w:lastColumn="0" w:oddVBand="0" w:evenVBand="0" w:oddHBand="0" w:evenHBand="0" w:firstRowFirstColumn="0" w:firstRowLastColumn="0" w:lastRowFirstColumn="0" w:lastRowLastColumn="0"/>
            <w:tcW w:w="1912" w:type="dxa"/>
          </w:tcPr>
          <w:p w14:paraId="0DD2B624" w14:textId="77777777" w:rsidR="00A2711F" w:rsidRPr="00492E9C" w:rsidRDefault="00A2711F" w:rsidP="00C60470">
            <w:pPr>
              <w:spacing w:line="360" w:lineRule="auto"/>
              <w:jc w:val="both"/>
              <w:rPr>
                <w:rFonts w:ascii="Times" w:hAnsi="Times"/>
                <w:b w:val="0"/>
                <w:color w:val="auto"/>
                <w:sz w:val="22"/>
                <w:szCs w:val="22"/>
              </w:rPr>
            </w:pPr>
            <w:r w:rsidRPr="00492E9C">
              <w:rPr>
                <w:rFonts w:ascii="Times" w:hAnsi="Times"/>
                <w:b w:val="0"/>
                <w:color w:val="auto"/>
                <w:sz w:val="22"/>
                <w:szCs w:val="22"/>
              </w:rPr>
              <w:t>Brasil</w:t>
            </w:r>
          </w:p>
        </w:tc>
        <w:tc>
          <w:tcPr>
            <w:tcW w:w="1422" w:type="dxa"/>
          </w:tcPr>
          <w:p w14:paraId="67A22877" w14:textId="77777777" w:rsidR="00A2711F" w:rsidRPr="00747611" w:rsidRDefault="00A2711F" w:rsidP="00C6047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689,31</w:t>
            </w:r>
          </w:p>
        </w:tc>
        <w:tc>
          <w:tcPr>
            <w:tcW w:w="1422" w:type="dxa"/>
          </w:tcPr>
          <w:p w14:paraId="52F74F92" w14:textId="77777777" w:rsidR="00A2711F" w:rsidRPr="00747611" w:rsidRDefault="00A2711F" w:rsidP="00C6047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680,01</w:t>
            </w:r>
          </w:p>
        </w:tc>
        <w:tc>
          <w:tcPr>
            <w:tcW w:w="1377" w:type="dxa"/>
          </w:tcPr>
          <w:p w14:paraId="74B474EB" w14:textId="77777777" w:rsidR="00A2711F" w:rsidRPr="00747611" w:rsidRDefault="00F6359D" w:rsidP="00C6047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640,01</w:t>
            </w:r>
          </w:p>
        </w:tc>
        <w:tc>
          <w:tcPr>
            <w:tcW w:w="1258" w:type="dxa"/>
          </w:tcPr>
          <w:p w14:paraId="49F65641" w14:textId="77777777" w:rsidR="00A2711F" w:rsidRPr="00747611" w:rsidRDefault="00F6359D" w:rsidP="00C6047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838,56</w:t>
            </w:r>
          </w:p>
        </w:tc>
        <w:tc>
          <w:tcPr>
            <w:tcW w:w="1551" w:type="dxa"/>
          </w:tcPr>
          <w:p w14:paraId="0A57D143" w14:textId="77777777" w:rsidR="00A2711F" w:rsidRPr="00747611" w:rsidRDefault="00A2711F" w:rsidP="00C6047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891,36</w:t>
            </w:r>
          </w:p>
        </w:tc>
      </w:tr>
      <w:tr w:rsidR="00A2711F" w:rsidRPr="00747611" w14:paraId="78639DB2" w14:textId="77777777" w:rsidTr="00C60470">
        <w:tc>
          <w:tcPr>
            <w:cnfStyle w:val="001000000000" w:firstRow="0" w:lastRow="0" w:firstColumn="1" w:lastColumn="0" w:oddVBand="0" w:evenVBand="0" w:oddHBand="0" w:evenHBand="0" w:firstRowFirstColumn="0" w:firstRowLastColumn="0" w:lastRowFirstColumn="0" w:lastRowLastColumn="0"/>
            <w:tcW w:w="1912" w:type="dxa"/>
          </w:tcPr>
          <w:p w14:paraId="33869F13" w14:textId="77777777" w:rsidR="00A2711F" w:rsidRPr="00492E9C" w:rsidRDefault="00A2711F" w:rsidP="00C60470">
            <w:pPr>
              <w:spacing w:line="360" w:lineRule="auto"/>
              <w:jc w:val="both"/>
              <w:rPr>
                <w:rFonts w:ascii="Times" w:hAnsi="Times"/>
                <w:b w:val="0"/>
                <w:color w:val="auto"/>
                <w:sz w:val="22"/>
                <w:szCs w:val="22"/>
              </w:rPr>
            </w:pPr>
            <w:r w:rsidRPr="00492E9C">
              <w:rPr>
                <w:rFonts w:ascii="Times" w:hAnsi="Times"/>
                <w:b w:val="0"/>
                <w:color w:val="auto"/>
                <w:sz w:val="22"/>
                <w:szCs w:val="22"/>
              </w:rPr>
              <w:t>SUL</w:t>
            </w:r>
          </w:p>
        </w:tc>
        <w:tc>
          <w:tcPr>
            <w:tcW w:w="1422" w:type="dxa"/>
          </w:tcPr>
          <w:p w14:paraId="4E917B83" w14:textId="77777777" w:rsidR="00A2711F" w:rsidRPr="00747611" w:rsidRDefault="00A2711F" w:rsidP="00C6047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782,97</w:t>
            </w:r>
          </w:p>
        </w:tc>
        <w:tc>
          <w:tcPr>
            <w:tcW w:w="1422" w:type="dxa"/>
          </w:tcPr>
          <w:p w14:paraId="3E3C21BD" w14:textId="77777777" w:rsidR="00A2711F" w:rsidRPr="00747611" w:rsidRDefault="00A2711F" w:rsidP="00C6047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789,05</w:t>
            </w:r>
          </w:p>
        </w:tc>
        <w:tc>
          <w:tcPr>
            <w:tcW w:w="1377" w:type="dxa"/>
          </w:tcPr>
          <w:p w14:paraId="23E71EA3" w14:textId="77777777" w:rsidR="00A2711F" w:rsidRPr="00747611" w:rsidRDefault="00F6359D" w:rsidP="00C6047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784,03</w:t>
            </w:r>
          </w:p>
        </w:tc>
        <w:tc>
          <w:tcPr>
            <w:tcW w:w="1258" w:type="dxa"/>
          </w:tcPr>
          <w:p w14:paraId="748F17EC" w14:textId="77777777" w:rsidR="00A2711F" w:rsidRPr="00747611" w:rsidRDefault="00F6359D" w:rsidP="00C6047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1037,15</w:t>
            </w:r>
          </w:p>
        </w:tc>
        <w:tc>
          <w:tcPr>
            <w:tcW w:w="1551" w:type="dxa"/>
          </w:tcPr>
          <w:p w14:paraId="3095A83B" w14:textId="77777777" w:rsidR="00A2711F" w:rsidRPr="00747611" w:rsidRDefault="00A2711F" w:rsidP="00C6047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1.087,23</w:t>
            </w:r>
          </w:p>
        </w:tc>
      </w:tr>
      <w:tr w:rsidR="00A2711F" w:rsidRPr="00747611" w14:paraId="038EEC43" w14:textId="77777777" w:rsidTr="00C60470">
        <w:tc>
          <w:tcPr>
            <w:cnfStyle w:val="001000000000" w:firstRow="0" w:lastRow="0" w:firstColumn="1" w:lastColumn="0" w:oddVBand="0" w:evenVBand="0" w:oddHBand="0" w:evenHBand="0" w:firstRowFirstColumn="0" w:firstRowLastColumn="0" w:lastRowFirstColumn="0" w:lastRowLastColumn="0"/>
            <w:tcW w:w="1912" w:type="dxa"/>
          </w:tcPr>
          <w:p w14:paraId="20A5B3B2" w14:textId="77777777" w:rsidR="00A2711F" w:rsidRPr="00492E9C" w:rsidRDefault="00A2711F" w:rsidP="00C60470">
            <w:pPr>
              <w:spacing w:line="360" w:lineRule="auto"/>
              <w:jc w:val="both"/>
              <w:rPr>
                <w:rFonts w:ascii="Times" w:hAnsi="Times"/>
                <w:b w:val="0"/>
                <w:color w:val="auto"/>
                <w:sz w:val="22"/>
                <w:szCs w:val="22"/>
              </w:rPr>
            </w:pPr>
            <w:r w:rsidRPr="00492E9C">
              <w:rPr>
                <w:rFonts w:ascii="Times" w:hAnsi="Times"/>
                <w:b w:val="0"/>
                <w:color w:val="auto"/>
                <w:sz w:val="22"/>
                <w:szCs w:val="22"/>
              </w:rPr>
              <w:t>Paraná</w:t>
            </w:r>
          </w:p>
        </w:tc>
        <w:tc>
          <w:tcPr>
            <w:tcW w:w="1422" w:type="dxa"/>
          </w:tcPr>
          <w:p w14:paraId="0FEB7B39" w14:textId="77777777" w:rsidR="00A2711F" w:rsidRPr="00747611" w:rsidRDefault="00A2711F" w:rsidP="00C6047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722,14</w:t>
            </w:r>
          </w:p>
        </w:tc>
        <w:tc>
          <w:tcPr>
            <w:tcW w:w="1422" w:type="dxa"/>
          </w:tcPr>
          <w:p w14:paraId="57E2FF17" w14:textId="77777777" w:rsidR="00A2711F" w:rsidRPr="00747611" w:rsidRDefault="00A2711F" w:rsidP="00C6047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744,48</w:t>
            </w:r>
          </w:p>
        </w:tc>
        <w:tc>
          <w:tcPr>
            <w:tcW w:w="1377" w:type="dxa"/>
          </w:tcPr>
          <w:p w14:paraId="3A60F6D6" w14:textId="77777777" w:rsidR="00A2711F" w:rsidRPr="00747611" w:rsidRDefault="00F6359D" w:rsidP="00C6047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725,69</w:t>
            </w:r>
          </w:p>
        </w:tc>
        <w:tc>
          <w:tcPr>
            <w:tcW w:w="1258" w:type="dxa"/>
          </w:tcPr>
          <w:p w14:paraId="34EA55A5" w14:textId="77777777" w:rsidR="00A2711F" w:rsidRPr="00747611" w:rsidRDefault="00F6359D" w:rsidP="00C6047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972,32</w:t>
            </w:r>
          </w:p>
        </w:tc>
        <w:tc>
          <w:tcPr>
            <w:tcW w:w="1551" w:type="dxa"/>
          </w:tcPr>
          <w:p w14:paraId="1CE475FB" w14:textId="77777777" w:rsidR="00A2711F" w:rsidRPr="00747611" w:rsidRDefault="00A2711F" w:rsidP="00C6047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1.038,84</w:t>
            </w:r>
          </w:p>
        </w:tc>
      </w:tr>
      <w:tr w:rsidR="00A2711F" w:rsidRPr="00747611" w14:paraId="339752F9" w14:textId="77777777" w:rsidTr="00C60470">
        <w:tc>
          <w:tcPr>
            <w:cnfStyle w:val="001000000000" w:firstRow="0" w:lastRow="0" w:firstColumn="1" w:lastColumn="0" w:oddVBand="0" w:evenVBand="0" w:oddHBand="0" w:evenHBand="0" w:firstRowFirstColumn="0" w:firstRowLastColumn="0" w:lastRowFirstColumn="0" w:lastRowLastColumn="0"/>
            <w:tcW w:w="1912" w:type="dxa"/>
          </w:tcPr>
          <w:p w14:paraId="1D0A8428" w14:textId="77777777" w:rsidR="00A2711F" w:rsidRPr="00492E9C" w:rsidRDefault="00A2711F" w:rsidP="00C60470">
            <w:pPr>
              <w:spacing w:line="360" w:lineRule="auto"/>
              <w:jc w:val="both"/>
              <w:rPr>
                <w:rFonts w:ascii="Times" w:hAnsi="Times"/>
                <w:b w:val="0"/>
                <w:color w:val="auto"/>
                <w:sz w:val="22"/>
                <w:szCs w:val="22"/>
              </w:rPr>
            </w:pPr>
            <w:r w:rsidRPr="00492E9C">
              <w:rPr>
                <w:rFonts w:ascii="Times" w:hAnsi="Times"/>
                <w:b w:val="0"/>
                <w:color w:val="auto"/>
                <w:sz w:val="22"/>
                <w:szCs w:val="22"/>
              </w:rPr>
              <w:t>Rio G. do Sul</w:t>
            </w:r>
          </w:p>
        </w:tc>
        <w:tc>
          <w:tcPr>
            <w:tcW w:w="1422" w:type="dxa"/>
          </w:tcPr>
          <w:p w14:paraId="377CC6C0" w14:textId="77777777" w:rsidR="00A2711F" w:rsidRPr="00747611" w:rsidRDefault="00A2711F" w:rsidP="00C6047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828,06</w:t>
            </w:r>
          </w:p>
        </w:tc>
        <w:tc>
          <w:tcPr>
            <w:tcW w:w="1422" w:type="dxa"/>
          </w:tcPr>
          <w:p w14:paraId="48E193E2" w14:textId="77777777" w:rsidR="00A2711F" w:rsidRPr="00747611" w:rsidRDefault="00A2711F" w:rsidP="00C6047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825,95</w:t>
            </w:r>
          </w:p>
        </w:tc>
        <w:tc>
          <w:tcPr>
            <w:tcW w:w="1377" w:type="dxa"/>
          </w:tcPr>
          <w:p w14:paraId="10F320AB" w14:textId="77777777" w:rsidR="00A2711F" w:rsidRPr="00747611" w:rsidRDefault="00F6359D" w:rsidP="00C6047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814,10</w:t>
            </w:r>
          </w:p>
        </w:tc>
        <w:tc>
          <w:tcPr>
            <w:tcW w:w="1258" w:type="dxa"/>
          </w:tcPr>
          <w:p w14:paraId="5A38F23F" w14:textId="77777777" w:rsidR="00A2711F" w:rsidRPr="00747611" w:rsidRDefault="00F6359D" w:rsidP="00C6047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1034,77</w:t>
            </w:r>
          </w:p>
        </w:tc>
        <w:tc>
          <w:tcPr>
            <w:tcW w:w="1551" w:type="dxa"/>
          </w:tcPr>
          <w:p w14:paraId="55B24895" w14:textId="77777777" w:rsidR="00A2711F" w:rsidRPr="00747611" w:rsidRDefault="00A2711F" w:rsidP="00C6047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1.083,56</w:t>
            </w:r>
          </w:p>
        </w:tc>
      </w:tr>
      <w:tr w:rsidR="00A2711F" w:rsidRPr="00747611" w14:paraId="426EBDD3" w14:textId="77777777" w:rsidTr="00C60470">
        <w:tc>
          <w:tcPr>
            <w:cnfStyle w:val="001000000000" w:firstRow="0" w:lastRow="0" w:firstColumn="1" w:lastColumn="0" w:oddVBand="0" w:evenVBand="0" w:oddHBand="0" w:evenHBand="0" w:firstRowFirstColumn="0" w:firstRowLastColumn="0" w:lastRowFirstColumn="0" w:lastRowLastColumn="0"/>
            <w:tcW w:w="1912" w:type="dxa"/>
          </w:tcPr>
          <w:p w14:paraId="4F56E1F0" w14:textId="77777777" w:rsidR="00A2711F" w:rsidRPr="00492E9C" w:rsidRDefault="00A2711F" w:rsidP="00C60470">
            <w:pPr>
              <w:spacing w:line="360" w:lineRule="auto"/>
              <w:contextualSpacing/>
              <w:jc w:val="both"/>
              <w:rPr>
                <w:rFonts w:ascii="Times" w:hAnsi="Times"/>
                <w:b w:val="0"/>
                <w:color w:val="auto"/>
                <w:sz w:val="22"/>
                <w:szCs w:val="22"/>
              </w:rPr>
            </w:pPr>
            <w:r w:rsidRPr="00492E9C">
              <w:rPr>
                <w:rFonts w:ascii="Times" w:hAnsi="Times"/>
                <w:b w:val="0"/>
                <w:color w:val="auto"/>
                <w:sz w:val="22"/>
                <w:szCs w:val="22"/>
              </w:rPr>
              <w:t>Sta Catarina</w:t>
            </w:r>
          </w:p>
        </w:tc>
        <w:tc>
          <w:tcPr>
            <w:tcW w:w="1422" w:type="dxa"/>
          </w:tcPr>
          <w:p w14:paraId="532698F7" w14:textId="77777777" w:rsidR="00A2711F" w:rsidRPr="00747611" w:rsidRDefault="00A2711F" w:rsidP="00C60470">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806,40</w:t>
            </w:r>
          </w:p>
        </w:tc>
        <w:tc>
          <w:tcPr>
            <w:tcW w:w="1422" w:type="dxa"/>
          </w:tcPr>
          <w:p w14:paraId="0AC72156" w14:textId="77777777" w:rsidR="00A2711F" w:rsidRPr="00747611" w:rsidRDefault="00A2711F" w:rsidP="00C60470">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798,71</w:t>
            </w:r>
          </w:p>
        </w:tc>
        <w:tc>
          <w:tcPr>
            <w:tcW w:w="1377" w:type="dxa"/>
          </w:tcPr>
          <w:p w14:paraId="14569F69" w14:textId="77777777" w:rsidR="00A2711F" w:rsidRPr="00747611" w:rsidRDefault="00F6359D" w:rsidP="00C60470">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831,45</w:t>
            </w:r>
          </w:p>
        </w:tc>
        <w:tc>
          <w:tcPr>
            <w:tcW w:w="1258" w:type="dxa"/>
          </w:tcPr>
          <w:p w14:paraId="5A2E3757" w14:textId="77777777" w:rsidR="00A2711F" w:rsidRPr="00747611" w:rsidRDefault="00F6359D" w:rsidP="00C60470">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1153,13</w:t>
            </w:r>
          </w:p>
        </w:tc>
        <w:tc>
          <w:tcPr>
            <w:tcW w:w="1551" w:type="dxa"/>
          </w:tcPr>
          <w:p w14:paraId="3A0DE749" w14:textId="77777777" w:rsidR="00A2711F" w:rsidRPr="00747611" w:rsidRDefault="00A2711F" w:rsidP="00C60470">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1.176,09</w:t>
            </w:r>
          </w:p>
        </w:tc>
      </w:tr>
    </w:tbl>
    <w:p w14:paraId="2387BFC7" w14:textId="7CC38282" w:rsidR="00197648" w:rsidRDefault="00197648" w:rsidP="007D160D">
      <w:pPr>
        <w:widowControl w:val="0"/>
        <w:autoSpaceDE w:val="0"/>
        <w:autoSpaceDN w:val="0"/>
        <w:adjustRightInd w:val="0"/>
        <w:spacing w:after="240"/>
        <w:jc w:val="both"/>
        <w:rPr>
          <w:rFonts w:ascii="Times" w:hAnsi="Times" w:cs="Times New Roman"/>
          <w:noProof/>
        </w:rPr>
      </w:pPr>
    </w:p>
    <w:p w14:paraId="7372A517" w14:textId="77777777" w:rsidR="00426384" w:rsidRDefault="00426384" w:rsidP="007D160D">
      <w:pPr>
        <w:widowControl w:val="0"/>
        <w:autoSpaceDE w:val="0"/>
        <w:autoSpaceDN w:val="0"/>
        <w:adjustRightInd w:val="0"/>
        <w:spacing w:after="240"/>
        <w:jc w:val="both"/>
        <w:rPr>
          <w:rFonts w:ascii="Times" w:hAnsi="Times" w:cs="Times New Roman"/>
          <w:noProof/>
        </w:rPr>
      </w:pPr>
    </w:p>
    <w:p w14:paraId="035E9BC2" w14:textId="2E1EC7DD" w:rsidR="00046898" w:rsidRPr="0032773F" w:rsidRDefault="00825B23" w:rsidP="007D160D">
      <w:pPr>
        <w:widowControl w:val="0"/>
        <w:autoSpaceDE w:val="0"/>
        <w:autoSpaceDN w:val="0"/>
        <w:adjustRightInd w:val="0"/>
        <w:spacing w:after="240"/>
        <w:jc w:val="both"/>
        <w:rPr>
          <w:rFonts w:ascii="Times" w:hAnsi="Times" w:cs="Times New Roman"/>
          <w:noProof/>
        </w:rPr>
      </w:pPr>
      <w:r w:rsidRPr="00492E9C">
        <w:rPr>
          <w:rFonts w:ascii="Times" w:hAnsi="Times" w:cs="Times New Roman"/>
          <w:noProof/>
        </w:rPr>
        <w:lastRenderedPageBreak/>
        <w:t>Tabela 4</w:t>
      </w:r>
      <w:r w:rsidR="00492E9C">
        <w:rPr>
          <w:rFonts w:ascii="Times" w:hAnsi="Times" w:cs="Times New Roman"/>
          <w:noProof/>
        </w:rPr>
        <w:t xml:space="preserve"> -</w:t>
      </w:r>
      <w:r w:rsidR="00483374" w:rsidRPr="00492E9C">
        <w:rPr>
          <w:rFonts w:ascii="Times" w:hAnsi="Times" w:cs="Times New Roman"/>
          <w:noProof/>
        </w:rPr>
        <w:t xml:space="preserve"> </w:t>
      </w:r>
      <w:r w:rsidR="00046898" w:rsidRPr="0032773F">
        <w:rPr>
          <w:rFonts w:ascii="Times" w:hAnsi="Times" w:cs="Times New Roman"/>
          <w:noProof/>
        </w:rPr>
        <w:t>Renda média de todos</w:t>
      </w:r>
      <w:r w:rsidR="0032773F">
        <w:rPr>
          <w:rFonts w:ascii="Times" w:hAnsi="Times" w:cs="Times New Roman"/>
          <w:noProof/>
        </w:rPr>
        <w:t xml:space="preserve"> os trabalhos </w:t>
      </w:r>
    </w:p>
    <w:tbl>
      <w:tblPr>
        <w:tblStyle w:val="SombreamentoClaro"/>
        <w:tblW w:w="5000" w:type="pct"/>
        <w:tblLook w:val="06A0" w:firstRow="1" w:lastRow="0" w:firstColumn="1" w:lastColumn="0" w:noHBand="1" w:noVBand="1"/>
      </w:tblPr>
      <w:tblGrid>
        <w:gridCol w:w="2024"/>
        <w:gridCol w:w="1408"/>
        <w:gridCol w:w="1409"/>
        <w:gridCol w:w="1409"/>
        <w:gridCol w:w="1409"/>
        <w:gridCol w:w="1405"/>
      </w:tblGrid>
      <w:tr w:rsidR="00F6359D" w:rsidRPr="00747611" w14:paraId="79D7A430" w14:textId="77777777" w:rsidTr="00164E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pct"/>
          </w:tcPr>
          <w:p w14:paraId="5F8A0D4F" w14:textId="77777777" w:rsidR="00F6359D" w:rsidRPr="00747611" w:rsidRDefault="00F6359D" w:rsidP="00347B57">
            <w:pPr>
              <w:spacing w:line="360" w:lineRule="auto"/>
              <w:jc w:val="both"/>
              <w:rPr>
                <w:rFonts w:ascii="Times" w:hAnsi="Times"/>
                <w:b w:val="0"/>
                <w:color w:val="auto"/>
                <w:sz w:val="22"/>
                <w:szCs w:val="22"/>
              </w:rPr>
            </w:pPr>
            <w:r w:rsidRPr="00747611">
              <w:rPr>
                <w:rFonts w:ascii="Times" w:hAnsi="Times"/>
                <w:b w:val="0"/>
                <w:color w:val="auto"/>
                <w:sz w:val="22"/>
                <w:szCs w:val="22"/>
              </w:rPr>
              <w:t>Região</w:t>
            </w:r>
          </w:p>
        </w:tc>
        <w:tc>
          <w:tcPr>
            <w:tcW w:w="777" w:type="pct"/>
          </w:tcPr>
          <w:p w14:paraId="4E2D7381" w14:textId="77777777" w:rsidR="00F6359D" w:rsidRPr="00747611" w:rsidRDefault="00F6359D" w:rsidP="00347B5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w:hAnsi="Times"/>
                <w:b w:val="0"/>
                <w:color w:val="auto"/>
                <w:sz w:val="22"/>
                <w:szCs w:val="22"/>
              </w:rPr>
            </w:pPr>
            <w:r w:rsidRPr="00747611">
              <w:rPr>
                <w:rFonts w:ascii="Times" w:hAnsi="Times"/>
                <w:b w:val="0"/>
                <w:color w:val="auto"/>
                <w:sz w:val="22"/>
                <w:szCs w:val="22"/>
              </w:rPr>
              <w:t>1995</w:t>
            </w:r>
          </w:p>
        </w:tc>
        <w:tc>
          <w:tcPr>
            <w:tcW w:w="777" w:type="pct"/>
          </w:tcPr>
          <w:p w14:paraId="40B4F39B" w14:textId="77777777" w:rsidR="00F6359D" w:rsidRPr="00747611" w:rsidRDefault="00F6359D" w:rsidP="00347B5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w:hAnsi="Times"/>
                <w:b w:val="0"/>
                <w:color w:val="auto"/>
                <w:sz w:val="22"/>
                <w:szCs w:val="22"/>
              </w:rPr>
            </w:pPr>
            <w:r w:rsidRPr="00747611">
              <w:rPr>
                <w:rFonts w:ascii="Times" w:hAnsi="Times"/>
                <w:b w:val="0"/>
                <w:color w:val="auto"/>
                <w:sz w:val="22"/>
                <w:szCs w:val="22"/>
              </w:rPr>
              <w:t>2002</w:t>
            </w:r>
          </w:p>
        </w:tc>
        <w:tc>
          <w:tcPr>
            <w:tcW w:w="777" w:type="pct"/>
          </w:tcPr>
          <w:p w14:paraId="78F24FAE" w14:textId="77777777" w:rsidR="00F6359D" w:rsidRPr="00747611" w:rsidRDefault="00F6359D" w:rsidP="00347B5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w:hAnsi="Times"/>
                <w:b w:val="0"/>
                <w:color w:val="auto"/>
                <w:sz w:val="22"/>
                <w:szCs w:val="22"/>
              </w:rPr>
            </w:pPr>
            <w:r w:rsidRPr="00747611">
              <w:rPr>
                <w:rFonts w:ascii="Times" w:hAnsi="Times"/>
                <w:b w:val="0"/>
                <w:color w:val="auto"/>
                <w:sz w:val="22"/>
                <w:szCs w:val="22"/>
              </w:rPr>
              <w:t>2003</w:t>
            </w:r>
          </w:p>
        </w:tc>
        <w:tc>
          <w:tcPr>
            <w:tcW w:w="777" w:type="pct"/>
          </w:tcPr>
          <w:p w14:paraId="02E7C644" w14:textId="77777777" w:rsidR="00F6359D" w:rsidRPr="00747611" w:rsidRDefault="00F6359D" w:rsidP="00347B5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w:hAnsi="Times"/>
                <w:b w:val="0"/>
                <w:color w:val="auto"/>
                <w:sz w:val="22"/>
                <w:szCs w:val="22"/>
              </w:rPr>
            </w:pPr>
            <w:r w:rsidRPr="00747611">
              <w:rPr>
                <w:rFonts w:ascii="Times" w:hAnsi="Times"/>
                <w:b w:val="0"/>
                <w:color w:val="auto"/>
                <w:sz w:val="22"/>
                <w:szCs w:val="22"/>
              </w:rPr>
              <w:t>2009</w:t>
            </w:r>
          </w:p>
        </w:tc>
        <w:tc>
          <w:tcPr>
            <w:tcW w:w="777" w:type="pct"/>
          </w:tcPr>
          <w:p w14:paraId="10ADE284" w14:textId="77777777" w:rsidR="00F6359D" w:rsidRPr="00747611" w:rsidRDefault="00F6359D" w:rsidP="00347B5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w:hAnsi="Times"/>
                <w:b w:val="0"/>
                <w:color w:val="auto"/>
                <w:sz w:val="22"/>
                <w:szCs w:val="22"/>
              </w:rPr>
            </w:pPr>
            <w:r w:rsidRPr="00747611">
              <w:rPr>
                <w:rFonts w:ascii="Times" w:hAnsi="Times"/>
                <w:b w:val="0"/>
                <w:color w:val="auto"/>
                <w:sz w:val="22"/>
                <w:szCs w:val="22"/>
              </w:rPr>
              <w:t>2011</w:t>
            </w:r>
          </w:p>
        </w:tc>
      </w:tr>
      <w:tr w:rsidR="00F6359D" w:rsidRPr="00747611" w14:paraId="227B6884" w14:textId="77777777" w:rsidTr="00164ECA">
        <w:tc>
          <w:tcPr>
            <w:cnfStyle w:val="001000000000" w:firstRow="0" w:lastRow="0" w:firstColumn="1" w:lastColumn="0" w:oddVBand="0" w:evenVBand="0" w:oddHBand="0" w:evenHBand="0" w:firstRowFirstColumn="0" w:firstRowLastColumn="0" w:lastRowFirstColumn="0" w:lastRowLastColumn="0"/>
            <w:tcW w:w="1117" w:type="pct"/>
          </w:tcPr>
          <w:p w14:paraId="60C2CC28" w14:textId="77777777" w:rsidR="00F6359D" w:rsidRPr="00747611" w:rsidRDefault="00F6359D" w:rsidP="00347B57">
            <w:pPr>
              <w:spacing w:line="360" w:lineRule="auto"/>
              <w:jc w:val="both"/>
              <w:rPr>
                <w:rFonts w:ascii="Times" w:hAnsi="Times"/>
                <w:b w:val="0"/>
                <w:color w:val="auto"/>
                <w:sz w:val="22"/>
                <w:szCs w:val="22"/>
              </w:rPr>
            </w:pPr>
            <w:r w:rsidRPr="00747611">
              <w:rPr>
                <w:rFonts w:ascii="Times" w:hAnsi="Times"/>
                <w:b w:val="0"/>
                <w:color w:val="auto"/>
                <w:sz w:val="22"/>
                <w:szCs w:val="22"/>
              </w:rPr>
              <w:t>Brasil</w:t>
            </w:r>
          </w:p>
        </w:tc>
        <w:tc>
          <w:tcPr>
            <w:tcW w:w="777" w:type="pct"/>
          </w:tcPr>
          <w:p w14:paraId="2C1F0B26" w14:textId="77777777" w:rsidR="00F6359D" w:rsidRPr="00747611" w:rsidRDefault="00F6359D" w:rsidP="00347B5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1.184,74</w:t>
            </w:r>
          </w:p>
        </w:tc>
        <w:tc>
          <w:tcPr>
            <w:tcW w:w="777" w:type="pct"/>
          </w:tcPr>
          <w:p w14:paraId="3DFB8ADE" w14:textId="77777777" w:rsidR="00F6359D" w:rsidRPr="00747611" w:rsidRDefault="00F6359D" w:rsidP="00347B5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1.101,93</w:t>
            </w:r>
          </w:p>
        </w:tc>
        <w:tc>
          <w:tcPr>
            <w:tcW w:w="777" w:type="pct"/>
          </w:tcPr>
          <w:p w14:paraId="760B4D39" w14:textId="77777777" w:rsidR="00F6359D" w:rsidRPr="00747611" w:rsidRDefault="00164ECA" w:rsidP="00347B5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1029,72</w:t>
            </w:r>
          </w:p>
        </w:tc>
        <w:tc>
          <w:tcPr>
            <w:tcW w:w="777" w:type="pct"/>
          </w:tcPr>
          <w:p w14:paraId="2A9E7719" w14:textId="77777777" w:rsidR="00F6359D" w:rsidRPr="00747611" w:rsidRDefault="00164ECA" w:rsidP="00347B5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1.272,27</w:t>
            </w:r>
          </w:p>
        </w:tc>
        <w:tc>
          <w:tcPr>
            <w:tcW w:w="777" w:type="pct"/>
          </w:tcPr>
          <w:p w14:paraId="1C4BC96F" w14:textId="77777777" w:rsidR="00F6359D" w:rsidRPr="00747611" w:rsidRDefault="00164ECA" w:rsidP="00347B5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1.392,53</w:t>
            </w:r>
          </w:p>
        </w:tc>
      </w:tr>
      <w:tr w:rsidR="00F6359D" w:rsidRPr="00747611" w14:paraId="22C88027" w14:textId="77777777" w:rsidTr="00164ECA">
        <w:tc>
          <w:tcPr>
            <w:cnfStyle w:val="001000000000" w:firstRow="0" w:lastRow="0" w:firstColumn="1" w:lastColumn="0" w:oddVBand="0" w:evenVBand="0" w:oddHBand="0" w:evenHBand="0" w:firstRowFirstColumn="0" w:firstRowLastColumn="0" w:lastRowFirstColumn="0" w:lastRowLastColumn="0"/>
            <w:tcW w:w="1117" w:type="pct"/>
          </w:tcPr>
          <w:p w14:paraId="7365447A" w14:textId="77777777" w:rsidR="00F6359D" w:rsidRPr="00747611" w:rsidRDefault="00F6359D" w:rsidP="00347B57">
            <w:pPr>
              <w:spacing w:line="360" w:lineRule="auto"/>
              <w:jc w:val="both"/>
              <w:rPr>
                <w:rFonts w:ascii="Times" w:hAnsi="Times"/>
                <w:b w:val="0"/>
                <w:color w:val="auto"/>
                <w:sz w:val="22"/>
                <w:szCs w:val="22"/>
              </w:rPr>
            </w:pPr>
            <w:r w:rsidRPr="00747611">
              <w:rPr>
                <w:rFonts w:ascii="Times" w:hAnsi="Times"/>
                <w:b w:val="0"/>
                <w:color w:val="auto"/>
                <w:sz w:val="22"/>
                <w:szCs w:val="22"/>
              </w:rPr>
              <w:t>SUL</w:t>
            </w:r>
          </w:p>
        </w:tc>
        <w:tc>
          <w:tcPr>
            <w:tcW w:w="777" w:type="pct"/>
          </w:tcPr>
          <w:p w14:paraId="0F00E2D3" w14:textId="77777777" w:rsidR="00F6359D" w:rsidRPr="00747611" w:rsidRDefault="00F6359D" w:rsidP="00347B5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1.224,30</w:t>
            </w:r>
          </w:p>
        </w:tc>
        <w:tc>
          <w:tcPr>
            <w:tcW w:w="777" w:type="pct"/>
          </w:tcPr>
          <w:p w14:paraId="300A7EB6" w14:textId="77777777" w:rsidR="00F6359D" w:rsidRPr="00747611" w:rsidRDefault="00164ECA" w:rsidP="00347B5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1.141,17</w:t>
            </w:r>
          </w:p>
        </w:tc>
        <w:tc>
          <w:tcPr>
            <w:tcW w:w="777" w:type="pct"/>
          </w:tcPr>
          <w:p w14:paraId="1DABDF97" w14:textId="77777777" w:rsidR="00F6359D" w:rsidRPr="00747611" w:rsidRDefault="00164ECA" w:rsidP="00347B5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1.117,94</w:t>
            </w:r>
          </w:p>
        </w:tc>
        <w:tc>
          <w:tcPr>
            <w:tcW w:w="777" w:type="pct"/>
          </w:tcPr>
          <w:p w14:paraId="65AD64AB" w14:textId="77777777" w:rsidR="00F6359D" w:rsidRPr="00747611" w:rsidRDefault="00164ECA" w:rsidP="00347B5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1.408,36</w:t>
            </w:r>
          </w:p>
        </w:tc>
        <w:tc>
          <w:tcPr>
            <w:tcW w:w="777" w:type="pct"/>
          </w:tcPr>
          <w:p w14:paraId="47FBD288" w14:textId="77777777" w:rsidR="00F6359D" w:rsidRPr="00747611" w:rsidRDefault="00F6359D" w:rsidP="00347B5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1488,89</w:t>
            </w:r>
          </w:p>
        </w:tc>
      </w:tr>
      <w:tr w:rsidR="00F6359D" w:rsidRPr="00747611" w14:paraId="1619B4EE" w14:textId="77777777" w:rsidTr="00164ECA">
        <w:tc>
          <w:tcPr>
            <w:cnfStyle w:val="001000000000" w:firstRow="0" w:lastRow="0" w:firstColumn="1" w:lastColumn="0" w:oddVBand="0" w:evenVBand="0" w:oddHBand="0" w:evenHBand="0" w:firstRowFirstColumn="0" w:firstRowLastColumn="0" w:lastRowFirstColumn="0" w:lastRowLastColumn="0"/>
            <w:tcW w:w="1117" w:type="pct"/>
          </w:tcPr>
          <w:p w14:paraId="00E91C5B" w14:textId="77777777" w:rsidR="00F6359D" w:rsidRPr="00747611" w:rsidRDefault="00F6359D" w:rsidP="00347B57">
            <w:pPr>
              <w:spacing w:line="360" w:lineRule="auto"/>
              <w:jc w:val="both"/>
              <w:rPr>
                <w:rFonts w:ascii="Times" w:hAnsi="Times"/>
                <w:b w:val="0"/>
                <w:color w:val="auto"/>
                <w:sz w:val="22"/>
                <w:szCs w:val="22"/>
              </w:rPr>
            </w:pPr>
            <w:r w:rsidRPr="00747611">
              <w:rPr>
                <w:rFonts w:ascii="Times" w:hAnsi="Times"/>
                <w:b w:val="0"/>
                <w:color w:val="auto"/>
                <w:sz w:val="22"/>
                <w:szCs w:val="22"/>
              </w:rPr>
              <w:t>Paraná</w:t>
            </w:r>
          </w:p>
        </w:tc>
        <w:tc>
          <w:tcPr>
            <w:tcW w:w="777" w:type="pct"/>
          </w:tcPr>
          <w:p w14:paraId="09F18DC7" w14:textId="77777777" w:rsidR="00F6359D" w:rsidRPr="00747611" w:rsidRDefault="00F6359D" w:rsidP="00347B5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1.177,12</w:t>
            </w:r>
          </w:p>
        </w:tc>
        <w:tc>
          <w:tcPr>
            <w:tcW w:w="777" w:type="pct"/>
          </w:tcPr>
          <w:p w14:paraId="12D8C00C" w14:textId="77777777" w:rsidR="00F6359D" w:rsidRPr="00747611" w:rsidRDefault="00F6359D" w:rsidP="00347B5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1.125,11</w:t>
            </w:r>
          </w:p>
        </w:tc>
        <w:tc>
          <w:tcPr>
            <w:tcW w:w="777" w:type="pct"/>
          </w:tcPr>
          <w:p w14:paraId="204C468B" w14:textId="77777777" w:rsidR="00F6359D" w:rsidRPr="00747611" w:rsidRDefault="00164ECA" w:rsidP="00347B5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1.100,72</w:t>
            </w:r>
          </w:p>
        </w:tc>
        <w:tc>
          <w:tcPr>
            <w:tcW w:w="777" w:type="pct"/>
          </w:tcPr>
          <w:p w14:paraId="293B0AD7" w14:textId="77777777" w:rsidR="00F6359D" w:rsidRPr="00747611" w:rsidRDefault="00164ECA" w:rsidP="00347B5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1.398,19</w:t>
            </w:r>
          </w:p>
        </w:tc>
        <w:tc>
          <w:tcPr>
            <w:tcW w:w="777" w:type="pct"/>
          </w:tcPr>
          <w:p w14:paraId="591BAF1C" w14:textId="77777777" w:rsidR="00F6359D" w:rsidRPr="00747611" w:rsidRDefault="00F6359D" w:rsidP="00347B5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1.474,46</w:t>
            </w:r>
          </w:p>
        </w:tc>
      </w:tr>
      <w:tr w:rsidR="00F6359D" w:rsidRPr="00747611" w14:paraId="5B1E90D2" w14:textId="77777777" w:rsidTr="00164ECA">
        <w:tc>
          <w:tcPr>
            <w:cnfStyle w:val="001000000000" w:firstRow="0" w:lastRow="0" w:firstColumn="1" w:lastColumn="0" w:oddVBand="0" w:evenVBand="0" w:oddHBand="0" w:evenHBand="0" w:firstRowFirstColumn="0" w:firstRowLastColumn="0" w:lastRowFirstColumn="0" w:lastRowLastColumn="0"/>
            <w:tcW w:w="1117" w:type="pct"/>
          </w:tcPr>
          <w:p w14:paraId="733ED1E5" w14:textId="77777777" w:rsidR="00F6359D" w:rsidRPr="00747611" w:rsidRDefault="00F6359D" w:rsidP="00347B57">
            <w:pPr>
              <w:spacing w:line="360" w:lineRule="auto"/>
              <w:jc w:val="both"/>
              <w:rPr>
                <w:rFonts w:ascii="Times" w:hAnsi="Times"/>
                <w:b w:val="0"/>
                <w:color w:val="auto"/>
                <w:sz w:val="22"/>
                <w:szCs w:val="22"/>
              </w:rPr>
            </w:pPr>
            <w:r w:rsidRPr="00747611">
              <w:rPr>
                <w:rFonts w:ascii="Times" w:hAnsi="Times"/>
                <w:b w:val="0"/>
                <w:color w:val="auto"/>
                <w:sz w:val="22"/>
                <w:szCs w:val="22"/>
              </w:rPr>
              <w:t>Rio G. do Sul</w:t>
            </w:r>
          </w:p>
        </w:tc>
        <w:tc>
          <w:tcPr>
            <w:tcW w:w="777" w:type="pct"/>
          </w:tcPr>
          <w:p w14:paraId="4C072A50" w14:textId="77777777" w:rsidR="00F6359D" w:rsidRPr="00747611" w:rsidRDefault="00F6359D" w:rsidP="00347B5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1.234,05</w:t>
            </w:r>
          </w:p>
        </w:tc>
        <w:tc>
          <w:tcPr>
            <w:tcW w:w="777" w:type="pct"/>
          </w:tcPr>
          <w:p w14:paraId="49EF1D19" w14:textId="77777777" w:rsidR="00F6359D" w:rsidRPr="00747611" w:rsidRDefault="00F6359D" w:rsidP="00347B5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1.148,22</w:t>
            </w:r>
          </w:p>
        </w:tc>
        <w:tc>
          <w:tcPr>
            <w:tcW w:w="777" w:type="pct"/>
          </w:tcPr>
          <w:p w14:paraId="753C2058" w14:textId="77777777" w:rsidR="00F6359D" w:rsidRPr="00747611" w:rsidRDefault="00164ECA" w:rsidP="00347B5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1.087,74</w:t>
            </w:r>
          </w:p>
        </w:tc>
        <w:tc>
          <w:tcPr>
            <w:tcW w:w="777" w:type="pct"/>
          </w:tcPr>
          <w:p w14:paraId="1EB1CF20" w14:textId="77777777" w:rsidR="00F6359D" w:rsidRPr="00747611" w:rsidRDefault="00164ECA" w:rsidP="00347B5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1.348,83</w:t>
            </w:r>
          </w:p>
        </w:tc>
        <w:tc>
          <w:tcPr>
            <w:tcW w:w="777" w:type="pct"/>
          </w:tcPr>
          <w:p w14:paraId="2663BB8B" w14:textId="77777777" w:rsidR="00F6359D" w:rsidRPr="00747611" w:rsidRDefault="00F6359D" w:rsidP="00347B5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1.424,27</w:t>
            </w:r>
          </w:p>
        </w:tc>
      </w:tr>
      <w:tr w:rsidR="00F6359D" w:rsidRPr="00747611" w14:paraId="3FC6D14D" w14:textId="77777777" w:rsidTr="00164ECA">
        <w:tc>
          <w:tcPr>
            <w:cnfStyle w:val="001000000000" w:firstRow="0" w:lastRow="0" w:firstColumn="1" w:lastColumn="0" w:oddVBand="0" w:evenVBand="0" w:oddHBand="0" w:evenHBand="0" w:firstRowFirstColumn="0" w:firstRowLastColumn="0" w:lastRowFirstColumn="0" w:lastRowLastColumn="0"/>
            <w:tcW w:w="1117" w:type="pct"/>
          </w:tcPr>
          <w:p w14:paraId="3EA6B383" w14:textId="77777777" w:rsidR="00F6359D" w:rsidRPr="00747611" w:rsidRDefault="00F6359D" w:rsidP="00347B57">
            <w:pPr>
              <w:spacing w:line="360" w:lineRule="auto"/>
              <w:jc w:val="both"/>
              <w:rPr>
                <w:rFonts w:ascii="Times" w:hAnsi="Times"/>
                <w:b w:val="0"/>
                <w:color w:val="auto"/>
                <w:sz w:val="22"/>
                <w:szCs w:val="22"/>
              </w:rPr>
            </w:pPr>
            <w:r w:rsidRPr="00747611">
              <w:rPr>
                <w:rFonts w:ascii="Times" w:hAnsi="Times"/>
                <w:b w:val="0"/>
                <w:color w:val="auto"/>
                <w:sz w:val="22"/>
                <w:szCs w:val="22"/>
              </w:rPr>
              <w:t>Sta</w:t>
            </w:r>
            <w:r w:rsidR="00606D9C" w:rsidRPr="00747611">
              <w:rPr>
                <w:rFonts w:ascii="Times" w:hAnsi="Times"/>
                <w:b w:val="0"/>
                <w:color w:val="auto"/>
                <w:sz w:val="22"/>
                <w:szCs w:val="22"/>
              </w:rPr>
              <w:t>.</w:t>
            </w:r>
            <w:r w:rsidRPr="00747611">
              <w:rPr>
                <w:rFonts w:ascii="Times" w:hAnsi="Times"/>
                <w:b w:val="0"/>
                <w:color w:val="auto"/>
                <w:sz w:val="22"/>
                <w:szCs w:val="22"/>
              </w:rPr>
              <w:t xml:space="preserve"> Catarina</w:t>
            </w:r>
          </w:p>
        </w:tc>
        <w:tc>
          <w:tcPr>
            <w:tcW w:w="777" w:type="pct"/>
          </w:tcPr>
          <w:p w14:paraId="1C417FA9" w14:textId="77777777" w:rsidR="00F6359D" w:rsidRPr="00747611" w:rsidRDefault="00F6359D" w:rsidP="00347B5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1.288,84</w:t>
            </w:r>
          </w:p>
        </w:tc>
        <w:tc>
          <w:tcPr>
            <w:tcW w:w="777" w:type="pct"/>
          </w:tcPr>
          <w:p w14:paraId="17CB2C6C" w14:textId="77777777" w:rsidR="00F6359D" w:rsidRPr="00747611" w:rsidRDefault="00F6359D" w:rsidP="00347B5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1.155,42</w:t>
            </w:r>
          </w:p>
        </w:tc>
        <w:tc>
          <w:tcPr>
            <w:tcW w:w="777" w:type="pct"/>
          </w:tcPr>
          <w:p w14:paraId="6873DD49" w14:textId="77777777" w:rsidR="00F6359D" w:rsidRPr="00747611" w:rsidRDefault="00164ECA" w:rsidP="00347B5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1.199,58</w:t>
            </w:r>
          </w:p>
        </w:tc>
        <w:tc>
          <w:tcPr>
            <w:tcW w:w="777" w:type="pct"/>
          </w:tcPr>
          <w:p w14:paraId="3FFD203F" w14:textId="77777777" w:rsidR="00F6359D" w:rsidRPr="00747611" w:rsidRDefault="00164ECA" w:rsidP="00347B5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1.519,15</w:t>
            </w:r>
          </w:p>
        </w:tc>
        <w:tc>
          <w:tcPr>
            <w:tcW w:w="777" w:type="pct"/>
          </w:tcPr>
          <w:p w14:paraId="6CCAEBD9" w14:textId="77777777" w:rsidR="00F6359D" w:rsidRPr="00747611" w:rsidRDefault="00F6359D" w:rsidP="00347B5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1.618,79</w:t>
            </w:r>
          </w:p>
        </w:tc>
      </w:tr>
    </w:tbl>
    <w:p w14:paraId="49585F59" w14:textId="77777777" w:rsidR="00571370" w:rsidRPr="005C551A" w:rsidRDefault="00571370" w:rsidP="00347B57">
      <w:pPr>
        <w:jc w:val="both"/>
        <w:rPr>
          <w:rFonts w:ascii="Times" w:hAnsi="Times"/>
          <w:sz w:val="20"/>
          <w:szCs w:val="20"/>
        </w:rPr>
      </w:pPr>
      <w:r w:rsidRPr="005C551A">
        <w:rPr>
          <w:rFonts w:ascii="Times" w:hAnsi="Times"/>
          <w:sz w:val="20"/>
          <w:szCs w:val="20"/>
        </w:rPr>
        <w:t>Fonte: IPEADATA (2014)</w:t>
      </w:r>
      <w:r w:rsidR="007E0E9A" w:rsidRPr="005C551A">
        <w:rPr>
          <w:rFonts w:ascii="Times" w:hAnsi="Times"/>
          <w:sz w:val="20"/>
          <w:szCs w:val="20"/>
        </w:rPr>
        <w:t xml:space="preserve">  </w:t>
      </w:r>
    </w:p>
    <w:p w14:paraId="5E4EB425" w14:textId="521031A3" w:rsidR="00571762" w:rsidRDefault="00CB55E6" w:rsidP="009A768B">
      <w:pPr>
        <w:widowControl w:val="0"/>
        <w:autoSpaceDE w:val="0"/>
        <w:autoSpaceDN w:val="0"/>
        <w:adjustRightInd w:val="0"/>
        <w:spacing w:after="240"/>
        <w:contextualSpacing/>
        <w:jc w:val="both"/>
        <w:rPr>
          <w:rFonts w:ascii="Times" w:hAnsi="Times" w:cs="Times New Roman"/>
          <w:noProof/>
        </w:rPr>
      </w:pPr>
      <w:r w:rsidRPr="00465932">
        <w:rPr>
          <w:rFonts w:ascii="Times" w:hAnsi="Times" w:cs="Times New Roman"/>
          <w:noProof/>
          <w:sz w:val="18"/>
          <w:szCs w:val="18"/>
        </w:rPr>
        <w:t>Nota:</w:t>
      </w:r>
      <w:r w:rsidRPr="007C4D92">
        <w:rPr>
          <w:rFonts w:ascii="Times" w:hAnsi="Times" w:cs="Verdana"/>
          <w:sz w:val="18"/>
          <w:szCs w:val="18"/>
        </w:rPr>
        <w:t xml:space="preserve"> </w:t>
      </w:r>
      <w:r w:rsidR="007C4D92" w:rsidRPr="007C4D92">
        <w:rPr>
          <w:rFonts w:ascii="Times" w:hAnsi="Times" w:cs="Times New Roman"/>
          <w:noProof/>
          <w:sz w:val="18"/>
          <w:szCs w:val="18"/>
        </w:rPr>
        <w:t>R$ de out. 2012.</w:t>
      </w:r>
      <w:r w:rsidR="007C4D92">
        <w:rPr>
          <w:rFonts w:ascii="Times" w:hAnsi="Times" w:cs="Times New Roman"/>
          <w:noProof/>
        </w:rPr>
        <w:t xml:space="preserve"> </w:t>
      </w:r>
      <w:r w:rsidRPr="00696BEB">
        <w:rPr>
          <w:rFonts w:ascii="Times" w:hAnsi="Times" w:cs="Verdana"/>
          <w:sz w:val="18"/>
          <w:szCs w:val="18"/>
        </w:rPr>
        <w:t>Média, por pessoa ocupada, dos rendimentos mensais brutos totais em dinheiro recebidos em todos os trabalhos</w:t>
      </w:r>
      <w:r w:rsidR="00102DCD" w:rsidRPr="00696BEB">
        <w:rPr>
          <w:rFonts w:ascii="Times" w:hAnsi="Times" w:cs="Verdana"/>
          <w:sz w:val="18"/>
          <w:szCs w:val="18"/>
        </w:rPr>
        <w:t>.</w:t>
      </w:r>
    </w:p>
    <w:p w14:paraId="75F4CBA3" w14:textId="77777777" w:rsidR="00252DAB" w:rsidRDefault="00252DAB" w:rsidP="009A768B">
      <w:pPr>
        <w:widowControl w:val="0"/>
        <w:autoSpaceDE w:val="0"/>
        <w:autoSpaceDN w:val="0"/>
        <w:adjustRightInd w:val="0"/>
        <w:spacing w:after="240"/>
        <w:contextualSpacing/>
        <w:jc w:val="both"/>
        <w:rPr>
          <w:rFonts w:ascii="Times" w:hAnsi="Times" w:cs="Verdana"/>
          <w:sz w:val="18"/>
          <w:szCs w:val="18"/>
        </w:rPr>
      </w:pPr>
    </w:p>
    <w:p w14:paraId="426156BC" w14:textId="77777777" w:rsidR="00252DAB" w:rsidRDefault="0032773F" w:rsidP="00197648">
      <w:pPr>
        <w:widowControl w:val="0"/>
        <w:autoSpaceDE w:val="0"/>
        <w:autoSpaceDN w:val="0"/>
        <w:adjustRightInd w:val="0"/>
        <w:spacing w:after="240" w:line="360" w:lineRule="auto"/>
        <w:ind w:firstLine="720"/>
        <w:jc w:val="both"/>
        <w:rPr>
          <w:rFonts w:ascii="Times" w:hAnsi="Times" w:cs="Aharoni"/>
          <w:noProof/>
        </w:rPr>
      </w:pPr>
      <w:r>
        <w:rPr>
          <w:rFonts w:ascii="Times" w:hAnsi="Times" w:cs="Times New Roman"/>
          <w:noProof/>
        </w:rPr>
        <w:t>Por sua vez, a</w:t>
      </w:r>
      <w:r w:rsidRPr="006119A1">
        <w:rPr>
          <w:rFonts w:ascii="Times" w:hAnsi="Times" w:cs="Times New Roman"/>
          <w:noProof/>
        </w:rPr>
        <w:t xml:space="preserve"> taxa de desemprego</w:t>
      </w:r>
      <w:r>
        <w:rPr>
          <w:rFonts w:ascii="Times" w:hAnsi="Times" w:cs="Times New Roman"/>
          <w:noProof/>
        </w:rPr>
        <w:t xml:space="preserve"> aumentou </w:t>
      </w:r>
      <w:r w:rsidRPr="006119A1">
        <w:rPr>
          <w:rFonts w:ascii="Times" w:hAnsi="Times" w:cs="Times New Roman"/>
          <w:noProof/>
        </w:rPr>
        <w:t>durante o governo FHC</w:t>
      </w:r>
      <w:r>
        <w:rPr>
          <w:rFonts w:ascii="Times" w:hAnsi="Times" w:cs="Times New Roman"/>
          <w:noProof/>
        </w:rPr>
        <w:t xml:space="preserve"> no Brasil e nos </w:t>
      </w:r>
      <w:r w:rsidRPr="006119A1">
        <w:rPr>
          <w:rFonts w:ascii="Times" w:hAnsi="Times" w:cs="Times New Roman"/>
          <w:noProof/>
        </w:rPr>
        <w:t xml:space="preserve">estados do Sul, como mostra a </w:t>
      </w:r>
      <w:r>
        <w:rPr>
          <w:rFonts w:ascii="Times" w:hAnsi="Times" w:cs="Times New Roman"/>
          <w:noProof/>
        </w:rPr>
        <w:t>Tabela 5.</w:t>
      </w:r>
      <w:r w:rsidRPr="006119A1">
        <w:rPr>
          <w:rFonts w:ascii="Times" w:hAnsi="Times" w:cs="Times New Roman"/>
          <w:noProof/>
        </w:rPr>
        <w:t xml:space="preserve"> </w:t>
      </w:r>
      <w:r w:rsidRPr="00382591">
        <w:rPr>
          <w:rFonts w:ascii="Times" w:hAnsi="Times" w:cs="Aharoni"/>
          <w:noProof/>
        </w:rPr>
        <w:t>Santa Catarina foi o estado do Sul com menor desemprego no período, apesar do aumento de 3,6% para 5%, ao passo que no Rio G. do Sul foi de 5,9% e, no Paraná, passou de 6,4%, em 1995, para 7,7%, em 2002.</w:t>
      </w:r>
    </w:p>
    <w:p w14:paraId="3A56396B" w14:textId="21728CF4" w:rsidR="00841050" w:rsidRPr="00E427BD" w:rsidRDefault="00483374" w:rsidP="007D160D">
      <w:pPr>
        <w:widowControl w:val="0"/>
        <w:autoSpaceDE w:val="0"/>
        <w:autoSpaceDN w:val="0"/>
        <w:adjustRightInd w:val="0"/>
        <w:spacing w:after="240"/>
        <w:jc w:val="both"/>
        <w:rPr>
          <w:rFonts w:ascii="Times" w:hAnsi="Times" w:cs="Times New Roman"/>
          <w:noProof/>
        </w:rPr>
      </w:pPr>
      <w:r w:rsidRPr="00492E9C">
        <w:rPr>
          <w:rFonts w:ascii="Times" w:hAnsi="Times" w:cs="Times New Roman"/>
          <w:noProof/>
        </w:rPr>
        <w:t xml:space="preserve">Tabela </w:t>
      </w:r>
      <w:r w:rsidR="0032773F" w:rsidRPr="00492E9C">
        <w:rPr>
          <w:rFonts w:ascii="Times" w:hAnsi="Times" w:cs="Times New Roman"/>
          <w:noProof/>
        </w:rPr>
        <w:t>5</w:t>
      </w:r>
      <w:r w:rsidR="00492E9C">
        <w:rPr>
          <w:rFonts w:ascii="Times" w:hAnsi="Times" w:cs="Times New Roman"/>
          <w:noProof/>
        </w:rPr>
        <w:t xml:space="preserve"> -</w:t>
      </w:r>
      <w:r w:rsidR="00841050" w:rsidRPr="00E427BD">
        <w:rPr>
          <w:rFonts w:ascii="Times" w:hAnsi="Times" w:cs="Times New Roman"/>
          <w:noProof/>
        </w:rPr>
        <w:t xml:space="preserve"> Taxa de desemprego</w:t>
      </w:r>
      <w:r w:rsidR="001606C9" w:rsidRPr="00E427BD">
        <w:rPr>
          <w:rFonts w:ascii="Times" w:hAnsi="Times" w:cs="Times New Roman"/>
          <w:noProof/>
        </w:rPr>
        <w:t xml:space="preserve"> (</w:t>
      </w:r>
      <w:r w:rsidR="004422D1" w:rsidRPr="00E427BD">
        <w:rPr>
          <w:rFonts w:ascii="Times" w:hAnsi="Times" w:cs="Times New Roman"/>
          <w:noProof/>
        </w:rPr>
        <w:t xml:space="preserve">em </w:t>
      </w:r>
      <w:r w:rsidR="001606C9" w:rsidRPr="00E427BD">
        <w:rPr>
          <w:rFonts w:ascii="Times" w:hAnsi="Times" w:cs="Times New Roman"/>
          <w:noProof/>
        </w:rPr>
        <w:t>%)</w:t>
      </w:r>
      <w:r w:rsidR="004422D1" w:rsidRPr="00E427BD">
        <w:rPr>
          <w:rFonts w:ascii="Times" w:hAnsi="Times" w:cs="Times New Roman"/>
          <w:noProof/>
        </w:rPr>
        <w:t xml:space="preserve">, nos anos de </w:t>
      </w:r>
      <w:r w:rsidR="003F5CDB" w:rsidRPr="00E427BD">
        <w:rPr>
          <w:rFonts w:ascii="Times" w:hAnsi="Times" w:cs="Times New Roman"/>
          <w:noProof/>
        </w:rPr>
        <w:t>1995, 2002</w:t>
      </w:r>
      <w:r w:rsidR="004422D1" w:rsidRPr="00E427BD">
        <w:rPr>
          <w:rFonts w:ascii="Times" w:hAnsi="Times" w:cs="Times New Roman"/>
          <w:noProof/>
        </w:rPr>
        <w:t>, 2003,  2009</w:t>
      </w:r>
      <w:r w:rsidR="00407B99">
        <w:rPr>
          <w:rFonts w:ascii="Times" w:hAnsi="Times" w:cs="Times New Roman"/>
          <w:noProof/>
        </w:rPr>
        <w:t xml:space="preserve"> e 2011</w:t>
      </w:r>
    </w:p>
    <w:tbl>
      <w:tblPr>
        <w:tblStyle w:val="SombreamentoClaro"/>
        <w:tblW w:w="8516" w:type="dxa"/>
        <w:tblLook w:val="06A0" w:firstRow="1" w:lastRow="0" w:firstColumn="1" w:lastColumn="0" w:noHBand="1" w:noVBand="1"/>
      </w:tblPr>
      <w:tblGrid>
        <w:gridCol w:w="1519"/>
        <w:gridCol w:w="1425"/>
        <w:gridCol w:w="1499"/>
        <w:gridCol w:w="1324"/>
        <w:gridCol w:w="1324"/>
        <w:gridCol w:w="1425"/>
      </w:tblGrid>
      <w:tr w:rsidR="00164ECA" w:rsidRPr="00747611" w14:paraId="60CF7DB4" w14:textId="77777777" w:rsidTr="004422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9" w:type="dxa"/>
          </w:tcPr>
          <w:p w14:paraId="18E58A87" w14:textId="77777777" w:rsidR="00164ECA" w:rsidRPr="00C90F2E" w:rsidRDefault="00164ECA" w:rsidP="00347B57">
            <w:pPr>
              <w:spacing w:line="360" w:lineRule="auto"/>
              <w:jc w:val="both"/>
              <w:rPr>
                <w:rFonts w:ascii="Times" w:hAnsi="Times"/>
                <w:b w:val="0"/>
                <w:color w:val="auto"/>
                <w:sz w:val="22"/>
                <w:szCs w:val="22"/>
              </w:rPr>
            </w:pPr>
            <w:r w:rsidRPr="00C90F2E">
              <w:rPr>
                <w:rFonts w:ascii="Times" w:hAnsi="Times"/>
                <w:b w:val="0"/>
                <w:color w:val="auto"/>
                <w:sz w:val="22"/>
                <w:szCs w:val="22"/>
              </w:rPr>
              <w:t>Região</w:t>
            </w:r>
          </w:p>
        </w:tc>
        <w:tc>
          <w:tcPr>
            <w:tcW w:w="1425" w:type="dxa"/>
          </w:tcPr>
          <w:p w14:paraId="3900098D" w14:textId="77777777" w:rsidR="00164ECA" w:rsidRPr="00C90F2E" w:rsidRDefault="00164ECA" w:rsidP="00347B5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w:hAnsi="Times"/>
                <w:b w:val="0"/>
                <w:color w:val="auto"/>
                <w:sz w:val="22"/>
                <w:szCs w:val="22"/>
              </w:rPr>
            </w:pPr>
            <w:r w:rsidRPr="00C90F2E">
              <w:rPr>
                <w:rFonts w:ascii="Times" w:hAnsi="Times"/>
                <w:b w:val="0"/>
                <w:color w:val="auto"/>
                <w:sz w:val="22"/>
                <w:szCs w:val="22"/>
              </w:rPr>
              <w:t>1995</w:t>
            </w:r>
          </w:p>
        </w:tc>
        <w:tc>
          <w:tcPr>
            <w:tcW w:w="1499" w:type="dxa"/>
          </w:tcPr>
          <w:p w14:paraId="517B3C04" w14:textId="77777777" w:rsidR="00164ECA" w:rsidRPr="00C90F2E" w:rsidRDefault="00164ECA" w:rsidP="00347B5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w:hAnsi="Times"/>
                <w:b w:val="0"/>
                <w:color w:val="auto"/>
                <w:sz w:val="22"/>
                <w:szCs w:val="22"/>
              </w:rPr>
            </w:pPr>
            <w:r w:rsidRPr="00C90F2E">
              <w:rPr>
                <w:rFonts w:ascii="Times" w:hAnsi="Times"/>
                <w:b w:val="0"/>
                <w:color w:val="auto"/>
                <w:sz w:val="22"/>
                <w:szCs w:val="22"/>
              </w:rPr>
              <w:t>2002</w:t>
            </w:r>
          </w:p>
        </w:tc>
        <w:tc>
          <w:tcPr>
            <w:tcW w:w="1324" w:type="dxa"/>
          </w:tcPr>
          <w:p w14:paraId="7FBA3E77" w14:textId="77777777" w:rsidR="00164ECA" w:rsidRPr="00C90F2E" w:rsidRDefault="00164ECA" w:rsidP="00347B5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w:hAnsi="Times"/>
                <w:b w:val="0"/>
                <w:color w:val="auto"/>
                <w:sz w:val="22"/>
                <w:szCs w:val="22"/>
              </w:rPr>
            </w:pPr>
            <w:r w:rsidRPr="00C90F2E">
              <w:rPr>
                <w:rFonts w:ascii="Times" w:hAnsi="Times"/>
                <w:b w:val="0"/>
                <w:color w:val="auto"/>
                <w:sz w:val="22"/>
                <w:szCs w:val="22"/>
              </w:rPr>
              <w:t>2003</w:t>
            </w:r>
          </w:p>
        </w:tc>
        <w:tc>
          <w:tcPr>
            <w:tcW w:w="1324" w:type="dxa"/>
          </w:tcPr>
          <w:p w14:paraId="26FB5358" w14:textId="77777777" w:rsidR="00164ECA" w:rsidRPr="00C90F2E" w:rsidRDefault="00164ECA" w:rsidP="00347B5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w:hAnsi="Times"/>
                <w:b w:val="0"/>
                <w:color w:val="auto"/>
                <w:sz w:val="22"/>
                <w:szCs w:val="22"/>
              </w:rPr>
            </w:pPr>
            <w:r w:rsidRPr="00C90F2E">
              <w:rPr>
                <w:rFonts w:ascii="Times" w:hAnsi="Times"/>
                <w:b w:val="0"/>
                <w:color w:val="auto"/>
                <w:sz w:val="22"/>
                <w:szCs w:val="22"/>
              </w:rPr>
              <w:t>2009</w:t>
            </w:r>
          </w:p>
        </w:tc>
        <w:tc>
          <w:tcPr>
            <w:tcW w:w="1425" w:type="dxa"/>
          </w:tcPr>
          <w:p w14:paraId="12B9110B" w14:textId="77777777" w:rsidR="00164ECA" w:rsidRPr="00C90F2E" w:rsidRDefault="00164ECA" w:rsidP="00347B5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w:hAnsi="Times"/>
                <w:b w:val="0"/>
                <w:color w:val="auto"/>
                <w:sz w:val="22"/>
                <w:szCs w:val="22"/>
              </w:rPr>
            </w:pPr>
            <w:r w:rsidRPr="00C90F2E">
              <w:rPr>
                <w:rFonts w:ascii="Times" w:hAnsi="Times"/>
                <w:b w:val="0"/>
                <w:color w:val="auto"/>
                <w:sz w:val="22"/>
                <w:szCs w:val="22"/>
              </w:rPr>
              <w:t>2011</w:t>
            </w:r>
          </w:p>
        </w:tc>
      </w:tr>
      <w:tr w:rsidR="00164ECA" w:rsidRPr="00747611" w14:paraId="24CB8455" w14:textId="77777777" w:rsidTr="004422D1">
        <w:tc>
          <w:tcPr>
            <w:cnfStyle w:val="001000000000" w:firstRow="0" w:lastRow="0" w:firstColumn="1" w:lastColumn="0" w:oddVBand="0" w:evenVBand="0" w:oddHBand="0" w:evenHBand="0" w:firstRowFirstColumn="0" w:firstRowLastColumn="0" w:lastRowFirstColumn="0" w:lastRowLastColumn="0"/>
            <w:tcW w:w="1519" w:type="dxa"/>
          </w:tcPr>
          <w:p w14:paraId="131650C3" w14:textId="77777777" w:rsidR="00164ECA" w:rsidRPr="00C90F2E" w:rsidRDefault="00164ECA" w:rsidP="00347B57">
            <w:pPr>
              <w:spacing w:line="360" w:lineRule="auto"/>
              <w:jc w:val="both"/>
              <w:rPr>
                <w:rFonts w:ascii="Times" w:hAnsi="Times"/>
                <w:b w:val="0"/>
                <w:color w:val="auto"/>
                <w:sz w:val="22"/>
                <w:szCs w:val="22"/>
              </w:rPr>
            </w:pPr>
            <w:r w:rsidRPr="00C90F2E">
              <w:rPr>
                <w:rFonts w:ascii="Times" w:hAnsi="Times"/>
                <w:b w:val="0"/>
                <w:color w:val="auto"/>
                <w:sz w:val="22"/>
                <w:szCs w:val="22"/>
              </w:rPr>
              <w:t>Brasil</w:t>
            </w:r>
          </w:p>
        </w:tc>
        <w:tc>
          <w:tcPr>
            <w:tcW w:w="1425" w:type="dxa"/>
          </w:tcPr>
          <w:p w14:paraId="5A2511AB" w14:textId="77777777" w:rsidR="00164ECA" w:rsidRPr="00747611" w:rsidRDefault="00164ECA" w:rsidP="00347B5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6,7</w:t>
            </w:r>
          </w:p>
        </w:tc>
        <w:tc>
          <w:tcPr>
            <w:tcW w:w="1499" w:type="dxa"/>
          </w:tcPr>
          <w:p w14:paraId="5B23BC3D" w14:textId="77777777" w:rsidR="00164ECA" w:rsidRPr="00747611" w:rsidRDefault="00164ECA" w:rsidP="00347B5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9,9</w:t>
            </w:r>
          </w:p>
        </w:tc>
        <w:tc>
          <w:tcPr>
            <w:tcW w:w="1324" w:type="dxa"/>
          </w:tcPr>
          <w:p w14:paraId="04F95850" w14:textId="77777777" w:rsidR="00164ECA" w:rsidRPr="00747611" w:rsidRDefault="00523F59" w:rsidP="00347B5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10,5</w:t>
            </w:r>
          </w:p>
        </w:tc>
        <w:tc>
          <w:tcPr>
            <w:tcW w:w="1324" w:type="dxa"/>
          </w:tcPr>
          <w:p w14:paraId="6CBDBAF8" w14:textId="77777777" w:rsidR="00164ECA" w:rsidRPr="00747611" w:rsidRDefault="00523F59" w:rsidP="00347B5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9,0</w:t>
            </w:r>
          </w:p>
        </w:tc>
        <w:tc>
          <w:tcPr>
            <w:tcW w:w="1425" w:type="dxa"/>
          </w:tcPr>
          <w:p w14:paraId="45BAA7FE" w14:textId="77777777" w:rsidR="00164ECA" w:rsidRPr="00747611" w:rsidRDefault="005B2C45" w:rsidP="00347B5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7,3</w:t>
            </w:r>
          </w:p>
        </w:tc>
      </w:tr>
      <w:tr w:rsidR="00164ECA" w:rsidRPr="00747611" w14:paraId="25B676E7" w14:textId="77777777" w:rsidTr="004422D1">
        <w:tc>
          <w:tcPr>
            <w:cnfStyle w:val="001000000000" w:firstRow="0" w:lastRow="0" w:firstColumn="1" w:lastColumn="0" w:oddVBand="0" w:evenVBand="0" w:oddHBand="0" w:evenHBand="0" w:firstRowFirstColumn="0" w:firstRowLastColumn="0" w:lastRowFirstColumn="0" w:lastRowLastColumn="0"/>
            <w:tcW w:w="1519" w:type="dxa"/>
          </w:tcPr>
          <w:p w14:paraId="2EA0682D" w14:textId="77777777" w:rsidR="00164ECA" w:rsidRPr="00C90F2E" w:rsidRDefault="00164ECA" w:rsidP="00347B57">
            <w:pPr>
              <w:spacing w:line="360" w:lineRule="auto"/>
              <w:jc w:val="both"/>
              <w:rPr>
                <w:rFonts w:ascii="Times" w:hAnsi="Times"/>
                <w:b w:val="0"/>
                <w:color w:val="auto"/>
                <w:sz w:val="22"/>
                <w:szCs w:val="22"/>
              </w:rPr>
            </w:pPr>
            <w:r w:rsidRPr="00C90F2E">
              <w:rPr>
                <w:rFonts w:ascii="Times" w:hAnsi="Times"/>
                <w:b w:val="0"/>
                <w:color w:val="auto"/>
                <w:sz w:val="22"/>
                <w:szCs w:val="22"/>
              </w:rPr>
              <w:t>SUL</w:t>
            </w:r>
          </w:p>
        </w:tc>
        <w:tc>
          <w:tcPr>
            <w:tcW w:w="1425" w:type="dxa"/>
          </w:tcPr>
          <w:p w14:paraId="5AC96222" w14:textId="77777777" w:rsidR="00164ECA" w:rsidRPr="00747611" w:rsidRDefault="00164ECA" w:rsidP="00347B5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5,6</w:t>
            </w:r>
          </w:p>
        </w:tc>
        <w:tc>
          <w:tcPr>
            <w:tcW w:w="1499" w:type="dxa"/>
          </w:tcPr>
          <w:p w14:paraId="7AC69FBE" w14:textId="77777777" w:rsidR="00164ECA" w:rsidRPr="00747611" w:rsidRDefault="00164ECA" w:rsidP="00347B5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7,1</w:t>
            </w:r>
          </w:p>
        </w:tc>
        <w:tc>
          <w:tcPr>
            <w:tcW w:w="1324" w:type="dxa"/>
          </w:tcPr>
          <w:p w14:paraId="30EB43B8" w14:textId="77777777" w:rsidR="00164ECA" w:rsidRPr="00747611" w:rsidRDefault="00523F59" w:rsidP="00347B5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7,7</w:t>
            </w:r>
          </w:p>
        </w:tc>
        <w:tc>
          <w:tcPr>
            <w:tcW w:w="1324" w:type="dxa"/>
          </w:tcPr>
          <w:p w14:paraId="4C91C1E2" w14:textId="77777777" w:rsidR="00164ECA" w:rsidRPr="00747611" w:rsidRDefault="00523F59" w:rsidP="00347B5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6,5</w:t>
            </w:r>
          </w:p>
        </w:tc>
        <w:tc>
          <w:tcPr>
            <w:tcW w:w="1425" w:type="dxa"/>
          </w:tcPr>
          <w:p w14:paraId="0EC7E55A" w14:textId="77777777" w:rsidR="00164ECA" w:rsidRPr="00747611" w:rsidRDefault="00164ECA" w:rsidP="00347B5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4,7</w:t>
            </w:r>
          </w:p>
        </w:tc>
      </w:tr>
      <w:tr w:rsidR="00164ECA" w:rsidRPr="00747611" w14:paraId="51EB079B" w14:textId="77777777" w:rsidTr="004422D1">
        <w:tc>
          <w:tcPr>
            <w:cnfStyle w:val="001000000000" w:firstRow="0" w:lastRow="0" w:firstColumn="1" w:lastColumn="0" w:oddVBand="0" w:evenVBand="0" w:oddHBand="0" w:evenHBand="0" w:firstRowFirstColumn="0" w:firstRowLastColumn="0" w:lastRowFirstColumn="0" w:lastRowLastColumn="0"/>
            <w:tcW w:w="1519" w:type="dxa"/>
          </w:tcPr>
          <w:p w14:paraId="63FC4126" w14:textId="77777777" w:rsidR="00164ECA" w:rsidRPr="00C90F2E" w:rsidRDefault="00164ECA" w:rsidP="00347B57">
            <w:pPr>
              <w:spacing w:line="360" w:lineRule="auto"/>
              <w:jc w:val="both"/>
              <w:rPr>
                <w:rFonts w:ascii="Times" w:hAnsi="Times"/>
                <w:b w:val="0"/>
                <w:color w:val="auto"/>
                <w:sz w:val="22"/>
                <w:szCs w:val="22"/>
              </w:rPr>
            </w:pPr>
            <w:r w:rsidRPr="00C90F2E">
              <w:rPr>
                <w:rFonts w:ascii="Times" w:hAnsi="Times"/>
                <w:b w:val="0"/>
                <w:color w:val="auto"/>
                <w:sz w:val="22"/>
                <w:szCs w:val="22"/>
              </w:rPr>
              <w:t>Paraná</w:t>
            </w:r>
          </w:p>
        </w:tc>
        <w:tc>
          <w:tcPr>
            <w:tcW w:w="1425" w:type="dxa"/>
          </w:tcPr>
          <w:p w14:paraId="5F5C48B6" w14:textId="77777777" w:rsidR="00164ECA" w:rsidRPr="00747611" w:rsidRDefault="00164ECA" w:rsidP="00347B5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6,4</w:t>
            </w:r>
          </w:p>
        </w:tc>
        <w:tc>
          <w:tcPr>
            <w:tcW w:w="1499" w:type="dxa"/>
          </w:tcPr>
          <w:p w14:paraId="725E5C42" w14:textId="77777777" w:rsidR="00164ECA" w:rsidRPr="00747611" w:rsidRDefault="00164ECA" w:rsidP="00347B5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7,7</w:t>
            </w:r>
          </w:p>
        </w:tc>
        <w:tc>
          <w:tcPr>
            <w:tcW w:w="1324" w:type="dxa"/>
          </w:tcPr>
          <w:p w14:paraId="290650A1" w14:textId="77777777" w:rsidR="00164ECA" w:rsidRPr="00747611" w:rsidRDefault="00523F59" w:rsidP="00347B5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8,1</w:t>
            </w:r>
          </w:p>
        </w:tc>
        <w:tc>
          <w:tcPr>
            <w:tcW w:w="1324" w:type="dxa"/>
          </w:tcPr>
          <w:p w14:paraId="725005AE" w14:textId="77777777" w:rsidR="00164ECA" w:rsidRPr="00747611" w:rsidRDefault="00523F59" w:rsidP="00347B5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6,8</w:t>
            </w:r>
          </w:p>
        </w:tc>
        <w:tc>
          <w:tcPr>
            <w:tcW w:w="1425" w:type="dxa"/>
          </w:tcPr>
          <w:p w14:paraId="02F6D236" w14:textId="77777777" w:rsidR="00164ECA" w:rsidRPr="00747611" w:rsidRDefault="00164ECA" w:rsidP="00347B5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5,0</w:t>
            </w:r>
          </w:p>
        </w:tc>
      </w:tr>
      <w:tr w:rsidR="00164ECA" w:rsidRPr="00747611" w14:paraId="0D57F67F" w14:textId="77777777" w:rsidTr="004422D1">
        <w:tc>
          <w:tcPr>
            <w:cnfStyle w:val="001000000000" w:firstRow="0" w:lastRow="0" w:firstColumn="1" w:lastColumn="0" w:oddVBand="0" w:evenVBand="0" w:oddHBand="0" w:evenHBand="0" w:firstRowFirstColumn="0" w:firstRowLastColumn="0" w:lastRowFirstColumn="0" w:lastRowLastColumn="0"/>
            <w:tcW w:w="1519" w:type="dxa"/>
          </w:tcPr>
          <w:p w14:paraId="408FA2AC" w14:textId="77777777" w:rsidR="00164ECA" w:rsidRPr="00C90F2E" w:rsidRDefault="00164ECA" w:rsidP="00347B57">
            <w:pPr>
              <w:spacing w:line="360" w:lineRule="auto"/>
              <w:jc w:val="both"/>
              <w:rPr>
                <w:rFonts w:ascii="Times" w:hAnsi="Times"/>
                <w:b w:val="0"/>
                <w:color w:val="auto"/>
                <w:sz w:val="22"/>
                <w:szCs w:val="22"/>
              </w:rPr>
            </w:pPr>
            <w:r w:rsidRPr="00C90F2E">
              <w:rPr>
                <w:rFonts w:ascii="Times" w:hAnsi="Times"/>
                <w:b w:val="0"/>
                <w:color w:val="auto"/>
                <w:sz w:val="22"/>
                <w:szCs w:val="22"/>
              </w:rPr>
              <w:t>Rio G. do Sul</w:t>
            </w:r>
          </w:p>
        </w:tc>
        <w:tc>
          <w:tcPr>
            <w:tcW w:w="1425" w:type="dxa"/>
          </w:tcPr>
          <w:p w14:paraId="61607766" w14:textId="77777777" w:rsidR="00164ECA" w:rsidRPr="00747611" w:rsidRDefault="00164ECA" w:rsidP="00347B5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5,9</w:t>
            </w:r>
          </w:p>
        </w:tc>
        <w:tc>
          <w:tcPr>
            <w:tcW w:w="1499" w:type="dxa"/>
          </w:tcPr>
          <w:p w14:paraId="4CD178DE" w14:textId="77777777" w:rsidR="00164ECA" w:rsidRPr="00747611" w:rsidRDefault="00164ECA" w:rsidP="00347B5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7,7</w:t>
            </w:r>
          </w:p>
        </w:tc>
        <w:tc>
          <w:tcPr>
            <w:tcW w:w="1324" w:type="dxa"/>
          </w:tcPr>
          <w:p w14:paraId="1B16BD4F" w14:textId="77777777" w:rsidR="00164ECA" w:rsidRPr="00747611" w:rsidRDefault="00523F59" w:rsidP="00347B5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8,1</w:t>
            </w:r>
          </w:p>
        </w:tc>
        <w:tc>
          <w:tcPr>
            <w:tcW w:w="1324" w:type="dxa"/>
          </w:tcPr>
          <w:p w14:paraId="52693F50" w14:textId="77777777" w:rsidR="00164ECA" w:rsidRPr="00747611" w:rsidRDefault="00523F59" w:rsidP="00347B5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6,7</w:t>
            </w:r>
          </w:p>
        </w:tc>
        <w:tc>
          <w:tcPr>
            <w:tcW w:w="1425" w:type="dxa"/>
          </w:tcPr>
          <w:p w14:paraId="2AAEC212" w14:textId="77777777" w:rsidR="00164ECA" w:rsidRPr="00747611" w:rsidRDefault="00164ECA" w:rsidP="00347B5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5,0</w:t>
            </w:r>
          </w:p>
        </w:tc>
      </w:tr>
      <w:tr w:rsidR="00164ECA" w:rsidRPr="00747611" w14:paraId="7DB670B1" w14:textId="77777777" w:rsidTr="004422D1">
        <w:tc>
          <w:tcPr>
            <w:cnfStyle w:val="001000000000" w:firstRow="0" w:lastRow="0" w:firstColumn="1" w:lastColumn="0" w:oddVBand="0" w:evenVBand="0" w:oddHBand="0" w:evenHBand="0" w:firstRowFirstColumn="0" w:firstRowLastColumn="0" w:lastRowFirstColumn="0" w:lastRowLastColumn="0"/>
            <w:tcW w:w="1519" w:type="dxa"/>
          </w:tcPr>
          <w:p w14:paraId="02982455" w14:textId="77777777" w:rsidR="00164ECA" w:rsidRPr="00C90F2E" w:rsidRDefault="00164ECA" w:rsidP="00347B57">
            <w:pPr>
              <w:spacing w:line="360" w:lineRule="auto"/>
              <w:jc w:val="both"/>
              <w:rPr>
                <w:rFonts w:ascii="Times" w:hAnsi="Times"/>
                <w:b w:val="0"/>
                <w:color w:val="auto"/>
                <w:sz w:val="22"/>
                <w:szCs w:val="22"/>
              </w:rPr>
            </w:pPr>
            <w:r w:rsidRPr="00C90F2E">
              <w:rPr>
                <w:rFonts w:ascii="Times" w:hAnsi="Times"/>
                <w:b w:val="0"/>
                <w:color w:val="auto"/>
                <w:sz w:val="22"/>
                <w:szCs w:val="22"/>
              </w:rPr>
              <w:t>Sta</w:t>
            </w:r>
            <w:r w:rsidR="00606D9C" w:rsidRPr="00C90F2E">
              <w:rPr>
                <w:rFonts w:ascii="Times" w:hAnsi="Times"/>
                <w:b w:val="0"/>
                <w:color w:val="auto"/>
                <w:sz w:val="22"/>
                <w:szCs w:val="22"/>
              </w:rPr>
              <w:t>.</w:t>
            </w:r>
            <w:r w:rsidRPr="00C90F2E">
              <w:rPr>
                <w:rFonts w:ascii="Times" w:hAnsi="Times"/>
                <w:b w:val="0"/>
                <w:color w:val="auto"/>
                <w:sz w:val="22"/>
                <w:szCs w:val="22"/>
              </w:rPr>
              <w:t xml:space="preserve"> Catarina</w:t>
            </w:r>
          </w:p>
        </w:tc>
        <w:tc>
          <w:tcPr>
            <w:tcW w:w="1425" w:type="dxa"/>
          </w:tcPr>
          <w:p w14:paraId="21B67B37" w14:textId="77777777" w:rsidR="00164ECA" w:rsidRPr="00747611" w:rsidRDefault="00164ECA" w:rsidP="00347B5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3,6</w:t>
            </w:r>
          </w:p>
        </w:tc>
        <w:tc>
          <w:tcPr>
            <w:tcW w:w="1499" w:type="dxa"/>
          </w:tcPr>
          <w:p w14:paraId="70A1B882" w14:textId="77777777" w:rsidR="00164ECA" w:rsidRPr="00747611" w:rsidRDefault="00164ECA" w:rsidP="00347B5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5,0</w:t>
            </w:r>
          </w:p>
        </w:tc>
        <w:tc>
          <w:tcPr>
            <w:tcW w:w="1324" w:type="dxa"/>
          </w:tcPr>
          <w:p w14:paraId="073047AB" w14:textId="77777777" w:rsidR="00164ECA" w:rsidRPr="00747611" w:rsidRDefault="00523F59" w:rsidP="00347B5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6,1</w:t>
            </w:r>
          </w:p>
        </w:tc>
        <w:tc>
          <w:tcPr>
            <w:tcW w:w="1324" w:type="dxa"/>
          </w:tcPr>
          <w:p w14:paraId="623A2916" w14:textId="77777777" w:rsidR="00164ECA" w:rsidRPr="00747611" w:rsidRDefault="00523F59" w:rsidP="00347B5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5,6</w:t>
            </w:r>
          </w:p>
        </w:tc>
        <w:tc>
          <w:tcPr>
            <w:tcW w:w="1425" w:type="dxa"/>
          </w:tcPr>
          <w:p w14:paraId="6C471325" w14:textId="77777777" w:rsidR="00164ECA" w:rsidRPr="00747611" w:rsidRDefault="00164ECA" w:rsidP="00347B5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3,6</w:t>
            </w:r>
          </w:p>
        </w:tc>
      </w:tr>
    </w:tbl>
    <w:p w14:paraId="5B0E390D" w14:textId="77777777" w:rsidR="00571370" w:rsidRPr="00102DCD" w:rsidRDefault="00571370" w:rsidP="00347B57">
      <w:pPr>
        <w:spacing w:line="360" w:lineRule="auto"/>
        <w:jc w:val="both"/>
        <w:rPr>
          <w:rFonts w:ascii="Times" w:hAnsi="Times"/>
          <w:sz w:val="22"/>
          <w:szCs w:val="22"/>
        </w:rPr>
      </w:pPr>
      <w:r w:rsidRPr="00102DCD">
        <w:rPr>
          <w:rFonts w:ascii="Times" w:hAnsi="Times"/>
          <w:sz w:val="22"/>
          <w:szCs w:val="22"/>
        </w:rPr>
        <w:t>Fonte: IPEADATA (2014)</w:t>
      </w:r>
    </w:p>
    <w:p w14:paraId="26D68550" w14:textId="2DA7FB22" w:rsidR="00B3009E" w:rsidRDefault="0029267B" w:rsidP="007D160D">
      <w:pPr>
        <w:widowControl w:val="0"/>
        <w:autoSpaceDE w:val="0"/>
        <w:autoSpaceDN w:val="0"/>
        <w:adjustRightInd w:val="0"/>
        <w:spacing w:line="360" w:lineRule="auto"/>
        <w:ind w:firstLine="720"/>
        <w:contextualSpacing/>
        <w:jc w:val="both"/>
        <w:rPr>
          <w:rFonts w:ascii="Times" w:hAnsi="Times" w:cs="Times"/>
        </w:rPr>
      </w:pPr>
      <w:r w:rsidRPr="006119A1">
        <w:rPr>
          <w:rFonts w:ascii="Times" w:hAnsi="Times" w:cs="Times"/>
        </w:rPr>
        <w:t xml:space="preserve">O Paraná também </w:t>
      </w:r>
      <w:r w:rsidR="005940BF" w:rsidRPr="006119A1">
        <w:rPr>
          <w:rFonts w:ascii="Times" w:hAnsi="Times" w:cs="Times"/>
        </w:rPr>
        <w:t xml:space="preserve">revela </w:t>
      </w:r>
      <w:r w:rsidRPr="006119A1">
        <w:rPr>
          <w:rFonts w:ascii="Times" w:hAnsi="Times" w:cs="Times"/>
        </w:rPr>
        <w:t>padrões</w:t>
      </w:r>
      <w:r w:rsidR="00FF72F5">
        <w:rPr>
          <w:rFonts w:ascii="Times" w:hAnsi="Times" w:cs="Times"/>
        </w:rPr>
        <w:t xml:space="preserve"> de analfabetismo</w:t>
      </w:r>
      <w:r w:rsidRPr="006119A1">
        <w:rPr>
          <w:rFonts w:ascii="Times" w:hAnsi="Times" w:cs="Times"/>
        </w:rPr>
        <w:t xml:space="preserve"> superiores à média nac</w:t>
      </w:r>
      <w:r w:rsidR="00230BDD" w:rsidRPr="006119A1">
        <w:rPr>
          <w:rFonts w:ascii="Times" w:hAnsi="Times" w:cs="Times"/>
        </w:rPr>
        <w:t>ional, mas inferiores</w:t>
      </w:r>
      <w:r w:rsidR="006C6168">
        <w:rPr>
          <w:rFonts w:ascii="Times" w:hAnsi="Times" w:cs="Times"/>
        </w:rPr>
        <w:t xml:space="preserve"> aos do</w:t>
      </w:r>
      <w:r w:rsidR="00230BDD" w:rsidRPr="006119A1">
        <w:rPr>
          <w:rFonts w:ascii="Times" w:hAnsi="Times" w:cs="Times"/>
        </w:rPr>
        <w:t xml:space="preserve"> Sul</w:t>
      </w:r>
      <w:r w:rsidR="00FF72F5">
        <w:rPr>
          <w:rFonts w:ascii="Times" w:hAnsi="Times" w:cs="Times"/>
        </w:rPr>
        <w:t>.</w:t>
      </w:r>
      <w:r w:rsidR="0037474B">
        <w:rPr>
          <w:rFonts w:ascii="Times" w:hAnsi="Times" w:cs="Times"/>
        </w:rPr>
        <w:t xml:space="preserve"> </w:t>
      </w:r>
      <w:r w:rsidR="0059140C" w:rsidRPr="006119A1">
        <w:rPr>
          <w:rFonts w:ascii="Times" w:hAnsi="Times" w:cs="Times"/>
        </w:rPr>
        <w:t>Os dados da</w:t>
      </w:r>
      <w:r w:rsidR="00E05D8E">
        <w:rPr>
          <w:rFonts w:ascii="Times" w:hAnsi="Times" w:cs="Times"/>
        </w:rPr>
        <w:t xml:space="preserve"> </w:t>
      </w:r>
      <w:r w:rsidR="0059140C" w:rsidRPr="006119A1">
        <w:rPr>
          <w:rFonts w:ascii="Times" w:hAnsi="Times" w:cs="Times"/>
        </w:rPr>
        <w:t>escol</w:t>
      </w:r>
      <w:r w:rsidR="00225FFA">
        <w:rPr>
          <w:rFonts w:ascii="Times" w:hAnsi="Times" w:cs="Times"/>
        </w:rPr>
        <w:t>a</w:t>
      </w:r>
      <w:r w:rsidR="0059140C" w:rsidRPr="006119A1">
        <w:rPr>
          <w:rFonts w:ascii="Times" w:hAnsi="Times" w:cs="Times"/>
        </w:rPr>
        <w:t xml:space="preserve">ridade e do analfabetismo estão contidos na </w:t>
      </w:r>
      <w:r w:rsidR="00225FFA">
        <w:rPr>
          <w:rFonts w:ascii="Times" w:hAnsi="Times" w:cs="Times"/>
        </w:rPr>
        <w:t>T</w:t>
      </w:r>
      <w:r w:rsidR="008A0234">
        <w:rPr>
          <w:rFonts w:ascii="Times" w:hAnsi="Times" w:cs="Times"/>
        </w:rPr>
        <w:t xml:space="preserve">abela </w:t>
      </w:r>
      <w:r w:rsidR="00407B99">
        <w:rPr>
          <w:rFonts w:ascii="Times" w:hAnsi="Times" w:cs="Times"/>
        </w:rPr>
        <w:t>6</w:t>
      </w:r>
      <w:r w:rsidR="0059140C" w:rsidRPr="006119A1">
        <w:rPr>
          <w:rFonts w:ascii="Times" w:hAnsi="Times" w:cs="Times"/>
        </w:rPr>
        <w:t>.</w:t>
      </w:r>
    </w:p>
    <w:p w14:paraId="35DF5FF3" w14:textId="77777777" w:rsidR="00426384" w:rsidRDefault="00426384" w:rsidP="00347B57">
      <w:pPr>
        <w:widowControl w:val="0"/>
        <w:autoSpaceDE w:val="0"/>
        <w:autoSpaceDN w:val="0"/>
        <w:adjustRightInd w:val="0"/>
        <w:spacing w:line="360" w:lineRule="auto"/>
        <w:contextualSpacing/>
        <w:jc w:val="both"/>
        <w:rPr>
          <w:rFonts w:ascii="Times" w:hAnsi="Times" w:cs="Times"/>
        </w:rPr>
      </w:pPr>
    </w:p>
    <w:p w14:paraId="0EC524E8" w14:textId="57E2E105" w:rsidR="004314DF" w:rsidRPr="00407B99" w:rsidRDefault="0029267B" w:rsidP="00347B57">
      <w:pPr>
        <w:widowControl w:val="0"/>
        <w:autoSpaceDE w:val="0"/>
        <w:autoSpaceDN w:val="0"/>
        <w:adjustRightInd w:val="0"/>
        <w:spacing w:line="360" w:lineRule="auto"/>
        <w:contextualSpacing/>
        <w:jc w:val="both"/>
        <w:rPr>
          <w:rFonts w:ascii="Times" w:hAnsi="Times" w:cs="Times"/>
        </w:rPr>
      </w:pPr>
      <w:r w:rsidRPr="00C90F2E">
        <w:rPr>
          <w:rFonts w:ascii="Times" w:hAnsi="Times" w:cs="Times"/>
        </w:rPr>
        <w:t>Tabe</w:t>
      </w:r>
      <w:r w:rsidR="00146F56" w:rsidRPr="00C90F2E">
        <w:rPr>
          <w:rFonts w:ascii="Times" w:hAnsi="Times" w:cs="Times"/>
        </w:rPr>
        <w:t xml:space="preserve">la </w:t>
      </w:r>
      <w:r w:rsidR="00407B99" w:rsidRPr="00C90F2E">
        <w:rPr>
          <w:rFonts w:ascii="Times" w:hAnsi="Times" w:cs="Times"/>
        </w:rPr>
        <w:t>6</w:t>
      </w:r>
      <w:r w:rsidR="00C90F2E">
        <w:rPr>
          <w:rFonts w:ascii="Times" w:hAnsi="Times" w:cs="Times"/>
        </w:rPr>
        <w:t xml:space="preserve"> -</w:t>
      </w:r>
      <w:r w:rsidR="005E2058" w:rsidRPr="00407B99">
        <w:rPr>
          <w:rFonts w:ascii="Times" w:hAnsi="Times" w:cs="Times"/>
        </w:rPr>
        <w:t xml:space="preserve"> Escolaridade e analfabetismo</w:t>
      </w:r>
      <w:r w:rsidR="00C80231" w:rsidRPr="00407B99">
        <w:rPr>
          <w:rFonts w:ascii="Times" w:hAnsi="Times" w:cs="Times"/>
        </w:rPr>
        <w:t xml:space="preserve">, </w:t>
      </w:r>
      <w:r w:rsidR="003F5CDB" w:rsidRPr="00407B99">
        <w:rPr>
          <w:rFonts w:ascii="Times" w:hAnsi="Times" w:cs="Times"/>
        </w:rPr>
        <w:t>1995, 2002 e 2011</w:t>
      </w:r>
    </w:p>
    <w:tbl>
      <w:tblPr>
        <w:tblStyle w:val="SombreamentoClaro"/>
        <w:tblW w:w="0" w:type="auto"/>
        <w:tblLook w:val="06A0" w:firstRow="1" w:lastRow="0" w:firstColumn="1" w:lastColumn="0" w:noHBand="1" w:noVBand="1"/>
      </w:tblPr>
      <w:tblGrid>
        <w:gridCol w:w="4253"/>
        <w:gridCol w:w="1366"/>
        <w:gridCol w:w="711"/>
        <w:gridCol w:w="711"/>
        <w:gridCol w:w="711"/>
        <w:gridCol w:w="656"/>
        <w:gridCol w:w="656"/>
      </w:tblGrid>
      <w:tr w:rsidR="00142041" w:rsidRPr="00747611" w14:paraId="1B7EDCCB" w14:textId="77777777" w:rsidTr="00C60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3C259FC3" w14:textId="77777777" w:rsidR="00142041" w:rsidRPr="00747611" w:rsidRDefault="00142041" w:rsidP="00347B57">
            <w:pPr>
              <w:spacing w:line="360" w:lineRule="auto"/>
              <w:jc w:val="both"/>
              <w:rPr>
                <w:rFonts w:ascii="Times" w:hAnsi="Times"/>
                <w:b w:val="0"/>
                <w:color w:val="auto"/>
                <w:sz w:val="22"/>
                <w:szCs w:val="22"/>
              </w:rPr>
            </w:pPr>
            <w:r w:rsidRPr="00747611">
              <w:rPr>
                <w:rFonts w:ascii="Times" w:hAnsi="Times"/>
                <w:b w:val="0"/>
                <w:color w:val="auto"/>
                <w:sz w:val="22"/>
                <w:szCs w:val="22"/>
              </w:rPr>
              <w:t xml:space="preserve">Indicadores  </w:t>
            </w:r>
          </w:p>
        </w:tc>
        <w:tc>
          <w:tcPr>
            <w:tcW w:w="1366" w:type="dxa"/>
          </w:tcPr>
          <w:p w14:paraId="0A6EE09F" w14:textId="77777777" w:rsidR="00142041" w:rsidRPr="00747611" w:rsidRDefault="00142041" w:rsidP="00347B5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w:hAnsi="Times"/>
                <w:b w:val="0"/>
                <w:color w:val="auto"/>
                <w:sz w:val="22"/>
                <w:szCs w:val="22"/>
              </w:rPr>
            </w:pPr>
            <w:r w:rsidRPr="00747611">
              <w:rPr>
                <w:rFonts w:ascii="Times" w:hAnsi="Times"/>
                <w:b w:val="0"/>
                <w:color w:val="auto"/>
                <w:sz w:val="22"/>
                <w:szCs w:val="22"/>
              </w:rPr>
              <w:t>Região</w:t>
            </w:r>
          </w:p>
        </w:tc>
        <w:tc>
          <w:tcPr>
            <w:tcW w:w="0" w:type="auto"/>
          </w:tcPr>
          <w:p w14:paraId="5AABF300" w14:textId="77777777" w:rsidR="00142041" w:rsidRPr="00747611" w:rsidRDefault="00142041" w:rsidP="00347B5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w:hAnsi="Times"/>
                <w:b w:val="0"/>
                <w:color w:val="auto"/>
                <w:sz w:val="22"/>
                <w:szCs w:val="22"/>
              </w:rPr>
            </w:pPr>
            <w:r w:rsidRPr="00747611">
              <w:rPr>
                <w:rFonts w:ascii="Times" w:hAnsi="Times"/>
                <w:b w:val="0"/>
                <w:color w:val="auto"/>
                <w:sz w:val="22"/>
                <w:szCs w:val="22"/>
              </w:rPr>
              <w:t>1995</w:t>
            </w:r>
          </w:p>
        </w:tc>
        <w:tc>
          <w:tcPr>
            <w:tcW w:w="0" w:type="auto"/>
          </w:tcPr>
          <w:p w14:paraId="11962C88" w14:textId="77777777" w:rsidR="00142041" w:rsidRPr="00747611" w:rsidRDefault="00142041" w:rsidP="00347B5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w:hAnsi="Times"/>
                <w:b w:val="0"/>
                <w:color w:val="auto"/>
                <w:sz w:val="22"/>
                <w:szCs w:val="22"/>
              </w:rPr>
            </w:pPr>
            <w:r w:rsidRPr="00747611">
              <w:rPr>
                <w:rFonts w:ascii="Times" w:hAnsi="Times"/>
                <w:b w:val="0"/>
                <w:color w:val="auto"/>
                <w:sz w:val="22"/>
                <w:szCs w:val="22"/>
              </w:rPr>
              <w:t>2002</w:t>
            </w:r>
          </w:p>
        </w:tc>
        <w:tc>
          <w:tcPr>
            <w:tcW w:w="0" w:type="auto"/>
          </w:tcPr>
          <w:p w14:paraId="4937159A" w14:textId="77777777" w:rsidR="00142041" w:rsidRPr="00747611" w:rsidRDefault="00142041" w:rsidP="00347B5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w:hAnsi="Times"/>
                <w:b w:val="0"/>
                <w:color w:val="auto"/>
                <w:sz w:val="22"/>
                <w:szCs w:val="22"/>
              </w:rPr>
            </w:pPr>
            <w:r w:rsidRPr="00747611">
              <w:rPr>
                <w:rFonts w:ascii="Times" w:hAnsi="Times"/>
                <w:b w:val="0"/>
                <w:color w:val="auto"/>
                <w:sz w:val="22"/>
                <w:szCs w:val="22"/>
              </w:rPr>
              <w:t>2003</w:t>
            </w:r>
          </w:p>
        </w:tc>
        <w:tc>
          <w:tcPr>
            <w:tcW w:w="0" w:type="auto"/>
          </w:tcPr>
          <w:p w14:paraId="614497A0" w14:textId="77777777" w:rsidR="00142041" w:rsidRPr="00747611" w:rsidRDefault="00142041" w:rsidP="00347B5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w:hAnsi="Times"/>
                <w:b w:val="0"/>
                <w:color w:val="auto"/>
                <w:sz w:val="22"/>
                <w:szCs w:val="22"/>
              </w:rPr>
            </w:pPr>
            <w:r w:rsidRPr="00747611">
              <w:rPr>
                <w:rFonts w:ascii="Times" w:hAnsi="Times"/>
                <w:b w:val="0"/>
                <w:color w:val="auto"/>
                <w:sz w:val="22"/>
                <w:szCs w:val="22"/>
              </w:rPr>
              <w:t>2009</w:t>
            </w:r>
          </w:p>
        </w:tc>
        <w:tc>
          <w:tcPr>
            <w:tcW w:w="0" w:type="auto"/>
          </w:tcPr>
          <w:p w14:paraId="1F79B76F" w14:textId="77777777" w:rsidR="00142041" w:rsidRPr="00747611" w:rsidRDefault="00142041" w:rsidP="00347B5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w:hAnsi="Times"/>
                <w:b w:val="0"/>
                <w:color w:val="auto"/>
                <w:sz w:val="22"/>
                <w:szCs w:val="22"/>
              </w:rPr>
            </w:pPr>
            <w:r w:rsidRPr="00747611">
              <w:rPr>
                <w:rFonts w:ascii="Times" w:hAnsi="Times"/>
                <w:b w:val="0"/>
                <w:color w:val="auto"/>
                <w:sz w:val="22"/>
                <w:szCs w:val="22"/>
              </w:rPr>
              <w:t>2011</w:t>
            </w:r>
          </w:p>
        </w:tc>
      </w:tr>
      <w:tr w:rsidR="00142041" w:rsidRPr="00747611" w14:paraId="13FA59CE" w14:textId="77777777" w:rsidTr="00C60470">
        <w:tc>
          <w:tcPr>
            <w:cnfStyle w:val="001000000000" w:firstRow="0" w:lastRow="0" w:firstColumn="1" w:lastColumn="0" w:oddVBand="0" w:evenVBand="0" w:oddHBand="0" w:evenHBand="0" w:firstRowFirstColumn="0" w:firstRowLastColumn="0" w:lastRowFirstColumn="0" w:lastRowLastColumn="0"/>
            <w:tcW w:w="4253" w:type="dxa"/>
            <w:vMerge w:val="restart"/>
          </w:tcPr>
          <w:p w14:paraId="6CE90573" w14:textId="77777777" w:rsidR="00142041" w:rsidRPr="00747611" w:rsidRDefault="00142041" w:rsidP="00FF72F5">
            <w:pPr>
              <w:jc w:val="both"/>
              <w:rPr>
                <w:rFonts w:ascii="Times" w:hAnsi="Times"/>
                <w:b w:val="0"/>
                <w:color w:val="auto"/>
                <w:sz w:val="22"/>
                <w:szCs w:val="22"/>
              </w:rPr>
            </w:pPr>
            <w:r w:rsidRPr="00747611">
              <w:rPr>
                <w:rFonts w:ascii="Times" w:hAnsi="Times"/>
                <w:b w:val="0"/>
                <w:color w:val="auto"/>
                <w:sz w:val="22"/>
                <w:szCs w:val="22"/>
              </w:rPr>
              <w:t>Média do Anos de estudo -pessoas com 25 anos de idade ou mais</w:t>
            </w:r>
          </w:p>
        </w:tc>
        <w:tc>
          <w:tcPr>
            <w:tcW w:w="1366" w:type="dxa"/>
          </w:tcPr>
          <w:p w14:paraId="42830556" w14:textId="77777777" w:rsidR="00142041" w:rsidRPr="00747611" w:rsidRDefault="00142041"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Brasil</w:t>
            </w:r>
          </w:p>
        </w:tc>
        <w:tc>
          <w:tcPr>
            <w:tcW w:w="0" w:type="auto"/>
          </w:tcPr>
          <w:p w14:paraId="3770981F" w14:textId="77777777" w:rsidR="00142041" w:rsidRPr="00747611" w:rsidRDefault="00142041"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5,2</w:t>
            </w:r>
          </w:p>
        </w:tc>
        <w:tc>
          <w:tcPr>
            <w:tcW w:w="0" w:type="auto"/>
          </w:tcPr>
          <w:p w14:paraId="7588BBF8" w14:textId="77777777" w:rsidR="00142041" w:rsidRPr="00747611" w:rsidRDefault="00142041"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6,1</w:t>
            </w:r>
          </w:p>
        </w:tc>
        <w:tc>
          <w:tcPr>
            <w:tcW w:w="0" w:type="auto"/>
          </w:tcPr>
          <w:p w14:paraId="19A009B7" w14:textId="77777777" w:rsidR="00142041" w:rsidRPr="00747611" w:rsidRDefault="0034763E"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6,3</w:t>
            </w:r>
          </w:p>
        </w:tc>
        <w:tc>
          <w:tcPr>
            <w:tcW w:w="0" w:type="auto"/>
          </w:tcPr>
          <w:p w14:paraId="2BA16542" w14:textId="77777777" w:rsidR="00142041" w:rsidRPr="00747611" w:rsidRDefault="0034763E"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7,2</w:t>
            </w:r>
          </w:p>
        </w:tc>
        <w:tc>
          <w:tcPr>
            <w:tcW w:w="0" w:type="auto"/>
          </w:tcPr>
          <w:p w14:paraId="69B65C28" w14:textId="77777777" w:rsidR="00142041" w:rsidRPr="00747611" w:rsidRDefault="00142041"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7,4</w:t>
            </w:r>
          </w:p>
        </w:tc>
      </w:tr>
      <w:tr w:rsidR="00142041" w:rsidRPr="00747611" w14:paraId="25EFA65A" w14:textId="77777777" w:rsidTr="00C60470">
        <w:tc>
          <w:tcPr>
            <w:cnfStyle w:val="001000000000" w:firstRow="0" w:lastRow="0" w:firstColumn="1" w:lastColumn="0" w:oddVBand="0" w:evenVBand="0" w:oddHBand="0" w:evenHBand="0" w:firstRowFirstColumn="0" w:firstRowLastColumn="0" w:lastRowFirstColumn="0" w:lastRowLastColumn="0"/>
            <w:tcW w:w="4253" w:type="dxa"/>
            <w:vMerge/>
          </w:tcPr>
          <w:p w14:paraId="0653DD33" w14:textId="77777777" w:rsidR="00142041" w:rsidRPr="00747611" w:rsidRDefault="00142041" w:rsidP="00FF72F5">
            <w:pPr>
              <w:jc w:val="both"/>
              <w:rPr>
                <w:rFonts w:ascii="Times" w:hAnsi="Times"/>
                <w:b w:val="0"/>
                <w:color w:val="auto"/>
                <w:sz w:val="22"/>
                <w:szCs w:val="22"/>
              </w:rPr>
            </w:pPr>
          </w:p>
        </w:tc>
        <w:tc>
          <w:tcPr>
            <w:tcW w:w="1366" w:type="dxa"/>
          </w:tcPr>
          <w:p w14:paraId="5A59AB31" w14:textId="77777777" w:rsidR="00142041" w:rsidRPr="00747611" w:rsidRDefault="00142041"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SUL</w:t>
            </w:r>
          </w:p>
        </w:tc>
        <w:tc>
          <w:tcPr>
            <w:tcW w:w="0" w:type="auto"/>
          </w:tcPr>
          <w:p w14:paraId="3D096373" w14:textId="77777777" w:rsidR="00142041" w:rsidRPr="00747611" w:rsidRDefault="00142041"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5,6</w:t>
            </w:r>
          </w:p>
        </w:tc>
        <w:tc>
          <w:tcPr>
            <w:tcW w:w="0" w:type="auto"/>
          </w:tcPr>
          <w:p w14:paraId="2C38F4CA" w14:textId="77777777" w:rsidR="00142041" w:rsidRPr="00747611" w:rsidRDefault="00142041"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6,4</w:t>
            </w:r>
          </w:p>
        </w:tc>
        <w:tc>
          <w:tcPr>
            <w:tcW w:w="0" w:type="auto"/>
          </w:tcPr>
          <w:p w14:paraId="2013C433" w14:textId="77777777" w:rsidR="00142041" w:rsidRPr="00747611" w:rsidRDefault="0034763E"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6,7</w:t>
            </w:r>
          </w:p>
        </w:tc>
        <w:tc>
          <w:tcPr>
            <w:tcW w:w="0" w:type="auto"/>
          </w:tcPr>
          <w:p w14:paraId="315A91B3" w14:textId="77777777" w:rsidR="00142041" w:rsidRPr="00747611" w:rsidRDefault="0034763E"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7,5</w:t>
            </w:r>
          </w:p>
        </w:tc>
        <w:tc>
          <w:tcPr>
            <w:tcW w:w="0" w:type="auto"/>
          </w:tcPr>
          <w:p w14:paraId="7A944A34" w14:textId="77777777" w:rsidR="00142041" w:rsidRPr="00747611" w:rsidRDefault="00142041"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7,7</w:t>
            </w:r>
          </w:p>
        </w:tc>
      </w:tr>
      <w:tr w:rsidR="00142041" w:rsidRPr="00747611" w14:paraId="5391C3A3" w14:textId="77777777" w:rsidTr="00C60470">
        <w:tc>
          <w:tcPr>
            <w:cnfStyle w:val="001000000000" w:firstRow="0" w:lastRow="0" w:firstColumn="1" w:lastColumn="0" w:oddVBand="0" w:evenVBand="0" w:oddHBand="0" w:evenHBand="0" w:firstRowFirstColumn="0" w:firstRowLastColumn="0" w:lastRowFirstColumn="0" w:lastRowLastColumn="0"/>
            <w:tcW w:w="4253" w:type="dxa"/>
            <w:vMerge/>
          </w:tcPr>
          <w:p w14:paraId="75CD8F1A" w14:textId="77777777" w:rsidR="00142041" w:rsidRPr="00747611" w:rsidRDefault="00142041" w:rsidP="00FF72F5">
            <w:pPr>
              <w:jc w:val="both"/>
              <w:rPr>
                <w:rFonts w:ascii="Times" w:hAnsi="Times"/>
                <w:b w:val="0"/>
                <w:color w:val="auto"/>
                <w:sz w:val="22"/>
                <w:szCs w:val="22"/>
              </w:rPr>
            </w:pPr>
          </w:p>
        </w:tc>
        <w:tc>
          <w:tcPr>
            <w:tcW w:w="1366" w:type="dxa"/>
          </w:tcPr>
          <w:p w14:paraId="69F7D26D" w14:textId="77777777" w:rsidR="00142041" w:rsidRPr="00747611" w:rsidRDefault="00142041"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Paraná</w:t>
            </w:r>
          </w:p>
        </w:tc>
        <w:tc>
          <w:tcPr>
            <w:tcW w:w="0" w:type="auto"/>
          </w:tcPr>
          <w:p w14:paraId="635094B5" w14:textId="77777777" w:rsidR="00142041" w:rsidRPr="00747611" w:rsidRDefault="00142041"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5,2</w:t>
            </w:r>
          </w:p>
        </w:tc>
        <w:tc>
          <w:tcPr>
            <w:tcW w:w="0" w:type="auto"/>
          </w:tcPr>
          <w:p w14:paraId="2565E049" w14:textId="77777777" w:rsidR="00142041" w:rsidRPr="00747611" w:rsidRDefault="00142041"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6,3</w:t>
            </w:r>
          </w:p>
        </w:tc>
        <w:tc>
          <w:tcPr>
            <w:tcW w:w="0" w:type="auto"/>
          </w:tcPr>
          <w:p w14:paraId="505A2603" w14:textId="77777777" w:rsidR="00142041" w:rsidRPr="00747611" w:rsidRDefault="0034763E"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6,6</w:t>
            </w:r>
          </w:p>
        </w:tc>
        <w:tc>
          <w:tcPr>
            <w:tcW w:w="0" w:type="auto"/>
          </w:tcPr>
          <w:p w14:paraId="2D712499" w14:textId="77777777" w:rsidR="00142041" w:rsidRPr="00747611" w:rsidRDefault="0034763E"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7</w:t>
            </w:r>
            <w:r w:rsidR="0040331F" w:rsidRPr="00747611">
              <w:rPr>
                <w:rFonts w:ascii="Times" w:hAnsi="Times"/>
                <w:color w:val="auto"/>
                <w:sz w:val="22"/>
                <w:szCs w:val="22"/>
              </w:rPr>
              <w:t>,</w:t>
            </w:r>
            <w:r w:rsidRPr="00747611">
              <w:rPr>
                <w:rFonts w:ascii="Times" w:hAnsi="Times"/>
                <w:color w:val="auto"/>
                <w:sz w:val="22"/>
                <w:szCs w:val="22"/>
              </w:rPr>
              <w:t>5</w:t>
            </w:r>
          </w:p>
        </w:tc>
        <w:tc>
          <w:tcPr>
            <w:tcW w:w="0" w:type="auto"/>
          </w:tcPr>
          <w:p w14:paraId="6895BD73" w14:textId="77777777" w:rsidR="00142041" w:rsidRPr="00747611" w:rsidRDefault="0034763E"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7,5</w:t>
            </w:r>
          </w:p>
        </w:tc>
      </w:tr>
      <w:tr w:rsidR="00142041" w:rsidRPr="00747611" w14:paraId="3CC71A3F" w14:textId="77777777" w:rsidTr="00C60470">
        <w:tc>
          <w:tcPr>
            <w:cnfStyle w:val="001000000000" w:firstRow="0" w:lastRow="0" w:firstColumn="1" w:lastColumn="0" w:oddVBand="0" w:evenVBand="0" w:oddHBand="0" w:evenHBand="0" w:firstRowFirstColumn="0" w:firstRowLastColumn="0" w:lastRowFirstColumn="0" w:lastRowLastColumn="0"/>
            <w:tcW w:w="4253" w:type="dxa"/>
            <w:vMerge/>
          </w:tcPr>
          <w:p w14:paraId="1A0B1C68" w14:textId="77777777" w:rsidR="00142041" w:rsidRPr="00747611" w:rsidRDefault="00142041" w:rsidP="00FF72F5">
            <w:pPr>
              <w:jc w:val="both"/>
              <w:rPr>
                <w:rFonts w:ascii="Times" w:hAnsi="Times"/>
                <w:b w:val="0"/>
                <w:color w:val="auto"/>
                <w:sz w:val="22"/>
                <w:szCs w:val="22"/>
              </w:rPr>
            </w:pPr>
          </w:p>
        </w:tc>
        <w:tc>
          <w:tcPr>
            <w:tcW w:w="1366" w:type="dxa"/>
          </w:tcPr>
          <w:p w14:paraId="374D939B" w14:textId="77777777" w:rsidR="00142041" w:rsidRPr="00747611" w:rsidRDefault="0034763E"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 xml:space="preserve">Rio G. </w:t>
            </w:r>
            <w:r w:rsidR="00142041" w:rsidRPr="00747611">
              <w:rPr>
                <w:rFonts w:ascii="Times" w:hAnsi="Times"/>
                <w:color w:val="auto"/>
                <w:sz w:val="22"/>
                <w:szCs w:val="22"/>
              </w:rPr>
              <w:t>Sul</w:t>
            </w:r>
          </w:p>
        </w:tc>
        <w:tc>
          <w:tcPr>
            <w:tcW w:w="0" w:type="auto"/>
          </w:tcPr>
          <w:p w14:paraId="36246246" w14:textId="77777777" w:rsidR="00142041" w:rsidRPr="00747611" w:rsidRDefault="00142041"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5,8</w:t>
            </w:r>
          </w:p>
        </w:tc>
        <w:tc>
          <w:tcPr>
            <w:tcW w:w="0" w:type="auto"/>
          </w:tcPr>
          <w:p w14:paraId="2CDADD6A" w14:textId="77777777" w:rsidR="00142041" w:rsidRPr="00747611" w:rsidRDefault="00142041"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6,5</w:t>
            </w:r>
          </w:p>
        </w:tc>
        <w:tc>
          <w:tcPr>
            <w:tcW w:w="0" w:type="auto"/>
          </w:tcPr>
          <w:p w14:paraId="636CF802" w14:textId="77777777" w:rsidR="00142041" w:rsidRPr="00747611" w:rsidRDefault="0034763E"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6,7</w:t>
            </w:r>
          </w:p>
        </w:tc>
        <w:tc>
          <w:tcPr>
            <w:tcW w:w="0" w:type="auto"/>
          </w:tcPr>
          <w:p w14:paraId="66735006" w14:textId="77777777" w:rsidR="00142041" w:rsidRPr="00747611" w:rsidRDefault="0034763E"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7,5</w:t>
            </w:r>
          </w:p>
        </w:tc>
        <w:tc>
          <w:tcPr>
            <w:tcW w:w="0" w:type="auto"/>
          </w:tcPr>
          <w:p w14:paraId="70D1D436" w14:textId="77777777" w:rsidR="00142041" w:rsidRPr="00747611" w:rsidRDefault="0034763E"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7,6</w:t>
            </w:r>
          </w:p>
        </w:tc>
      </w:tr>
      <w:tr w:rsidR="00142041" w:rsidRPr="00747611" w14:paraId="573EF396" w14:textId="77777777" w:rsidTr="00C60470">
        <w:trPr>
          <w:trHeight w:val="375"/>
        </w:trPr>
        <w:tc>
          <w:tcPr>
            <w:cnfStyle w:val="001000000000" w:firstRow="0" w:lastRow="0" w:firstColumn="1" w:lastColumn="0" w:oddVBand="0" w:evenVBand="0" w:oddHBand="0" w:evenHBand="0" w:firstRowFirstColumn="0" w:firstRowLastColumn="0" w:lastRowFirstColumn="0" w:lastRowLastColumn="0"/>
            <w:tcW w:w="4253" w:type="dxa"/>
            <w:vMerge/>
          </w:tcPr>
          <w:p w14:paraId="3D46BBD4" w14:textId="77777777" w:rsidR="00142041" w:rsidRPr="00747611" w:rsidRDefault="00142041" w:rsidP="00FF72F5">
            <w:pPr>
              <w:jc w:val="both"/>
              <w:rPr>
                <w:rFonts w:ascii="Times" w:hAnsi="Times"/>
                <w:b w:val="0"/>
                <w:color w:val="auto"/>
                <w:sz w:val="22"/>
                <w:szCs w:val="22"/>
              </w:rPr>
            </w:pPr>
          </w:p>
        </w:tc>
        <w:tc>
          <w:tcPr>
            <w:tcW w:w="1366" w:type="dxa"/>
          </w:tcPr>
          <w:p w14:paraId="5DA07ECB" w14:textId="77777777" w:rsidR="00142041" w:rsidRPr="00747611" w:rsidRDefault="00142041"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Sta</w:t>
            </w:r>
            <w:r w:rsidR="00225FFA" w:rsidRPr="00747611">
              <w:rPr>
                <w:rFonts w:ascii="Times" w:hAnsi="Times"/>
                <w:color w:val="auto"/>
                <w:sz w:val="22"/>
                <w:szCs w:val="22"/>
              </w:rPr>
              <w:t>.</w:t>
            </w:r>
            <w:r w:rsidRPr="00747611">
              <w:rPr>
                <w:rFonts w:ascii="Times" w:hAnsi="Times"/>
                <w:color w:val="auto"/>
                <w:sz w:val="22"/>
                <w:szCs w:val="22"/>
              </w:rPr>
              <w:t xml:space="preserve"> Catarina</w:t>
            </w:r>
          </w:p>
        </w:tc>
        <w:tc>
          <w:tcPr>
            <w:tcW w:w="0" w:type="auto"/>
          </w:tcPr>
          <w:p w14:paraId="712D1639" w14:textId="77777777" w:rsidR="00142041" w:rsidRPr="00747611" w:rsidRDefault="00142041"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5,6</w:t>
            </w:r>
          </w:p>
        </w:tc>
        <w:tc>
          <w:tcPr>
            <w:tcW w:w="0" w:type="auto"/>
          </w:tcPr>
          <w:p w14:paraId="69BA78CC" w14:textId="77777777" w:rsidR="00142041" w:rsidRPr="00747611" w:rsidRDefault="00142041"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6,6</w:t>
            </w:r>
          </w:p>
        </w:tc>
        <w:tc>
          <w:tcPr>
            <w:tcW w:w="0" w:type="auto"/>
          </w:tcPr>
          <w:p w14:paraId="31B9201F" w14:textId="77777777" w:rsidR="00142041" w:rsidRPr="00747611" w:rsidRDefault="0034763E"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6,8</w:t>
            </w:r>
          </w:p>
        </w:tc>
        <w:tc>
          <w:tcPr>
            <w:tcW w:w="0" w:type="auto"/>
          </w:tcPr>
          <w:p w14:paraId="26122253" w14:textId="77777777" w:rsidR="00142041" w:rsidRPr="00747611" w:rsidRDefault="0034763E"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7,8</w:t>
            </w:r>
          </w:p>
        </w:tc>
        <w:tc>
          <w:tcPr>
            <w:tcW w:w="0" w:type="auto"/>
          </w:tcPr>
          <w:p w14:paraId="20BB948F" w14:textId="77777777" w:rsidR="00142041" w:rsidRPr="00747611" w:rsidRDefault="0034763E"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8,0</w:t>
            </w:r>
          </w:p>
        </w:tc>
      </w:tr>
      <w:tr w:rsidR="00142041" w:rsidRPr="00747611" w14:paraId="57488522" w14:textId="77777777" w:rsidTr="00C60470">
        <w:tc>
          <w:tcPr>
            <w:cnfStyle w:val="001000000000" w:firstRow="0" w:lastRow="0" w:firstColumn="1" w:lastColumn="0" w:oddVBand="0" w:evenVBand="0" w:oddHBand="0" w:evenHBand="0" w:firstRowFirstColumn="0" w:firstRowLastColumn="0" w:lastRowFirstColumn="0" w:lastRowLastColumn="0"/>
            <w:tcW w:w="4253" w:type="dxa"/>
            <w:vMerge w:val="restart"/>
          </w:tcPr>
          <w:p w14:paraId="25139FD4" w14:textId="77777777" w:rsidR="00142041" w:rsidRPr="00747611" w:rsidRDefault="00142041" w:rsidP="00FF72F5">
            <w:pPr>
              <w:jc w:val="both"/>
              <w:rPr>
                <w:rFonts w:ascii="Times" w:hAnsi="Times"/>
                <w:b w:val="0"/>
                <w:color w:val="auto"/>
                <w:sz w:val="22"/>
                <w:szCs w:val="22"/>
              </w:rPr>
            </w:pPr>
            <w:r w:rsidRPr="00747611">
              <w:rPr>
                <w:rFonts w:ascii="Times" w:hAnsi="Times"/>
                <w:b w:val="0"/>
                <w:color w:val="auto"/>
                <w:sz w:val="22"/>
                <w:szCs w:val="22"/>
              </w:rPr>
              <w:t>Analfabetos (%) - com 15 anos de idade ou mais</w:t>
            </w:r>
          </w:p>
        </w:tc>
        <w:tc>
          <w:tcPr>
            <w:tcW w:w="1366" w:type="dxa"/>
          </w:tcPr>
          <w:p w14:paraId="7CE755CA" w14:textId="77777777" w:rsidR="00142041" w:rsidRPr="00747611" w:rsidRDefault="00142041"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Brasil</w:t>
            </w:r>
          </w:p>
        </w:tc>
        <w:tc>
          <w:tcPr>
            <w:tcW w:w="0" w:type="auto"/>
          </w:tcPr>
          <w:p w14:paraId="51D3150D" w14:textId="77777777" w:rsidR="00142041" w:rsidRPr="00747611" w:rsidRDefault="00142041"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15,53</w:t>
            </w:r>
          </w:p>
        </w:tc>
        <w:tc>
          <w:tcPr>
            <w:tcW w:w="0" w:type="auto"/>
          </w:tcPr>
          <w:p w14:paraId="29DB7881" w14:textId="77777777" w:rsidR="00142041" w:rsidRPr="00747611" w:rsidRDefault="00142041"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11,86</w:t>
            </w:r>
          </w:p>
        </w:tc>
        <w:tc>
          <w:tcPr>
            <w:tcW w:w="0" w:type="auto"/>
          </w:tcPr>
          <w:p w14:paraId="63AAAC1A" w14:textId="77777777" w:rsidR="00142041" w:rsidRPr="00747611" w:rsidRDefault="0034763E"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11,59</w:t>
            </w:r>
          </w:p>
        </w:tc>
        <w:tc>
          <w:tcPr>
            <w:tcW w:w="0" w:type="auto"/>
          </w:tcPr>
          <w:p w14:paraId="259946FA" w14:textId="77777777" w:rsidR="00142041" w:rsidRPr="00747611" w:rsidRDefault="0034763E"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9,7</w:t>
            </w:r>
          </w:p>
        </w:tc>
        <w:tc>
          <w:tcPr>
            <w:tcW w:w="0" w:type="auto"/>
          </w:tcPr>
          <w:p w14:paraId="04449D05" w14:textId="77777777" w:rsidR="00142041" w:rsidRPr="00747611" w:rsidRDefault="0034763E"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8,58</w:t>
            </w:r>
          </w:p>
        </w:tc>
      </w:tr>
      <w:tr w:rsidR="00142041" w:rsidRPr="00747611" w14:paraId="016523BD" w14:textId="77777777" w:rsidTr="00C60470">
        <w:tc>
          <w:tcPr>
            <w:cnfStyle w:val="001000000000" w:firstRow="0" w:lastRow="0" w:firstColumn="1" w:lastColumn="0" w:oddVBand="0" w:evenVBand="0" w:oddHBand="0" w:evenHBand="0" w:firstRowFirstColumn="0" w:firstRowLastColumn="0" w:lastRowFirstColumn="0" w:lastRowLastColumn="0"/>
            <w:tcW w:w="4253" w:type="dxa"/>
            <w:vMerge/>
          </w:tcPr>
          <w:p w14:paraId="14284BA9" w14:textId="77777777" w:rsidR="00142041" w:rsidRPr="00747611" w:rsidRDefault="00142041" w:rsidP="00FF72F5">
            <w:pPr>
              <w:jc w:val="both"/>
              <w:rPr>
                <w:rFonts w:ascii="Times" w:hAnsi="Times"/>
                <w:color w:val="auto"/>
                <w:sz w:val="22"/>
                <w:szCs w:val="22"/>
              </w:rPr>
            </w:pPr>
          </w:p>
        </w:tc>
        <w:tc>
          <w:tcPr>
            <w:tcW w:w="1366" w:type="dxa"/>
          </w:tcPr>
          <w:p w14:paraId="68EB51DB" w14:textId="77777777" w:rsidR="00142041" w:rsidRPr="00747611" w:rsidRDefault="00142041"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SUL</w:t>
            </w:r>
          </w:p>
        </w:tc>
        <w:tc>
          <w:tcPr>
            <w:tcW w:w="0" w:type="auto"/>
          </w:tcPr>
          <w:p w14:paraId="26B038FE" w14:textId="77777777" w:rsidR="00142041" w:rsidRPr="00747611" w:rsidRDefault="00142041"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9,15</w:t>
            </w:r>
          </w:p>
        </w:tc>
        <w:tc>
          <w:tcPr>
            <w:tcW w:w="0" w:type="auto"/>
          </w:tcPr>
          <w:p w14:paraId="51873A78" w14:textId="77777777" w:rsidR="00142041" w:rsidRPr="00747611" w:rsidRDefault="00142041"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6,73</w:t>
            </w:r>
          </w:p>
        </w:tc>
        <w:tc>
          <w:tcPr>
            <w:tcW w:w="0" w:type="auto"/>
          </w:tcPr>
          <w:p w14:paraId="4BDAF166" w14:textId="77777777" w:rsidR="00142041" w:rsidRPr="00747611" w:rsidRDefault="0034763E"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6,37</w:t>
            </w:r>
          </w:p>
        </w:tc>
        <w:tc>
          <w:tcPr>
            <w:tcW w:w="0" w:type="auto"/>
          </w:tcPr>
          <w:p w14:paraId="296BADCC" w14:textId="77777777" w:rsidR="00142041" w:rsidRPr="00747611" w:rsidRDefault="0034763E"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5,46</w:t>
            </w:r>
          </w:p>
        </w:tc>
        <w:tc>
          <w:tcPr>
            <w:tcW w:w="0" w:type="auto"/>
          </w:tcPr>
          <w:p w14:paraId="22F7397D" w14:textId="77777777" w:rsidR="00142041" w:rsidRPr="00747611" w:rsidRDefault="00142041"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4,94</w:t>
            </w:r>
          </w:p>
        </w:tc>
      </w:tr>
      <w:tr w:rsidR="00142041" w:rsidRPr="00747611" w14:paraId="57C09C6A" w14:textId="77777777" w:rsidTr="00C60470">
        <w:tc>
          <w:tcPr>
            <w:cnfStyle w:val="001000000000" w:firstRow="0" w:lastRow="0" w:firstColumn="1" w:lastColumn="0" w:oddVBand="0" w:evenVBand="0" w:oddHBand="0" w:evenHBand="0" w:firstRowFirstColumn="0" w:firstRowLastColumn="0" w:lastRowFirstColumn="0" w:lastRowLastColumn="0"/>
            <w:tcW w:w="4253" w:type="dxa"/>
            <w:vMerge/>
          </w:tcPr>
          <w:p w14:paraId="2018CD66" w14:textId="77777777" w:rsidR="00142041" w:rsidRPr="00747611" w:rsidRDefault="00142041" w:rsidP="00FF72F5">
            <w:pPr>
              <w:jc w:val="both"/>
              <w:rPr>
                <w:rFonts w:ascii="Times" w:hAnsi="Times"/>
                <w:color w:val="auto"/>
                <w:sz w:val="22"/>
                <w:szCs w:val="22"/>
              </w:rPr>
            </w:pPr>
          </w:p>
        </w:tc>
        <w:tc>
          <w:tcPr>
            <w:tcW w:w="1366" w:type="dxa"/>
          </w:tcPr>
          <w:p w14:paraId="728C7D52" w14:textId="77777777" w:rsidR="00142041" w:rsidRPr="00747611" w:rsidRDefault="00142041"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Paraná</w:t>
            </w:r>
          </w:p>
        </w:tc>
        <w:tc>
          <w:tcPr>
            <w:tcW w:w="0" w:type="auto"/>
          </w:tcPr>
          <w:p w14:paraId="12B0B222" w14:textId="77777777" w:rsidR="00142041" w:rsidRPr="00747611" w:rsidRDefault="00142041"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11,55</w:t>
            </w:r>
          </w:p>
        </w:tc>
        <w:tc>
          <w:tcPr>
            <w:tcW w:w="0" w:type="auto"/>
          </w:tcPr>
          <w:p w14:paraId="1FAE7D79" w14:textId="77777777" w:rsidR="00142041" w:rsidRPr="00747611" w:rsidRDefault="00142041"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7,89</w:t>
            </w:r>
          </w:p>
        </w:tc>
        <w:tc>
          <w:tcPr>
            <w:tcW w:w="0" w:type="auto"/>
          </w:tcPr>
          <w:p w14:paraId="04104A80" w14:textId="77777777" w:rsidR="00142041" w:rsidRPr="00747611" w:rsidRDefault="0034763E"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7,82</w:t>
            </w:r>
          </w:p>
        </w:tc>
        <w:tc>
          <w:tcPr>
            <w:tcW w:w="0" w:type="auto"/>
          </w:tcPr>
          <w:p w14:paraId="0006C52E" w14:textId="77777777" w:rsidR="00142041" w:rsidRPr="00747611" w:rsidRDefault="0034763E"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6,70</w:t>
            </w:r>
          </w:p>
        </w:tc>
        <w:tc>
          <w:tcPr>
            <w:tcW w:w="0" w:type="auto"/>
          </w:tcPr>
          <w:p w14:paraId="1EC71D6D" w14:textId="77777777" w:rsidR="00142041" w:rsidRPr="00747611" w:rsidRDefault="0034763E"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6,27</w:t>
            </w:r>
          </w:p>
        </w:tc>
      </w:tr>
      <w:tr w:rsidR="00142041" w:rsidRPr="00747611" w14:paraId="3186CAAF" w14:textId="77777777" w:rsidTr="00C60470">
        <w:tc>
          <w:tcPr>
            <w:cnfStyle w:val="001000000000" w:firstRow="0" w:lastRow="0" w:firstColumn="1" w:lastColumn="0" w:oddVBand="0" w:evenVBand="0" w:oddHBand="0" w:evenHBand="0" w:firstRowFirstColumn="0" w:firstRowLastColumn="0" w:lastRowFirstColumn="0" w:lastRowLastColumn="0"/>
            <w:tcW w:w="4253" w:type="dxa"/>
            <w:vMerge/>
          </w:tcPr>
          <w:p w14:paraId="133D705E" w14:textId="77777777" w:rsidR="00142041" w:rsidRPr="00747611" w:rsidRDefault="00142041" w:rsidP="00FF72F5">
            <w:pPr>
              <w:jc w:val="both"/>
              <w:rPr>
                <w:rFonts w:ascii="Times" w:hAnsi="Times"/>
                <w:color w:val="auto"/>
                <w:sz w:val="22"/>
                <w:szCs w:val="22"/>
              </w:rPr>
            </w:pPr>
          </w:p>
        </w:tc>
        <w:tc>
          <w:tcPr>
            <w:tcW w:w="1366" w:type="dxa"/>
          </w:tcPr>
          <w:p w14:paraId="370C822B" w14:textId="77777777" w:rsidR="00142041" w:rsidRPr="00747611" w:rsidRDefault="0034763E"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 xml:space="preserve">Rio G. </w:t>
            </w:r>
            <w:r w:rsidR="00142041" w:rsidRPr="00747611">
              <w:rPr>
                <w:rFonts w:ascii="Times" w:hAnsi="Times"/>
                <w:color w:val="auto"/>
                <w:sz w:val="22"/>
                <w:szCs w:val="22"/>
              </w:rPr>
              <w:t>Sul</w:t>
            </w:r>
          </w:p>
        </w:tc>
        <w:tc>
          <w:tcPr>
            <w:tcW w:w="0" w:type="auto"/>
          </w:tcPr>
          <w:p w14:paraId="75EA720D" w14:textId="77777777" w:rsidR="00142041" w:rsidRPr="00747611" w:rsidRDefault="00142041"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7,84</w:t>
            </w:r>
          </w:p>
        </w:tc>
        <w:tc>
          <w:tcPr>
            <w:tcW w:w="0" w:type="auto"/>
          </w:tcPr>
          <w:p w14:paraId="3E265309" w14:textId="77777777" w:rsidR="00142041" w:rsidRPr="00747611" w:rsidRDefault="00142041"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6,30</w:t>
            </w:r>
          </w:p>
        </w:tc>
        <w:tc>
          <w:tcPr>
            <w:tcW w:w="0" w:type="auto"/>
          </w:tcPr>
          <w:p w14:paraId="5F4C52EA" w14:textId="77777777" w:rsidR="00142041" w:rsidRPr="00747611" w:rsidRDefault="0034763E"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5,77</w:t>
            </w:r>
          </w:p>
        </w:tc>
        <w:tc>
          <w:tcPr>
            <w:tcW w:w="0" w:type="auto"/>
          </w:tcPr>
          <w:p w14:paraId="0E15C243" w14:textId="77777777" w:rsidR="00142041" w:rsidRPr="00747611" w:rsidRDefault="0034763E"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4,60</w:t>
            </w:r>
          </w:p>
        </w:tc>
        <w:tc>
          <w:tcPr>
            <w:tcW w:w="0" w:type="auto"/>
          </w:tcPr>
          <w:p w14:paraId="73CA435A" w14:textId="77777777" w:rsidR="00142041" w:rsidRPr="00747611" w:rsidRDefault="0034763E"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4,27</w:t>
            </w:r>
          </w:p>
        </w:tc>
      </w:tr>
      <w:tr w:rsidR="00142041" w:rsidRPr="00747611" w14:paraId="26F3AEF1" w14:textId="77777777" w:rsidTr="00C60470">
        <w:tc>
          <w:tcPr>
            <w:cnfStyle w:val="001000000000" w:firstRow="0" w:lastRow="0" w:firstColumn="1" w:lastColumn="0" w:oddVBand="0" w:evenVBand="0" w:oddHBand="0" w:evenHBand="0" w:firstRowFirstColumn="0" w:firstRowLastColumn="0" w:lastRowFirstColumn="0" w:lastRowLastColumn="0"/>
            <w:tcW w:w="4253" w:type="dxa"/>
            <w:vMerge/>
          </w:tcPr>
          <w:p w14:paraId="1B1A6023" w14:textId="77777777" w:rsidR="00142041" w:rsidRPr="00747611" w:rsidRDefault="00142041" w:rsidP="00FF72F5">
            <w:pPr>
              <w:jc w:val="both"/>
              <w:rPr>
                <w:rFonts w:ascii="Times" w:hAnsi="Times"/>
                <w:color w:val="auto"/>
                <w:sz w:val="22"/>
                <w:szCs w:val="22"/>
              </w:rPr>
            </w:pPr>
          </w:p>
        </w:tc>
        <w:tc>
          <w:tcPr>
            <w:tcW w:w="1366" w:type="dxa"/>
          </w:tcPr>
          <w:p w14:paraId="5DE6D9E8" w14:textId="77777777" w:rsidR="00142041" w:rsidRPr="00747611" w:rsidRDefault="00142041"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Sta</w:t>
            </w:r>
            <w:r w:rsidR="00225FFA" w:rsidRPr="00747611">
              <w:rPr>
                <w:rFonts w:ascii="Times" w:hAnsi="Times"/>
                <w:color w:val="auto"/>
                <w:sz w:val="22"/>
                <w:szCs w:val="22"/>
              </w:rPr>
              <w:t>.</w:t>
            </w:r>
            <w:r w:rsidRPr="00747611">
              <w:rPr>
                <w:rFonts w:ascii="Times" w:hAnsi="Times"/>
                <w:color w:val="auto"/>
                <w:sz w:val="22"/>
                <w:szCs w:val="22"/>
              </w:rPr>
              <w:t xml:space="preserve"> Catarina</w:t>
            </w:r>
          </w:p>
        </w:tc>
        <w:tc>
          <w:tcPr>
            <w:tcW w:w="0" w:type="auto"/>
          </w:tcPr>
          <w:p w14:paraId="7C428626" w14:textId="77777777" w:rsidR="00142041" w:rsidRPr="00747611" w:rsidRDefault="00142041"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7,43</w:t>
            </w:r>
          </w:p>
        </w:tc>
        <w:tc>
          <w:tcPr>
            <w:tcW w:w="0" w:type="auto"/>
          </w:tcPr>
          <w:p w14:paraId="1F215D16" w14:textId="77777777" w:rsidR="00142041" w:rsidRPr="00747611" w:rsidRDefault="00142041"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5,50</w:t>
            </w:r>
          </w:p>
        </w:tc>
        <w:tc>
          <w:tcPr>
            <w:tcW w:w="0" w:type="auto"/>
          </w:tcPr>
          <w:p w14:paraId="5DFCE371" w14:textId="77777777" w:rsidR="00142041" w:rsidRPr="00747611" w:rsidRDefault="0034763E"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5,00</w:t>
            </w:r>
          </w:p>
        </w:tc>
        <w:tc>
          <w:tcPr>
            <w:tcW w:w="0" w:type="auto"/>
          </w:tcPr>
          <w:p w14:paraId="49AE46B5" w14:textId="77777777" w:rsidR="00142041" w:rsidRPr="00747611" w:rsidRDefault="0034763E"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4,91</w:t>
            </w:r>
          </w:p>
        </w:tc>
        <w:tc>
          <w:tcPr>
            <w:tcW w:w="0" w:type="auto"/>
          </w:tcPr>
          <w:p w14:paraId="3DDB73BB" w14:textId="77777777" w:rsidR="00142041" w:rsidRPr="00747611" w:rsidRDefault="0034763E" w:rsidP="00FF72F5">
            <w:pPr>
              <w:jc w:val="both"/>
              <w:cnfStyle w:val="000000000000" w:firstRow="0" w:lastRow="0" w:firstColumn="0" w:lastColumn="0" w:oddVBand="0" w:evenVBand="0" w:oddHBand="0" w:evenHBand="0" w:firstRowFirstColumn="0" w:firstRowLastColumn="0" w:lastRowFirstColumn="0" w:lastRowLastColumn="0"/>
              <w:rPr>
                <w:rFonts w:ascii="Times" w:hAnsi="Times"/>
                <w:color w:val="auto"/>
                <w:sz w:val="22"/>
                <w:szCs w:val="22"/>
              </w:rPr>
            </w:pPr>
            <w:r w:rsidRPr="00747611">
              <w:rPr>
                <w:rFonts w:ascii="Times" w:hAnsi="Times"/>
                <w:color w:val="auto"/>
                <w:sz w:val="22"/>
                <w:szCs w:val="22"/>
              </w:rPr>
              <w:t>3,88</w:t>
            </w:r>
          </w:p>
        </w:tc>
      </w:tr>
    </w:tbl>
    <w:p w14:paraId="6D8B1D81" w14:textId="77777777" w:rsidR="00571370" w:rsidRPr="005C551A" w:rsidRDefault="00571370" w:rsidP="00347B57">
      <w:pPr>
        <w:spacing w:line="360" w:lineRule="auto"/>
        <w:jc w:val="both"/>
        <w:rPr>
          <w:rFonts w:ascii="Times" w:hAnsi="Times"/>
          <w:sz w:val="20"/>
          <w:szCs w:val="20"/>
        </w:rPr>
      </w:pPr>
      <w:r w:rsidRPr="005C551A">
        <w:rPr>
          <w:rFonts w:ascii="Times" w:hAnsi="Times"/>
          <w:sz w:val="20"/>
          <w:szCs w:val="20"/>
        </w:rPr>
        <w:t>Fonte: IPEADATA (2014)</w:t>
      </w:r>
    </w:p>
    <w:p w14:paraId="68F83FB8" w14:textId="77777777" w:rsidR="00426384" w:rsidRDefault="00426384" w:rsidP="00426384">
      <w:pPr>
        <w:widowControl w:val="0"/>
        <w:autoSpaceDE w:val="0"/>
        <w:autoSpaceDN w:val="0"/>
        <w:adjustRightInd w:val="0"/>
        <w:spacing w:after="240" w:line="360" w:lineRule="auto"/>
        <w:ind w:firstLine="720"/>
        <w:jc w:val="both"/>
        <w:rPr>
          <w:rFonts w:ascii="Times" w:hAnsi="Times" w:cs="Times New Roman"/>
          <w:noProof/>
        </w:rPr>
      </w:pPr>
      <w:r w:rsidRPr="006119A1">
        <w:rPr>
          <w:rFonts w:ascii="Times" w:hAnsi="Times" w:cs="Times New Roman"/>
          <w:noProof/>
        </w:rPr>
        <w:lastRenderedPageBreak/>
        <w:t>No governo Lula (2003-2009)</w:t>
      </w:r>
      <w:r>
        <w:rPr>
          <w:rFonts w:ascii="Times" w:hAnsi="Times" w:cs="Times New Roman"/>
          <w:noProof/>
        </w:rPr>
        <w:t xml:space="preserve"> verificou-se</w:t>
      </w:r>
      <w:r w:rsidRPr="006119A1">
        <w:rPr>
          <w:rFonts w:ascii="Times" w:hAnsi="Times" w:cs="Times New Roman"/>
          <w:noProof/>
        </w:rPr>
        <w:t xml:space="preserve"> queda do desemprego no Brasil</w:t>
      </w:r>
      <w:r>
        <w:rPr>
          <w:rFonts w:ascii="Times" w:hAnsi="Times" w:cs="Times New Roman"/>
          <w:noProof/>
        </w:rPr>
        <w:t>,</w:t>
      </w:r>
      <w:r w:rsidRPr="006119A1">
        <w:rPr>
          <w:rFonts w:ascii="Times" w:hAnsi="Times" w:cs="Times New Roman"/>
          <w:noProof/>
        </w:rPr>
        <w:t xml:space="preserve"> de 10,5% para 9%, </w:t>
      </w:r>
      <w:r>
        <w:rPr>
          <w:rFonts w:ascii="Times" w:hAnsi="Times" w:cs="Times New Roman"/>
          <w:noProof/>
        </w:rPr>
        <w:t>de modo que, a despeito</w:t>
      </w:r>
      <w:r w:rsidRPr="006119A1">
        <w:rPr>
          <w:rFonts w:ascii="Times" w:hAnsi="Times" w:cs="Times New Roman"/>
          <w:noProof/>
        </w:rPr>
        <w:t xml:space="preserve"> de </w:t>
      </w:r>
      <w:r>
        <w:rPr>
          <w:rFonts w:ascii="Times" w:hAnsi="Times" w:cs="Times New Roman"/>
          <w:noProof/>
        </w:rPr>
        <w:t xml:space="preserve">essa taxa ser </w:t>
      </w:r>
      <w:r w:rsidRPr="006119A1">
        <w:rPr>
          <w:rFonts w:ascii="Times" w:hAnsi="Times" w:cs="Times New Roman"/>
          <w:noProof/>
        </w:rPr>
        <w:t>bem mais alt</w:t>
      </w:r>
      <w:r>
        <w:rPr>
          <w:rFonts w:ascii="Times" w:hAnsi="Times" w:cs="Times New Roman"/>
          <w:noProof/>
        </w:rPr>
        <w:t>a</w:t>
      </w:r>
      <w:r w:rsidRPr="006119A1">
        <w:rPr>
          <w:rFonts w:ascii="Times" w:hAnsi="Times" w:cs="Times New Roman"/>
          <w:noProof/>
        </w:rPr>
        <w:t xml:space="preserve"> que a regi</w:t>
      </w:r>
      <w:r>
        <w:rPr>
          <w:rFonts w:ascii="Times" w:hAnsi="Times" w:cs="Times New Roman"/>
          <w:noProof/>
        </w:rPr>
        <w:t>ão</w:t>
      </w:r>
      <w:r w:rsidRPr="006119A1">
        <w:rPr>
          <w:rFonts w:ascii="Times" w:hAnsi="Times" w:cs="Times New Roman"/>
          <w:noProof/>
        </w:rPr>
        <w:t xml:space="preserve"> Sul</w:t>
      </w:r>
      <w:r>
        <w:rPr>
          <w:rFonts w:ascii="Times" w:hAnsi="Times" w:cs="Times New Roman"/>
          <w:noProof/>
        </w:rPr>
        <w:t>,</w:t>
      </w:r>
      <w:r w:rsidRPr="006119A1">
        <w:rPr>
          <w:rFonts w:ascii="Times" w:hAnsi="Times" w:cs="Times New Roman"/>
          <w:noProof/>
        </w:rPr>
        <w:t xml:space="preserve"> teve melhora</w:t>
      </w:r>
      <w:r>
        <w:rPr>
          <w:rFonts w:ascii="Times" w:hAnsi="Times" w:cs="Times New Roman"/>
          <w:noProof/>
        </w:rPr>
        <w:t>:</w:t>
      </w:r>
      <w:r w:rsidRPr="006119A1">
        <w:rPr>
          <w:rFonts w:ascii="Times" w:hAnsi="Times" w:cs="Times New Roman"/>
          <w:noProof/>
        </w:rPr>
        <w:t xml:space="preserve"> o Sul </w:t>
      </w:r>
      <w:r>
        <w:rPr>
          <w:rFonts w:ascii="Times" w:hAnsi="Times" w:cs="Times New Roman"/>
          <w:noProof/>
        </w:rPr>
        <w:t xml:space="preserve">foi </w:t>
      </w:r>
      <w:r w:rsidRPr="006119A1">
        <w:rPr>
          <w:rFonts w:ascii="Times" w:hAnsi="Times" w:cs="Times New Roman"/>
          <w:noProof/>
        </w:rPr>
        <w:t xml:space="preserve">de 7,7% para 6,5%. </w:t>
      </w:r>
      <w:r>
        <w:rPr>
          <w:rFonts w:ascii="Times" w:hAnsi="Times" w:cs="Times New Roman"/>
          <w:noProof/>
        </w:rPr>
        <w:t>E</w:t>
      </w:r>
      <w:r w:rsidRPr="006119A1">
        <w:rPr>
          <w:rFonts w:ascii="Times" w:hAnsi="Times" w:cs="Times New Roman"/>
          <w:noProof/>
        </w:rPr>
        <w:t xml:space="preserve">ntre os estados do Sul, Santa Catarina </w:t>
      </w:r>
      <w:r>
        <w:rPr>
          <w:rFonts w:ascii="Times" w:hAnsi="Times" w:cs="Times New Roman"/>
          <w:noProof/>
        </w:rPr>
        <w:t>continuou com</w:t>
      </w:r>
      <w:r w:rsidRPr="006119A1">
        <w:rPr>
          <w:rFonts w:ascii="Times" w:hAnsi="Times" w:cs="Times New Roman"/>
          <w:noProof/>
        </w:rPr>
        <w:t xml:space="preserve"> </w:t>
      </w:r>
      <w:r>
        <w:rPr>
          <w:rFonts w:ascii="Times" w:hAnsi="Times" w:cs="Times New Roman"/>
          <w:noProof/>
        </w:rPr>
        <w:t>o</w:t>
      </w:r>
      <w:r w:rsidRPr="006119A1">
        <w:rPr>
          <w:rFonts w:ascii="Times" w:hAnsi="Times" w:cs="Times New Roman"/>
          <w:noProof/>
        </w:rPr>
        <w:t xml:space="preserve"> menor desemprego</w:t>
      </w:r>
      <w:r>
        <w:rPr>
          <w:rFonts w:ascii="Times" w:hAnsi="Times" w:cs="Times New Roman"/>
          <w:noProof/>
        </w:rPr>
        <w:t xml:space="preserve"> e o</w:t>
      </w:r>
      <w:r w:rsidRPr="006119A1">
        <w:rPr>
          <w:rFonts w:ascii="Times" w:hAnsi="Times" w:cs="Times New Roman"/>
          <w:noProof/>
        </w:rPr>
        <w:t xml:space="preserve"> Paraná </w:t>
      </w:r>
      <w:r>
        <w:rPr>
          <w:rFonts w:ascii="Times" w:hAnsi="Times" w:cs="Times New Roman"/>
          <w:noProof/>
        </w:rPr>
        <w:t xml:space="preserve">era </w:t>
      </w:r>
      <w:r w:rsidRPr="006119A1">
        <w:rPr>
          <w:rFonts w:ascii="Times" w:hAnsi="Times" w:cs="Times New Roman"/>
          <w:noProof/>
        </w:rPr>
        <w:t>o estado do Sul com maior taxa de desemprego</w:t>
      </w:r>
      <w:r>
        <w:rPr>
          <w:rFonts w:ascii="Times" w:hAnsi="Times" w:cs="Times New Roman"/>
          <w:noProof/>
        </w:rPr>
        <w:t>.</w:t>
      </w:r>
    </w:p>
    <w:p w14:paraId="0CF7C26C" w14:textId="16B1596D" w:rsidR="00C80231" w:rsidRDefault="00426384" w:rsidP="00426384">
      <w:pPr>
        <w:widowControl w:val="0"/>
        <w:autoSpaceDE w:val="0"/>
        <w:autoSpaceDN w:val="0"/>
        <w:adjustRightInd w:val="0"/>
        <w:spacing w:line="360" w:lineRule="auto"/>
        <w:ind w:firstLine="720"/>
        <w:contextualSpacing/>
        <w:jc w:val="both"/>
        <w:rPr>
          <w:rFonts w:ascii="Times" w:hAnsi="Times" w:cs="Times"/>
        </w:rPr>
      </w:pPr>
      <w:r w:rsidRPr="00A07316">
        <w:rPr>
          <w:rFonts w:ascii="Times" w:hAnsi="Times" w:cs="Times"/>
        </w:rPr>
        <w:t>A escolaridade</w:t>
      </w:r>
      <w:r>
        <w:rPr>
          <w:rFonts w:ascii="Times" w:hAnsi="Times" w:cs="Times"/>
        </w:rPr>
        <w:t xml:space="preserve"> na região sul é superior à nacional,</w:t>
      </w:r>
      <w:r w:rsidRPr="00A07316">
        <w:rPr>
          <w:rFonts w:ascii="Times" w:hAnsi="Times" w:cs="Times"/>
        </w:rPr>
        <w:t xml:space="preserve"> medida pela média de anos de estudo da população de 25 anos ou mais</w:t>
      </w:r>
      <w:r>
        <w:rPr>
          <w:rFonts w:ascii="Times" w:hAnsi="Times" w:cs="Times"/>
        </w:rPr>
        <w:t>.</w:t>
      </w:r>
      <w:r w:rsidRPr="006119A1">
        <w:rPr>
          <w:rFonts w:ascii="Times" w:hAnsi="Times" w:cs="Times"/>
        </w:rPr>
        <w:t xml:space="preserve"> </w:t>
      </w:r>
      <w:r>
        <w:rPr>
          <w:rFonts w:ascii="Times" w:hAnsi="Times" w:cs="Times"/>
        </w:rPr>
        <w:t>N</w:t>
      </w:r>
      <w:r w:rsidRPr="006119A1">
        <w:rPr>
          <w:rFonts w:ascii="Times" w:hAnsi="Times" w:cs="Times"/>
        </w:rPr>
        <w:t xml:space="preserve">o período, o Paraná teve desempenho superior ao nacional e ao da média da Região </w:t>
      </w:r>
      <w:r>
        <w:rPr>
          <w:rFonts w:ascii="Times" w:hAnsi="Times" w:cs="Times"/>
        </w:rPr>
        <w:t>Sul;</w:t>
      </w:r>
      <w:r w:rsidRPr="006119A1">
        <w:rPr>
          <w:rFonts w:ascii="Times" w:hAnsi="Times" w:cs="Times"/>
        </w:rPr>
        <w:t xml:space="preserve"> Santa Catarina teve o melhor des</w:t>
      </w:r>
      <w:r>
        <w:rPr>
          <w:rFonts w:ascii="Times" w:hAnsi="Times" w:cs="Times"/>
        </w:rPr>
        <w:t>em</w:t>
      </w:r>
      <w:r w:rsidRPr="006119A1">
        <w:rPr>
          <w:rFonts w:ascii="Times" w:hAnsi="Times" w:cs="Times"/>
        </w:rPr>
        <w:t>penho da região. Rio Grande do Sul passou a demonstrar níveis menores que a média da região</w:t>
      </w:r>
      <w:r w:rsidR="00FE32C3" w:rsidRPr="006119A1">
        <w:rPr>
          <w:rFonts w:ascii="Times" w:hAnsi="Times" w:cs="Times"/>
        </w:rPr>
        <w:t>No Brasil, os patamares de mortalidade infantil são mais altos</w:t>
      </w:r>
      <w:r w:rsidR="00FF72F5">
        <w:rPr>
          <w:rFonts w:ascii="Times" w:hAnsi="Times" w:cs="Times"/>
        </w:rPr>
        <w:t xml:space="preserve"> </w:t>
      </w:r>
      <w:r w:rsidR="005940BF" w:rsidRPr="006119A1">
        <w:rPr>
          <w:rFonts w:ascii="Times" w:hAnsi="Times" w:cs="Times"/>
        </w:rPr>
        <w:t>c</w:t>
      </w:r>
      <w:r w:rsidR="00FE32C3" w:rsidRPr="006119A1">
        <w:rPr>
          <w:rFonts w:ascii="Times" w:hAnsi="Times" w:cs="Times"/>
        </w:rPr>
        <w:t xml:space="preserve">omparativamente ao quadro apresentado na </w:t>
      </w:r>
      <w:r w:rsidR="005940BF" w:rsidRPr="006119A1">
        <w:rPr>
          <w:rFonts w:ascii="Times" w:hAnsi="Times" w:cs="Times"/>
        </w:rPr>
        <w:t xml:space="preserve">Região </w:t>
      </w:r>
      <w:r w:rsidR="00FE32C3" w:rsidRPr="006119A1">
        <w:rPr>
          <w:rFonts w:ascii="Times" w:hAnsi="Times" w:cs="Times"/>
        </w:rPr>
        <w:t xml:space="preserve">Sul em 2001 e 2007. </w:t>
      </w:r>
      <w:r w:rsidR="000F08A6" w:rsidRPr="006119A1">
        <w:rPr>
          <w:rFonts w:ascii="Times" w:hAnsi="Times" w:cs="Times"/>
        </w:rPr>
        <w:t xml:space="preserve">A mortalidade </w:t>
      </w:r>
      <w:r w:rsidR="00CF7553">
        <w:rPr>
          <w:rFonts w:ascii="Times" w:hAnsi="Times" w:cs="Times"/>
        </w:rPr>
        <w:t>infantil no Paraná tem diminuído, mas</w:t>
      </w:r>
      <w:r w:rsidR="000F08A6" w:rsidRPr="006119A1">
        <w:rPr>
          <w:rFonts w:ascii="Times" w:hAnsi="Times" w:cs="Times"/>
        </w:rPr>
        <w:t xml:space="preserve"> o </w:t>
      </w:r>
      <w:r w:rsidR="007A1738" w:rsidRPr="006119A1">
        <w:rPr>
          <w:rFonts w:ascii="Times" w:hAnsi="Times" w:cs="Times"/>
        </w:rPr>
        <w:t xml:space="preserve">Estado </w:t>
      </w:r>
      <w:r w:rsidR="000F08A6" w:rsidRPr="006119A1">
        <w:rPr>
          <w:rFonts w:ascii="Times" w:hAnsi="Times" w:cs="Times"/>
        </w:rPr>
        <w:t xml:space="preserve">encontra-se em situação </w:t>
      </w:r>
      <w:r w:rsidR="00CE5F34" w:rsidRPr="006119A1">
        <w:rPr>
          <w:rFonts w:ascii="Times" w:hAnsi="Times" w:cs="Times"/>
        </w:rPr>
        <w:t>des</w:t>
      </w:r>
      <w:r w:rsidR="000F08A6" w:rsidRPr="006119A1">
        <w:rPr>
          <w:rFonts w:ascii="Times" w:hAnsi="Times" w:cs="Times"/>
        </w:rPr>
        <w:t xml:space="preserve">favorável relativamente ao contexto nacional. Santa Catarina </w:t>
      </w:r>
      <w:r w:rsidR="00CF7553">
        <w:rPr>
          <w:rFonts w:ascii="Times" w:hAnsi="Times" w:cs="Times"/>
        </w:rPr>
        <w:t xml:space="preserve">e Rio Grande do Sul </w:t>
      </w:r>
      <w:r w:rsidR="00165ED4" w:rsidRPr="006119A1">
        <w:rPr>
          <w:rFonts w:ascii="Times" w:hAnsi="Times" w:cs="Times"/>
        </w:rPr>
        <w:t>se acha</w:t>
      </w:r>
      <w:r w:rsidR="00CF7553">
        <w:rPr>
          <w:rFonts w:ascii="Times" w:hAnsi="Times" w:cs="Times"/>
        </w:rPr>
        <w:t>m</w:t>
      </w:r>
      <w:r w:rsidR="000F08A6" w:rsidRPr="006119A1">
        <w:rPr>
          <w:rFonts w:ascii="Times" w:hAnsi="Times" w:cs="Times"/>
        </w:rPr>
        <w:t xml:space="preserve"> em situação favorável, </w:t>
      </w:r>
      <w:r w:rsidR="00165ED4" w:rsidRPr="006119A1">
        <w:rPr>
          <w:rFonts w:ascii="Times" w:hAnsi="Times" w:cs="Times"/>
        </w:rPr>
        <w:t>quando cotejado com o contexto</w:t>
      </w:r>
      <w:r w:rsidR="000F08A6" w:rsidRPr="006119A1">
        <w:rPr>
          <w:rFonts w:ascii="Times" w:hAnsi="Times" w:cs="Times"/>
        </w:rPr>
        <w:t xml:space="preserve"> nacional</w:t>
      </w:r>
      <w:r w:rsidR="00CF7553">
        <w:rPr>
          <w:rFonts w:ascii="Times" w:hAnsi="Times" w:cs="Times"/>
        </w:rPr>
        <w:t xml:space="preserve"> e regional, </w:t>
      </w:r>
      <w:r w:rsidR="008A0234">
        <w:rPr>
          <w:rFonts w:ascii="Times" w:hAnsi="Times" w:cs="Times"/>
        </w:rPr>
        <w:t xml:space="preserve">segundo a Tabela </w:t>
      </w:r>
      <w:r w:rsidR="006C6168">
        <w:rPr>
          <w:rFonts w:ascii="Times" w:hAnsi="Times" w:cs="Times"/>
        </w:rPr>
        <w:t>7</w:t>
      </w:r>
      <w:r w:rsidR="008A0234">
        <w:rPr>
          <w:rFonts w:ascii="Times" w:hAnsi="Times" w:cs="Times"/>
        </w:rPr>
        <w:t>.</w:t>
      </w:r>
    </w:p>
    <w:p w14:paraId="3C1EADF2" w14:textId="77777777" w:rsidR="00C90F2E" w:rsidRDefault="00C90F2E" w:rsidP="00347B57">
      <w:pPr>
        <w:spacing w:line="360" w:lineRule="auto"/>
        <w:contextualSpacing/>
        <w:jc w:val="both"/>
        <w:rPr>
          <w:rFonts w:ascii="Times" w:hAnsi="Times"/>
          <w:sz w:val="22"/>
          <w:szCs w:val="22"/>
        </w:rPr>
      </w:pPr>
    </w:p>
    <w:p w14:paraId="4C6BA2D3" w14:textId="75FE6968" w:rsidR="000F08A6" w:rsidRPr="00747611" w:rsidRDefault="000F08A6" w:rsidP="00347B57">
      <w:pPr>
        <w:spacing w:line="360" w:lineRule="auto"/>
        <w:contextualSpacing/>
        <w:jc w:val="both"/>
        <w:rPr>
          <w:rFonts w:ascii="Times" w:hAnsi="Times"/>
          <w:sz w:val="22"/>
          <w:szCs w:val="22"/>
        </w:rPr>
      </w:pPr>
      <w:r w:rsidRPr="00C90F2E">
        <w:rPr>
          <w:rFonts w:ascii="Times" w:hAnsi="Times"/>
          <w:sz w:val="22"/>
          <w:szCs w:val="22"/>
        </w:rPr>
        <w:t>Tabela</w:t>
      </w:r>
      <w:r w:rsidR="00146F56" w:rsidRPr="00C90F2E">
        <w:rPr>
          <w:rFonts w:ascii="Times" w:hAnsi="Times"/>
          <w:sz w:val="22"/>
          <w:szCs w:val="22"/>
        </w:rPr>
        <w:t xml:space="preserve"> </w:t>
      </w:r>
      <w:r w:rsidR="006C6168" w:rsidRPr="00C90F2E">
        <w:rPr>
          <w:rFonts w:ascii="Times" w:hAnsi="Times"/>
          <w:sz w:val="22"/>
          <w:szCs w:val="22"/>
        </w:rPr>
        <w:t>7</w:t>
      </w:r>
      <w:r w:rsidR="00C90F2E">
        <w:rPr>
          <w:rFonts w:ascii="Times" w:hAnsi="Times"/>
          <w:sz w:val="22"/>
          <w:szCs w:val="22"/>
        </w:rPr>
        <w:t xml:space="preserve"> -</w:t>
      </w:r>
      <w:r w:rsidRPr="00747611">
        <w:rPr>
          <w:rFonts w:ascii="Times" w:hAnsi="Times"/>
          <w:sz w:val="22"/>
          <w:szCs w:val="22"/>
        </w:rPr>
        <w:t xml:space="preserve"> Mortalidade infantil, taxa (mortes infantis por mil nascidos vivos)</w:t>
      </w:r>
      <w:r w:rsidR="00755597" w:rsidRPr="00747611">
        <w:rPr>
          <w:rFonts w:ascii="Times" w:hAnsi="Times"/>
          <w:sz w:val="22"/>
          <w:szCs w:val="22"/>
        </w:rPr>
        <w:t>,</w:t>
      </w:r>
      <w:r w:rsidR="00E15770" w:rsidRPr="00747611">
        <w:rPr>
          <w:rFonts w:ascii="Times" w:hAnsi="Times"/>
          <w:sz w:val="22"/>
          <w:szCs w:val="22"/>
        </w:rPr>
        <w:t xml:space="preserve"> </w:t>
      </w:r>
      <w:r w:rsidR="00755597" w:rsidRPr="00747611">
        <w:rPr>
          <w:rFonts w:ascii="Times" w:hAnsi="Times"/>
          <w:sz w:val="22"/>
          <w:szCs w:val="22"/>
        </w:rPr>
        <w:t>2001-2007</w:t>
      </w:r>
    </w:p>
    <w:tbl>
      <w:tblPr>
        <w:tblStyle w:val="SombreamentoClaro"/>
        <w:tblW w:w="0" w:type="auto"/>
        <w:shd w:val="clear" w:color="auto" w:fill="FFFFFF" w:themeFill="background1"/>
        <w:tblLook w:val="04A0" w:firstRow="1" w:lastRow="0" w:firstColumn="1" w:lastColumn="0" w:noHBand="0" w:noVBand="1"/>
      </w:tblPr>
      <w:tblGrid>
        <w:gridCol w:w="2588"/>
        <w:gridCol w:w="2588"/>
        <w:gridCol w:w="2588"/>
      </w:tblGrid>
      <w:tr w:rsidR="000F08A6" w:rsidRPr="00747611" w14:paraId="746CE38F" w14:textId="77777777" w:rsidTr="005576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8" w:type="dxa"/>
            <w:shd w:val="clear" w:color="auto" w:fill="FFFFFF" w:themeFill="background1"/>
          </w:tcPr>
          <w:p w14:paraId="58524501" w14:textId="77777777" w:rsidR="000F08A6" w:rsidRPr="00C90F2E" w:rsidRDefault="000F08A6" w:rsidP="00CF7553">
            <w:pPr>
              <w:widowControl w:val="0"/>
              <w:autoSpaceDE w:val="0"/>
              <w:autoSpaceDN w:val="0"/>
              <w:adjustRightInd w:val="0"/>
              <w:contextualSpacing/>
              <w:jc w:val="both"/>
              <w:rPr>
                <w:rFonts w:ascii="Times" w:hAnsi="Times" w:cs="Times New Roman"/>
                <w:b w:val="0"/>
                <w:noProof/>
                <w:color w:val="auto"/>
                <w:sz w:val="22"/>
                <w:szCs w:val="22"/>
              </w:rPr>
            </w:pPr>
            <w:r w:rsidRPr="00C90F2E">
              <w:rPr>
                <w:rFonts w:ascii="Times" w:hAnsi="Times" w:cs="Times New Roman"/>
                <w:b w:val="0"/>
                <w:noProof/>
                <w:color w:val="auto"/>
                <w:sz w:val="22"/>
                <w:szCs w:val="22"/>
              </w:rPr>
              <w:t>Região</w:t>
            </w:r>
          </w:p>
        </w:tc>
        <w:tc>
          <w:tcPr>
            <w:tcW w:w="2588" w:type="dxa"/>
            <w:shd w:val="clear" w:color="auto" w:fill="FFFFFF" w:themeFill="background1"/>
          </w:tcPr>
          <w:p w14:paraId="672E14B9" w14:textId="77777777" w:rsidR="000F08A6" w:rsidRPr="00C90F2E" w:rsidRDefault="000F08A6" w:rsidP="00CF7553">
            <w:pPr>
              <w:widowControl w:val="0"/>
              <w:autoSpaceDE w:val="0"/>
              <w:autoSpaceDN w:val="0"/>
              <w:adjustRightInd w:val="0"/>
              <w:contextualSpacing/>
              <w:jc w:val="both"/>
              <w:cnfStyle w:val="100000000000" w:firstRow="1" w:lastRow="0" w:firstColumn="0" w:lastColumn="0" w:oddVBand="0" w:evenVBand="0" w:oddHBand="0" w:evenHBand="0" w:firstRowFirstColumn="0" w:firstRowLastColumn="0" w:lastRowFirstColumn="0" w:lastRowLastColumn="0"/>
              <w:rPr>
                <w:rFonts w:ascii="Times" w:hAnsi="Times" w:cs="Times New Roman"/>
                <w:b w:val="0"/>
                <w:noProof/>
                <w:color w:val="auto"/>
                <w:sz w:val="22"/>
                <w:szCs w:val="22"/>
              </w:rPr>
            </w:pPr>
            <w:r w:rsidRPr="00C90F2E">
              <w:rPr>
                <w:rFonts w:ascii="Times" w:hAnsi="Times" w:cs="Times New Roman"/>
                <w:b w:val="0"/>
                <w:noProof/>
                <w:color w:val="auto"/>
                <w:sz w:val="22"/>
                <w:szCs w:val="22"/>
              </w:rPr>
              <w:t>2001</w:t>
            </w:r>
          </w:p>
        </w:tc>
        <w:tc>
          <w:tcPr>
            <w:tcW w:w="2588" w:type="dxa"/>
            <w:shd w:val="clear" w:color="auto" w:fill="FFFFFF" w:themeFill="background1"/>
          </w:tcPr>
          <w:p w14:paraId="6DDDE37B" w14:textId="77777777" w:rsidR="000F08A6" w:rsidRPr="00C90F2E" w:rsidRDefault="000F08A6" w:rsidP="00CF7553">
            <w:pPr>
              <w:widowControl w:val="0"/>
              <w:autoSpaceDE w:val="0"/>
              <w:autoSpaceDN w:val="0"/>
              <w:adjustRightInd w:val="0"/>
              <w:contextualSpacing/>
              <w:jc w:val="both"/>
              <w:cnfStyle w:val="100000000000" w:firstRow="1" w:lastRow="0" w:firstColumn="0" w:lastColumn="0" w:oddVBand="0" w:evenVBand="0" w:oddHBand="0" w:evenHBand="0" w:firstRowFirstColumn="0" w:firstRowLastColumn="0" w:lastRowFirstColumn="0" w:lastRowLastColumn="0"/>
              <w:rPr>
                <w:rFonts w:ascii="Times" w:hAnsi="Times" w:cs="Times New Roman"/>
                <w:b w:val="0"/>
                <w:noProof/>
                <w:color w:val="auto"/>
                <w:sz w:val="22"/>
                <w:szCs w:val="22"/>
              </w:rPr>
            </w:pPr>
            <w:r w:rsidRPr="00C90F2E">
              <w:rPr>
                <w:rFonts w:ascii="Times" w:hAnsi="Times" w:cs="Times New Roman"/>
                <w:b w:val="0"/>
                <w:noProof/>
                <w:color w:val="auto"/>
                <w:sz w:val="22"/>
                <w:szCs w:val="22"/>
              </w:rPr>
              <w:t>2007</w:t>
            </w:r>
          </w:p>
        </w:tc>
      </w:tr>
      <w:tr w:rsidR="000F08A6" w:rsidRPr="00747611" w14:paraId="1466A77A" w14:textId="77777777" w:rsidTr="00557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8" w:type="dxa"/>
            <w:shd w:val="clear" w:color="auto" w:fill="FFFFFF" w:themeFill="background1"/>
          </w:tcPr>
          <w:p w14:paraId="1062EB26" w14:textId="77777777" w:rsidR="000F08A6" w:rsidRPr="00C90F2E" w:rsidRDefault="000F08A6" w:rsidP="00CF7553">
            <w:pPr>
              <w:widowControl w:val="0"/>
              <w:autoSpaceDE w:val="0"/>
              <w:autoSpaceDN w:val="0"/>
              <w:adjustRightInd w:val="0"/>
              <w:contextualSpacing/>
              <w:jc w:val="both"/>
              <w:rPr>
                <w:rFonts w:ascii="Times" w:hAnsi="Times" w:cs="Times New Roman"/>
                <w:b w:val="0"/>
                <w:noProof/>
                <w:color w:val="auto"/>
                <w:sz w:val="22"/>
                <w:szCs w:val="22"/>
              </w:rPr>
            </w:pPr>
            <w:r w:rsidRPr="00C90F2E">
              <w:rPr>
                <w:rFonts w:ascii="Times" w:hAnsi="Times" w:cs="Times New Roman"/>
                <w:b w:val="0"/>
                <w:noProof/>
                <w:color w:val="auto"/>
                <w:sz w:val="22"/>
                <w:szCs w:val="22"/>
              </w:rPr>
              <w:t>Brasil</w:t>
            </w:r>
          </w:p>
        </w:tc>
        <w:tc>
          <w:tcPr>
            <w:tcW w:w="2588" w:type="dxa"/>
            <w:shd w:val="clear" w:color="auto" w:fill="FFFFFF" w:themeFill="background1"/>
          </w:tcPr>
          <w:p w14:paraId="3DE3D092" w14:textId="77777777" w:rsidR="000F08A6" w:rsidRPr="00747611" w:rsidRDefault="000F08A6" w:rsidP="00CF7553">
            <w:pPr>
              <w:widowControl w:val="0"/>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ascii="Times" w:hAnsi="Times" w:cs="Times New Roman"/>
                <w:noProof/>
                <w:color w:val="auto"/>
                <w:sz w:val="22"/>
                <w:szCs w:val="22"/>
              </w:rPr>
            </w:pPr>
            <w:r w:rsidRPr="00747611">
              <w:rPr>
                <w:rFonts w:ascii="Times" w:hAnsi="Times" w:cs="Times New Roman"/>
                <w:noProof/>
                <w:color w:val="auto"/>
                <w:sz w:val="22"/>
                <w:szCs w:val="22"/>
              </w:rPr>
              <w:t>26,3</w:t>
            </w:r>
          </w:p>
        </w:tc>
        <w:tc>
          <w:tcPr>
            <w:tcW w:w="2588" w:type="dxa"/>
            <w:shd w:val="clear" w:color="auto" w:fill="FFFFFF" w:themeFill="background1"/>
          </w:tcPr>
          <w:p w14:paraId="67C53A9E" w14:textId="77777777" w:rsidR="000F08A6" w:rsidRPr="00747611" w:rsidRDefault="000F08A6" w:rsidP="00CF7553">
            <w:pPr>
              <w:widowControl w:val="0"/>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ascii="Times" w:hAnsi="Times" w:cs="Times New Roman"/>
                <w:noProof/>
                <w:color w:val="auto"/>
                <w:sz w:val="22"/>
                <w:szCs w:val="22"/>
              </w:rPr>
            </w:pPr>
            <w:r w:rsidRPr="00747611">
              <w:rPr>
                <w:rFonts w:ascii="Times" w:hAnsi="Times" w:cs="Times New Roman"/>
                <w:noProof/>
                <w:color w:val="auto"/>
                <w:sz w:val="22"/>
                <w:szCs w:val="22"/>
              </w:rPr>
              <w:t>20</w:t>
            </w:r>
          </w:p>
        </w:tc>
      </w:tr>
      <w:tr w:rsidR="000F08A6" w:rsidRPr="00747611" w14:paraId="793ECCC1" w14:textId="77777777" w:rsidTr="005576D7">
        <w:tc>
          <w:tcPr>
            <w:cnfStyle w:val="001000000000" w:firstRow="0" w:lastRow="0" w:firstColumn="1" w:lastColumn="0" w:oddVBand="0" w:evenVBand="0" w:oddHBand="0" w:evenHBand="0" w:firstRowFirstColumn="0" w:firstRowLastColumn="0" w:lastRowFirstColumn="0" w:lastRowLastColumn="0"/>
            <w:tcW w:w="2588" w:type="dxa"/>
            <w:shd w:val="clear" w:color="auto" w:fill="FFFFFF" w:themeFill="background1"/>
          </w:tcPr>
          <w:p w14:paraId="4133B243" w14:textId="77777777" w:rsidR="000F08A6" w:rsidRPr="00C90F2E" w:rsidRDefault="000F08A6" w:rsidP="00CF7553">
            <w:pPr>
              <w:widowControl w:val="0"/>
              <w:autoSpaceDE w:val="0"/>
              <w:autoSpaceDN w:val="0"/>
              <w:adjustRightInd w:val="0"/>
              <w:contextualSpacing/>
              <w:jc w:val="both"/>
              <w:rPr>
                <w:rFonts w:ascii="Times" w:hAnsi="Times" w:cs="Times New Roman"/>
                <w:b w:val="0"/>
                <w:noProof/>
                <w:color w:val="auto"/>
                <w:sz w:val="22"/>
                <w:szCs w:val="22"/>
              </w:rPr>
            </w:pPr>
            <w:r w:rsidRPr="00C90F2E">
              <w:rPr>
                <w:rFonts w:ascii="Times" w:hAnsi="Times" w:cs="Times New Roman"/>
                <w:b w:val="0"/>
                <w:noProof/>
                <w:color w:val="auto"/>
                <w:sz w:val="22"/>
                <w:szCs w:val="22"/>
              </w:rPr>
              <w:t>Sul</w:t>
            </w:r>
          </w:p>
        </w:tc>
        <w:tc>
          <w:tcPr>
            <w:tcW w:w="2588" w:type="dxa"/>
            <w:shd w:val="clear" w:color="auto" w:fill="FFFFFF" w:themeFill="background1"/>
          </w:tcPr>
          <w:p w14:paraId="774A7DFE" w14:textId="77777777" w:rsidR="000F08A6" w:rsidRPr="00747611" w:rsidRDefault="000F08A6" w:rsidP="00CF7553">
            <w:pPr>
              <w:widowControl w:val="0"/>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rFonts w:ascii="Times" w:hAnsi="Times" w:cs="Times New Roman"/>
                <w:noProof/>
                <w:color w:val="auto"/>
                <w:sz w:val="22"/>
                <w:szCs w:val="22"/>
              </w:rPr>
            </w:pPr>
            <w:r w:rsidRPr="00747611">
              <w:rPr>
                <w:rFonts w:ascii="Times" w:hAnsi="Times" w:cs="Times New Roman"/>
                <w:noProof/>
                <w:color w:val="auto"/>
                <w:sz w:val="22"/>
                <w:szCs w:val="22"/>
              </w:rPr>
              <w:t>16,4</w:t>
            </w:r>
          </w:p>
        </w:tc>
        <w:tc>
          <w:tcPr>
            <w:tcW w:w="2588" w:type="dxa"/>
            <w:shd w:val="clear" w:color="auto" w:fill="FFFFFF" w:themeFill="background1"/>
          </w:tcPr>
          <w:p w14:paraId="7FD06850" w14:textId="77777777" w:rsidR="000F08A6" w:rsidRPr="00747611" w:rsidRDefault="000F08A6" w:rsidP="00CF7553">
            <w:pPr>
              <w:widowControl w:val="0"/>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rFonts w:ascii="Times" w:hAnsi="Times" w:cs="Times New Roman"/>
                <w:noProof/>
                <w:color w:val="auto"/>
                <w:sz w:val="22"/>
                <w:szCs w:val="22"/>
              </w:rPr>
            </w:pPr>
            <w:r w:rsidRPr="00747611">
              <w:rPr>
                <w:rFonts w:ascii="Times" w:hAnsi="Times" w:cs="Times New Roman"/>
                <w:noProof/>
                <w:color w:val="auto"/>
                <w:sz w:val="22"/>
                <w:szCs w:val="22"/>
              </w:rPr>
              <w:t>12,9</w:t>
            </w:r>
          </w:p>
        </w:tc>
      </w:tr>
      <w:tr w:rsidR="000F08A6" w:rsidRPr="00747611" w14:paraId="10DB7228" w14:textId="77777777" w:rsidTr="00557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8" w:type="dxa"/>
            <w:shd w:val="clear" w:color="auto" w:fill="FFFFFF" w:themeFill="background1"/>
          </w:tcPr>
          <w:p w14:paraId="79420684" w14:textId="77777777" w:rsidR="000F08A6" w:rsidRPr="00C90F2E" w:rsidRDefault="000F08A6" w:rsidP="00CF7553">
            <w:pPr>
              <w:widowControl w:val="0"/>
              <w:autoSpaceDE w:val="0"/>
              <w:autoSpaceDN w:val="0"/>
              <w:adjustRightInd w:val="0"/>
              <w:contextualSpacing/>
              <w:jc w:val="both"/>
              <w:rPr>
                <w:rFonts w:ascii="Times" w:hAnsi="Times" w:cs="Times New Roman"/>
                <w:b w:val="0"/>
                <w:noProof/>
                <w:color w:val="auto"/>
                <w:sz w:val="22"/>
                <w:szCs w:val="22"/>
              </w:rPr>
            </w:pPr>
            <w:r w:rsidRPr="00C90F2E">
              <w:rPr>
                <w:rFonts w:ascii="Times" w:hAnsi="Times" w:cs="Times New Roman"/>
                <w:b w:val="0"/>
                <w:noProof/>
                <w:color w:val="auto"/>
                <w:sz w:val="22"/>
                <w:szCs w:val="22"/>
              </w:rPr>
              <w:t>Paraná</w:t>
            </w:r>
          </w:p>
        </w:tc>
        <w:tc>
          <w:tcPr>
            <w:tcW w:w="2588" w:type="dxa"/>
            <w:shd w:val="clear" w:color="auto" w:fill="FFFFFF" w:themeFill="background1"/>
          </w:tcPr>
          <w:p w14:paraId="7500E046" w14:textId="77777777" w:rsidR="000F08A6" w:rsidRPr="00747611" w:rsidRDefault="000F08A6" w:rsidP="00CF7553">
            <w:pPr>
              <w:widowControl w:val="0"/>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ascii="Times" w:hAnsi="Times" w:cs="Times New Roman"/>
                <w:noProof/>
                <w:color w:val="auto"/>
                <w:sz w:val="22"/>
                <w:szCs w:val="22"/>
              </w:rPr>
            </w:pPr>
            <w:r w:rsidRPr="00747611">
              <w:rPr>
                <w:rFonts w:ascii="Times" w:hAnsi="Times" w:cs="Times New Roman"/>
                <w:noProof/>
                <w:color w:val="auto"/>
                <w:sz w:val="22"/>
                <w:szCs w:val="22"/>
              </w:rPr>
              <w:t>17,5</w:t>
            </w:r>
          </w:p>
        </w:tc>
        <w:tc>
          <w:tcPr>
            <w:tcW w:w="2588" w:type="dxa"/>
            <w:shd w:val="clear" w:color="auto" w:fill="FFFFFF" w:themeFill="background1"/>
          </w:tcPr>
          <w:p w14:paraId="3DA8D40B" w14:textId="77777777" w:rsidR="000F08A6" w:rsidRPr="00747611" w:rsidRDefault="000F08A6" w:rsidP="00CF7553">
            <w:pPr>
              <w:widowControl w:val="0"/>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ascii="Times" w:hAnsi="Times" w:cs="Times New Roman"/>
                <w:noProof/>
                <w:color w:val="auto"/>
                <w:sz w:val="22"/>
                <w:szCs w:val="22"/>
              </w:rPr>
            </w:pPr>
            <w:r w:rsidRPr="00747611">
              <w:rPr>
                <w:rFonts w:ascii="Times" w:hAnsi="Times" w:cs="Times New Roman"/>
                <w:noProof/>
                <w:color w:val="auto"/>
                <w:sz w:val="22"/>
                <w:szCs w:val="22"/>
              </w:rPr>
              <w:t>13,2</w:t>
            </w:r>
          </w:p>
        </w:tc>
      </w:tr>
      <w:tr w:rsidR="000F08A6" w:rsidRPr="00747611" w14:paraId="0F0F7F54" w14:textId="77777777" w:rsidTr="005576D7">
        <w:tc>
          <w:tcPr>
            <w:cnfStyle w:val="001000000000" w:firstRow="0" w:lastRow="0" w:firstColumn="1" w:lastColumn="0" w:oddVBand="0" w:evenVBand="0" w:oddHBand="0" w:evenHBand="0" w:firstRowFirstColumn="0" w:firstRowLastColumn="0" w:lastRowFirstColumn="0" w:lastRowLastColumn="0"/>
            <w:tcW w:w="2588" w:type="dxa"/>
            <w:shd w:val="clear" w:color="auto" w:fill="FFFFFF" w:themeFill="background1"/>
          </w:tcPr>
          <w:p w14:paraId="4DB718EF" w14:textId="77777777" w:rsidR="000F08A6" w:rsidRPr="00C90F2E" w:rsidRDefault="000F08A6" w:rsidP="00CF7553">
            <w:pPr>
              <w:widowControl w:val="0"/>
              <w:autoSpaceDE w:val="0"/>
              <w:autoSpaceDN w:val="0"/>
              <w:adjustRightInd w:val="0"/>
              <w:contextualSpacing/>
              <w:jc w:val="both"/>
              <w:rPr>
                <w:rFonts w:ascii="Times" w:hAnsi="Times" w:cs="Times New Roman"/>
                <w:b w:val="0"/>
                <w:noProof/>
                <w:color w:val="auto"/>
                <w:sz w:val="22"/>
                <w:szCs w:val="22"/>
              </w:rPr>
            </w:pPr>
            <w:r w:rsidRPr="00C90F2E">
              <w:rPr>
                <w:rFonts w:ascii="Times" w:hAnsi="Times" w:cs="Times New Roman"/>
                <w:b w:val="0"/>
                <w:noProof/>
                <w:color w:val="auto"/>
                <w:sz w:val="22"/>
                <w:szCs w:val="22"/>
              </w:rPr>
              <w:t>Santa Catarina</w:t>
            </w:r>
          </w:p>
        </w:tc>
        <w:tc>
          <w:tcPr>
            <w:tcW w:w="2588" w:type="dxa"/>
            <w:shd w:val="clear" w:color="auto" w:fill="FFFFFF" w:themeFill="background1"/>
          </w:tcPr>
          <w:p w14:paraId="04446FB4" w14:textId="77777777" w:rsidR="000F08A6" w:rsidRPr="00747611" w:rsidRDefault="000F08A6" w:rsidP="00CF7553">
            <w:pPr>
              <w:widowControl w:val="0"/>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rFonts w:ascii="Times" w:hAnsi="Times" w:cs="Times New Roman"/>
                <w:noProof/>
                <w:color w:val="auto"/>
                <w:sz w:val="22"/>
                <w:szCs w:val="22"/>
              </w:rPr>
            </w:pPr>
            <w:r w:rsidRPr="00747611">
              <w:rPr>
                <w:rFonts w:ascii="Times" w:hAnsi="Times" w:cs="Times New Roman"/>
                <w:noProof/>
                <w:color w:val="auto"/>
                <w:sz w:val="22"/>
                <w:szCs w:val="22"/>
              </w:rPr>
              <w:t>15,5</w:t>
            </w:r>
          </w:p>
        </w:tc>
        <w:tc>
          <w:tcPr>
            <w:tcW w:w="2588" w:type="dxa"/>
            <w:shd w:val="clear" w:color="auto" w:fill="FFFFFF" w:themeFill="background1"/>
          </w:tcPr>
          <w:p w14:paraId="507E0EED" w14:textId="77777777" w:rsidR="000F08A6" w:rsidRPr="00747611" w:rsidRDefault="000F08A6" w:rsidP="00CF7553">
            <w:pPr>
              <w:widowControl w:val="0"/>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rFonts w:ascii="Times" w:hAnsi="Times" w:cs="Times New Roman"/>
                <w:noProof/>
                <w:color w:val="auto"/>
                <w:sz w:val="22"/>
                <w:szCs w:val="22"/>
              </w:rPr>
            </w:pPr>
            <w:r w:rsidRPr="00747611">
              <w:rPr>
                <w:rFonts w:ascii="Times" w:hAnsi="Times" w:cs="Times New Roman"/>
                <w:noProof/>
                <w:color w:val="auto"/>
                <w:sz w:val="22"/>
                <w:szCs w:val="22"/>
              </w:rPr>
              <w:t>12,8</w:t>
            </w:r>
          </w:p>
        </w:tc>
      </w:tr>
      <w:tr w:rsidR="000F08A6" w:rsidRPr="00747611" w14:paraId="091765BA" w14:textId="77777777" w:rsidTr="00557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8" w:type="dxa"/>
            <w:shd w:val="clear" w:color="auto" w:fill="FFFFFF" w:themeFill="background1"/>
          </w:tcPr>
          <w:p w14:paraId="60947C33" w14:textId="77777777" w:rsidR="000F08A6" w:rsidRPr="00C90F2E" w:rsidRDefault="000F08A6" w:rsidP="00CF7553">
            <w:pPr>
              <w:widowControl w:val="0"/>
              <w:autoSpaceDE w:val="0"/>
              <w:autoSpaceDN w:val="0"/>
              <w:adjustRightInd w:val="0"/>
              <w:contextualSpacing/>
              <w:jc w:val="both"/>
              <w:rPr>
                <w:rFonts w:ascii="Times" w:hAnsi="Times" w:cs="Times New Roman"/>
                <w:b w:val="0"/>
                <w:noProof/>
                <w:color w:val="auto"/>
                <w:sz w:val="22"/>
                <w:szCs w:val="22"/>
              </w:rPr>
            </w:pPr>
            <w:r w:rsidRPr="00C90F2E">
              <w:rPr>
                <w:rFonts w:ascii="Times" w:hAnsi="Times" w:cs="Times New Roman"/>
                <w:b w:val="0"/>
                <w:noProof/>
                <w:color w:val="auto"/>
                <w:sz w:val="22"/>
                <w:szCs w:val="22"/>
              </w:rPr>
              <w:t>Rio G. do Sul</w:t>
            </w:r>
          </w:p>
        </w:tc>
        <w:tc>
          <w:tcPr>
            <w:tcW w:w="2588" w:type="dxa"/>
            <w:shd w:val="clear" w:color="auto" w:fill="FFFFFF" w:themeFill="background1"/>
          </w:tcPr>
          <w:p w14:paraId="3B6DA3B1" w14:textId="77777777" w:rsidR="000F08A6" w:rsidRPr="00747611" w:rsidRDefault="000F08A6" w:rsidP="00CF7553">
            <w:pPr>
              <w:widowControl w:val="0"/>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ascii="Times" w:hAnsi="Times" w:cs="Times New Roman"/>
                <w:noProof/>
                <w:color w:val="auto"/>
                <w:sz w:val="22"/>
                <w:szCs w:val="22"/>
              </w:rPr>
            </w:pPr>
            <w:r w:rsidRPr="00747611">
              <w:rPr>
                <w:rFonts w:ascii="Times" w:hAnsi="Times" w:cs="Times New Roman"/>
                <w:noProof/>
                <w:color w:val="auto"/>
                <w:sz w:val="22"/>
                <w:szCs w:val="22"/>
              </w:rPr>
              <w:t>15,8</w:t>
            </w:r>
          </w:p>
        </w:tc>
        <w:tc>
          <w:tcPr>
            <w:tcW w:w="2588" w:type="dxa"/>
            <w:shd w:val="clear" w:color="auto" w:fill="FFFFFF" w:themeFill="background1"/>
          </w:tcPr>
          <w:p w14:paraId="782D9E1B" w14:textId="77777777" w:rsidR="000F08A6" w:rsidRPr="00747611" w:rsidRDefault="000F08A6" w:rsidP="00CF7553">
            <w:pPr>
              <w:widowControl w:val="0"/>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ascii="Times" w:hAnsi="Times" w:cs="Times New Roman"/>
                <w:noProof/>
                <w:color w:val="auto"/>
                <w:sz w:val="22"/>
                <w:szCs w:val="22"/>
              </w:rPr>
            </w:pPr>
            <w:r w:rsidRPr="00747611">
              <w:rPr>
                <w:rFonts w:ascii="Times" w:hAnsi="Times" w:cs="Times New Roman"/>
                <w:noProof/>
                <w:color w:val="auto"/>
                <w:sz w:val="22"/>
                <w:szCs w:val="22"/>
              </w:rPr>
              <w:t>12,8</w:t>
            </w:r>
          </w:p>
        </w:tc>
      </w:tr>
    </w:tbl>
    <w:p w14:paraId="61A6440B" w14:textId="5953523A" w:rsidR="002931F5" w:rsidRDefault="00671F4E" w:rsidP="00347B57">
      <w:pPr>
        <w:spacing w:line="360" w:lineRule="auto"/>
        <w:contextualSpacing/>
        <w:jc w:val="both"/>
        <w:rPr>
          <w:rFonts w:ascii="Times" w:hAnsi="Times"/>
          <w:sz w:val="20"/>
          <w:szCs w:val="20"/>
        </w:rPr>
      </w:pPr>
      <w:r w:rsidRPr="005C551A">
        <w:rPr>
          <w:rFonts w:ascii="Times" w:hAnsi="Times"/>
          <w:sz w:val="20"/>
          <w:szCs w:val="20"/>
        </w:rPr>
        <w:t>Fonte: IPEA</w:t>
      </w:r>
      <w:r w:rsidR="00754612" w:rsidRPr="005C551A">
        <w:rPr>
          <w:rFonts w:ascii="Times" w:hAnsi="Times"/>
          <w:sz w:val="20"/>
          <w:szCs w:val="20"/>
        </w:rPr>
        <w:t xml:space="preserve"> </w:t>
      </w:r>
      <w:r w:rsidR="00AF1A84" w:rsidRPr="005C551A">
        <w:rPr>
          <w:rFonts w:ascii="Times" w:hAnsi="Times"/>
          <w:sz w:val="20"/>
          <w:szCs w:val="20"/>
        </w:rPr>
        <w:t>(2013)</w:t>
      </w:r>
    </w:p>
    <w:p w14:paraId="4290D64C" w14:textId="11E314A6" w:rsidR="00343383" w:rsidRPr="006119A1" w:rsidRDefault="00645990" w:rsidP="00197648">
      <w:pPr>
        <w:widowControl w:val="0"/>
        <w:autoSpaceDE w:val="0"/>
        <w:autoSpaceDN w:val="0"/>
        <w:adjustRightInd w:val="0"/>
        <w:spacing w:after="240" w:line="360" w:lineRule="auto"/>
        <w:ind w:firstLine="720"/>
        <w:jc w:val="both"/>
        <w:rPr>
          <w:rFonts w:ascii="Times" w:hAnsi="Times" w:cs="Times"/>
        </w:rPr>
      </w:pPr>
      <w:r w:rsidRPr="006119A1">
        <w:rPr>
          <w:rFonts w:ascii="Times" w:hAnsi="Times" w:cs="Times"/>
        </w:rPr>
        <w:t>Durante o período em ques</w:t>
      </w:r>
      <w:r w:rsidR="009869AC">
        <w:rPr>
          <w:rFonts w:ascii="Times" w:hAnsi="Times" w:cs="Times"/>
        </w:rPr>
        <w:t>tão houve incremento de cobertura de</w:t>
      </w:r>
      <w:r w:rsidRPr="006119A1">
        <w:rPr>
          <w:rFonts w:ascii="Times" w:hAnsi="Times" w:cs="Times"/>
        </w:rPr>
        <w:t xml:space="preserve"> água encanada no Brasil</w:t>
      </w:r>
      <w:r w:rsidR="00CF7553">
        <w:rPr>
          <w:rFonts w:ascii="Times" w:hAnsi="Times" w:cs="Times"/>
        </w:rPr>
        <w:t xml:space="preserve">. </w:t>
      </w:r>
      <w:r w:rsidRPr="006119A1">
        <w:rPr>
          <w:rFonts w:ascii="Times" w:hAnsi="Times" w:cs="Times"/>
        </w:rPr>
        <w:t>No Paraná, acessos adequados a abastecimento de água estão além das médias nacional e sulis</w:t>
      </w:r>
      <w:r w:rsidR="00CF7553">
        <w:rPr>
          <w:rFonts w:ascii="Times" w:hAnsi="Times" w:cs="Times"/>
        </w:rPr>
        <w:t>ta;</w:t>
      </w:r>
      <w:r w:rsidR="002B652F" w:rsidRPr="006119A1">
        <w:rPr>
          <w:rFonts w:ascii="Times" w:hAnsi="Times" w:cs="Times"/>
        </w:rPr>
        <w:t xml:space="preserve"> </w:t>
      </w:r>
      <w:r w:rsidR="00CF7553">
        <w:rPr>
          <w:rFonts w:ascii="Times" w:hAnsi="Times" w:cs="Times"/>
        </w:rPr>
        <w:t>n</w:t>
      </w:r>
      <w:r w:rsidRPr="006119A1">
        <w:rPr>
          <w:rFonts w:ascii="Times" w:hAnsi="Times" w:cs="Times"/>
        </w:rPr>
        <w:t>o Rio Grande do Sul e em Santa Catarina</w:t>
      </w:r>
      <w:r w:rsidR="00CF7553">
        <w:rPr>
          <w:rFonts w:ascii="Times" w:hAnsi="Times" w:cs="Times"/>
        </w:rPr>
        <w:t xml:space="preserve"> esses</w:t>
      </w:r>
      <w:r w:rsidRPr="006119A1">
        <w:rPr>
          <w:rFonts w:ascii="Times" w:hAnsi="Times" w:cs="Times"/>
        </w:rPr>
        <w:t xml:space="preserve"> acessos estão além da média nacional e aquém da do Sul</w:t>
      </w:r>
      <w:r w:rsidR="002B652F" w:rsidRPr="006119A1">
        <w:rPr>
          <w:rFonts w:ascii="Times" w:hAnsi="Times" w:cs="Times"/>
        </w:rPr>
        <w:t>.</w:t>
      </w:r>
      <w:r w:rsidR="006C6168">
        <w:rPr>
          <w:rFonts w:ascii="Times" w:hAnsi="Times" w:cs="Times"/>
        </w:rPr>
        <w:t xml:space="preserve"> </w:t>
      </w:r>
      <w:r w:rsidR="002D733A">
        <w:rPr>
          <w:rFonts w:ascii="Times" w:hAnsi="Times" w:cs="Times"/>
        </w:rPr>
        <w:t>C</w:t>
      </w:r>
      <w:r w:rsidRPr="006119A1">
        <w:rPr>
          <w:rFonts w:ascii="Times" w:hAnsi="Times" w:cs="Times"/>
        </w:rPr>
        <w:t xml:space="preserve">om relação à energia elétrica, o Paraná encontra-se em situação similar à do Sul como um todo, sendo superior à média brasileira. </w:t>
      </w:r>
      <w:r w:rsidR="00FE32C3" w:rsidRPr="006119A1">
        <w:rPr>
          <w:rFonts w:ascii="Times" w:hAnsi="Times" w:cs="Times"/>
        </w:rPr>
        <w:t xml:space="preserve">No </w:t>
      </w:r>
      <w:r w:rsidR="00D32176" w:rsidRPr="006119A1">
        <w:rPr>
          <w:rFonts w:ascii="Times" w:hAnsi="Times" w:cs="Times"/>
        </w:rPr>
        <w:t>Estado</w:t>
      </w:r>
      <w:r w:rsidR="00FE32C3" w:rsidRPr="006119A1">
        <w:rPr>
          <w:rFonts w:ascii="Times" w:hAnsi="Times" w:cs="Times"/>
        </w:rPr>
        <w:t>, es</w:t>
      </w:r>
      <w:r w:rsidR="00D32176" w:rsidRPr="006119A1">
        <w:rPr>
          <w:rFonts w:ascii="Times" w:hAnsi="Times" w:cs="Times"/>
        </w:rPr>
        <w:t>s</w:t>
      </w:r>
      <w:r w:rsidR="00FE32C3" w:rsidRPr="006119A1">
        <w:rPr>
          <w:rFonts w:ascii="Times" w:hAnsi="Times" w:cs="Times"/>
        </w:rPr>
        <w:t>e serviço está praticamente universalizado</w:t>
      </w:r>
      <w:r w:rsidR="009869AC">
        <w:rPr>
          <w:rFonts w:ascii="Times" w:hAnsi="Times" w:cs="Times"/>
        </w:rPr>
        <w:t xml:space="preserve">, </w:t>
      </w:r>
      <w:r w:rsidR="008A0234">
        <w:rPr>
          <w:rFonts w:ascii="Times" w:hAnsi="Times" w:cs="Times"/>
        </w:rPr>
        <w:t xml:space="preserve">de acordo com a Tabela </w:t>
      </w:r>
      <w:r w:rsidR="006C6168">
        <w:rPr>
          <w:rFonts w:ascii="Times" w:hAnsi="Times" w:cs="Times"/>
        </w:rPr>
        <w:t>8</w:t>
      </w:r>
      <w:r w:rsidR="008A0234">
        <w:rPr>
          <w:rFonts w:ascii="Times" w:hAnsi="Times" w:cs="Times"/>
        </w:rPr>
        <w:t>.</w:t>
      </w:r>
    </w:p>
    <w:p w14:paraId="4979EFD6" w14:textId="69E93CEA" w:rsidR="00645990" w:rsidRPr="00AF27CC" w:rsidRDefault="00645990" w:rsidP="00347B57">
      <w:pPr>
        <w:widowControl w:val="0"/>
        <w:autoSpaceDE w:val="0"/>
        <w:autoSpaceDN w:val="0"/>
        <w:adjustRightInd w:val="0"/>
        <w:spacing w:line="360" w:lineRule="auto"/>
        <w:contextualSpacing/>
        <w:jc w:val="both"/>
        <w:rPr>
          <w:rFonts w:ascii="Times" w:hAnsi="Times" w:cs="Times"/>
          <w:lang w:val="en-US"/>
        </w:rPr>
      </w:pPr>
      <w:r w:rsidRPr="00C90F2E">
        <w:rPr>
          <w:rFonts w:ascii="Times" w:hAnsi="Times" w:cs="Times"/>
          <w:lang w:val="en-US"/>
        </w:rPr>
        <w:t>Tabela</w:t>
      </w:r>
      <w:r w:rsidR="00483374" w:rsidRPr="00C90F2E">
        <w:rPr>
          <w:rFonts w:ascii="Times" w:hAnsi="Times" w:cs="Times"/>
          <w:lang w:val="en-US"/>
        </w:rPr>
        <w:t xml:space="preserve"> </w:t>
      </w:r>
      <w:r w:rsidR="006C6168" w:rsidRPr="00C90F2E">
        <w:rPr>
          <w:rFonts w:ascii="Times" w:hAnsi="Times" w:cs="Times"/>
          <w:lang w:val="en-US"/>
        </w:rPr>
        <w:t>8</w:t>
      </w:r>
      <w:r w:rsidR="00C90F2E">
        <w:rPr>
          <w:rFonts w:ascii="Times" w:hAnsi="Times" w:cs="Times"/>
          <w:lang w:val="en-US"/>
        </w:rPr>
        <w:t xml:space="preserve"> -</w:t>
      </w:r>
      <w:r w:rsidR="00755597" w:rsidRPr="00AF27CC">
        <w:rPr>
          <w:rFonts w:ascii="Times" w:hAnsi="Times" w:cs="Times"/>
          <w:lang w:val="en-US"/>
        </w:rPr>
        <w:t xml:space="preserve"> Água e Energia, 2001-2009</w:t>
      </w:r>
    </w:p>
    <w:tbl>
      <w:tblPr>
        <w:tblStyle w:val="SombreamentoClaro"/>
        <w:tblW w:w="8516" w:type="dxa"/>
        <w:tblLook w:val="0620" w:firstRow="1" w:lastRow="0" w:firstColumn="0" w:lastColumn="0" w:noHBand="1" w:noVBand="1"/>
      </w:tblPr>
      <w:tblGrid>
        <w:gridCol w:w="2837"/>
        <w:gridCol w:w="1419"/>
        <w:gridCol w:w="1420"/>
        <w:gridCol w:w="1420"/>
        <w:gridCol w:w="1420"/>
      </w:tblGrid>
      <w:tr w:rsidR="00645990" w:rsidRPr="00747611" w14:paraId="1D937665" w14:textId="77777777" w:rsidTr="00243C6D">
        <w:trPr>
          <w:cnfStyle w:val="100000000000" w:firstRow="1" w:lastRow="0" w:firstColumn="0" w:lastColumn="0" w:oddVBand="0" w:evenVBand="0" w:oddHBand="0" w:evenHBand="0" w:firstRowFirstColumn="0" w:firstRowLastColumn="0" w:lastRowFirstColumn="0" w:lastRowLastColumn="0"/>
        </w:trPr>
        <w:tc>
          <w:tcPr>
            <w:tcW w:w="2837" w:type="dxa"/>
          </w:tcPr>
          <w:p w14:paraId="65F2B07E" w14:textId="77777777" w:rsidR="00645990" w:rsidRPr="00C90F2E" w:rsidRDefault="00645990" w:rsidP="009072FB">
            <w:pPr>
              <w:widowControl w:val="0"/>
              <w:autoSpaceDE w:val="0"/>
              <w:autoSpaceDN w:val="0"/>
              <w:adjustRightInd w:val="0"/>
              <w:contextualSpacing/>
              <w:jc w:val="both"/>
              <w:rPr>
                <w:rFonts w:ascii="Times" w:hAnsi="Times" w:cs="Times"/>
                <w:b w:val="0"/>
                <w:color w:val="auto"/>
                <w:sz w:val="22"/>
                <w:szCs w:val="22"/>
                <w:lang w:val="en-US"/>
              </w:rPr>
            </w:pPr>
            <w:r w:rsidRPr="00C90F2E">
              <w:rPr>
                <w:rFonts w:ascii="Times" w:hAnsi="Times" w:cs="Times New Roman"/>
                <w:b w:val="0"/>
                <w:noProof/>
                <w:color w:val="auto"/>
                <w:sz w:val="22"/>
                <w:szCs w:val="22"/>
              </w:rPr>
              <w:t>Região</w:t>
            </w:r>
          </w:p>
        </w:tc>
        <w:tc>
          <w:tcPr>
            <w:tcW w:w="2839" w:type="dxa"/>
            <w:gridSpan w:val="2"/>
          </w:tcPr>
          <w:p w14:paraId="2A69C41E" w14:textId="77777777" w:rsidR="00645990" w:rsidRPr="00C90F2E" w:rsidRDefault="00645990" w:rsidP="009072FB">
            <w:pPr>
              <w:widowControl w:val="0"/>
              <w:autoSpaceDE w:val="0"/>
              <w:autoSpaceDN w:val="0"/>
              <w:adjustRightInd w:val="0"/>
              <w:contextualSpacing/>
              <w:jc w:val="both"/>
              <w:rPr>
                <w:rFonts w:ascii="Times" w:hAnsi="Times" w:cs="Times"/>
                <w:b w:val="0"/>
                <w:color w:val="auto"/>
                <w:sz w:val="22"/>
                <w:szCs w:val="22"/>
                <w:lang w:val="en-US"/>
              </w:rPr>
            </w:pPr>
            <w:r w:rsidRPr="00C90F2E">
              <w:rPr>
                <w:rFonts w:ascii="Times" w:hAnsi="Times" w:cs="Times"/>
                <w:b w:val="0"/>
                <w:color w:val="auto"/>
                <w:sz w:val="22"/>
                <w:szCs w:val="22"/>
                <w:lang w:val="en-US"/>
              </w:rPr>
              <w:t>Água (em %)</w:t>
            </w:r>
          </w:p>
        </w:tc>
        <w:tc>
          <w:tcPr>
            <w:tcW w:w="2840" w:type="dxa"/>
            <w:gridSpan w:val="2"/>
          </w:tcPr>
          <w:p w14:paraId="36956D6B" w14:textId="77777777" w:rsidR="00645990" w:rsidRPr="00C90F2E" w:rsidRDefault="00645990" w:rsidP="009072FB">
            <w:pPr>
              <w:widowControl w:val="0"/>
              <w:autoSpaceDE w:val="0"/>
              <w:autoSpaceDN w:val="0"/>
              <w:adjustRightInd w:val="0"/>
              <w:contextualSpacing/>
              <w:jc w:val="both"/>
              <w:rPr>
                <w:rFonts w:ascii="Times" w:hAnsi="Times" w:cs="Times"/>
                <w:b w:val="0"/>
                <w:color w:val="auto"/>
                <w:sz w:val="22"/>
                <w:szCs w:val="22"/>
                <w:lang w:val="en-US"/>
              </w:rPr>
            </w:pPr>
            <w:r w:rsidRPr="00C90F2E">
              <w:rPr>
                <w:rFonts w:ascii="Times" w:hAnsi="Times" w:cs="Times"/>
                <w:b w:val="0"/>
                <w:color w:val="auto"/>
                <w:sz w:val="22"/>
                <w:szCs w:val="22"/>
                <w:lang w:val="en-US"/>
              </w:rPr>
              <w:t>Energia (em%)</w:t>
            </w:r>
          </w:p>
        </w:tc>
      </w:tr>
      <w:tr w:rsidR="00645990" w:rsidRPr="00747611" w14:paraId="0E8AB20E" w14:textId="77777777" w:rsidTr="00243C6D">
        <w:tc>
          <w:tcPr>
            <w:tcW w:w="2837" w:type="dxa"/>
          </w:tcPr>
          <w:p w14:paraId="3D31AFF9" w14:textId="77777777" w:rsidR="00645990" w:rsidRPr="00747611" w:rsidRDefault="00645990" w:rsidP="009072FB">
            <w:pPr>
              <w:widowControl w:val="0"/>
              <w:autoSpaceDE w:val="0"/>
              <w:autoSpaceDN w:val="0"/>
              <w:adjustRightInd w:val="0"/>
              <w:contextualSpacing/>
              <w:jc w:val="both"/>
              <w:rPr>
                <w:rFonts w:ascii="Times" w:hAnsi="Times" w:cs="Times"/>
                <w:color w:val="auto"/>
                <w:sz w:val="22"/>
                <w:szCs w:val="22"/>
                <w:lang w:val="en-US"/>
              </w:rPr>
            </w:pPr>
          </w:p>
        </w:tc>
        <w:tc>
          <w:tcPr>
            <w:tcW w:w="1419" w:type="dxa"/>
          </w:tcPr>
          <w:p w14:paraId="3638AE89" w14:textId="77777777" w:rsidR="00645990" w:rsidRPr="00747611" w:rsidRDefault="00645990" w:rsidP="009072FB">
            <w:pPr>
              <w:widowControl w:val="0"/>
              <w:autoSpaceDE w:val="0"/>
              <w:autoSpaceDN w:val="0"/>
              <w:adjustRightInd w:val="0"/>
              <w:contextualSpacing/>
              <w:jc w:val="both"/>
              <w:rPr>
                <w:rFonts w:ascii="Times" w:hAnsi="Times" w:cs="Times"/>
                <w:color w:val="auto"/>
                <w:sz w:val="22"/>
                <w:szCs w:val="22"/>
                <w:lang w:val="en-US"/>
              </w:rPr>
            </w:pPr>
            <w:r w:rsidRPr="00747611">
              <w:rPr>
                <w:rFonts w:ascii="Times" w:hAnsi="Times" w:cs="Times New Roman"/>
                <w:noProof/>
                <w:color w:val="auto"/>
                <w:sz w:val="22"/>
                <w:szCs w:val="22"/>
              </w:rPr>
              <w:t>2001</w:t>
            </w:r>
          </w:p>
        </w:tc>
        <w:tc>
          <w:tcPr>
            <w:tcW w:w="1420" w:type="dxa"/>
          </w:tcPr>
          <w:p w14:paraId="378C97C2" w14:textId="77777777" w:rsidR="00645990" w:rsidRPr="00747611" w:rsidRDefault="00645990" w:rsidP="009072FB">
            <w:pPr>
              <w:widowControl w:val="0"/>
              <w:autoSpaceDE w:val="0"/>
              <w:autoSpaceDN w:val="0"/>
              <w:adjustRightInd w:val="0"/>
              <w:contextualSpacing/>
              <w:jc w:val="both"/>
              <w:rPr>
                <w:rFonts w:ascii="Times" w:hAnsi="Times" w:cs="Times New Roman"/>
                <w:noProof/>
                <w:color w:val="auto"/>
                <w:sz w:val="22"/>
                <w:szCs w:val="22"/>
              </w:rPr>
            </w:pPr>
            <w:r w:rsidRPr="00747611">
              <w:rPr>
                <w:rFonts w:ascii="Times" w:hAnsi="Times" w:cs="Times New Roman"/>
                <w:noProof/>
                <w:color w:val="auto"/>
                <w:sz w:val="22"/>
                <w:szCs w:val="22"/>
              </w:rPr>
              <w:t>2009</w:t>
            </w:r>
          </w:p>
        </w:tc>
        <w:tc>
          <w:tcPr>
            <w:tcW w:w="1420" w:type="dxa"/>
          </w:tcPr>
          <w:p w14:paraId="27A6CD16" w14:textId="77777777" w:rsidR="00645990" w:rsidRPr="00747611" w:rsidRDefault="006432AA" w:rsidP="009072FB">
            <w:pPr>
              <w:widowControl w:val="0"/>
              <w:autoSpaceDE w:val="0"/>
              <w:autoSpaceDN w:val="0"/>
              <w:adjustRightInd w:val="0"/>
              <w:contextualSpacing/>
              <w:jc w:val="both"/>
              <w:rPr>
                <w:rFonts w:ascii="Times" w:hAnsi="Times" w:cs="Times New Roman"/>
                <w:noProof/>
                <w:color w:val="auto"/>
                <w:sz w:val="22"/>
                <w:szCs w:val="22"/>
              </w:rPr>
            </w:pPr>
            <w:r w:rsidRPr="00747611">
              <w:rPr>
                <w:rFonts w:ascii="Times" w:hAnsi="Times" w:cs="Times New Roman"/>
                <w:noProof/>
                <w:color w:val="auto"/>
                <w:sz w:val="22"/>
                <w:szCs w:val="22"/>
              </w:rPr>
              <w:t>2001</w:t>
            </w:r>
          </w:p>
        </w:tc>
        <w:tc>
          <w:tcPr>
            <w:tcW w:w="1420" w:type="dxa"/>
          </w:tcPr>
          <w:p w14:paraId="45169624" w14:textId="77777777" w:rsidR="00645990" w:rsidRPr="00747611" w:rsidRDefault="00645990" w:rsidP="009072FB">
            <w:pPr>
              <w:widowControl w:val="0"/>
              <w:autoSpaceDE w:val="0"/>
              <w:autoSpaceDN w:val="0"/>
              <w:adjustRightInd w:val="0"/>
              <w:contextualSpacing/>
              <w:jc w:val="both"/>
              <w:rPr>
                <w:rFonts w:ascii="Times" w:hAnsi="Times" w:cs="Times"/>
                <w:color w:val="auto"/>
                <w:sz w:val="22"/>
                <w:szCs w:val="22"/>
                <w:lang w:val="en-US"/>
              </w:rPr>
            </w:pPr>
            <w:r w:rsidRPr="00747611">
              <w:rPr>
                <w:rFonts w:ascii="Times" w:hAnsi="Times" w:cs="Times New Roman"/>
                <w:noProof/>
                <w:color w:val="auto"/>
                <w:sz w:val="22"/>
                <w:szCs w:val="22"/>
              </w:rPr>
              <w:t>2009</w:t>
            </w:r>
          </w:p>
        </w:tc>
      </w:tr>
      <w:tr w:rsidR="00645990" w:rsidRPr="00747611" w14:paraId="043494CD" w14:textId="77777777" w:rsidTr="00243C6D">
        <w:tc>
          <w:tcPr>
            <w:tcW w:w="2837" w:type="dxa"/>
          </w:tcPr>
          <w:p w14:paraId="79DD87CB" w14:textId="77777777" w:rsidR="00645990" w:rsidRPr="00747611" w:rsidRDefault="00645990" w:rsidP="009072FB">
            <w:pPr>
              <w:widowControl w:val="0"/>
              <w:autoSpaceDE w:val="0"/>
              <w:autoSpaceDN w:val="0"/>
              <w:adjustRightInd w:val="0"/>
              <w:contextualSpacing/>
              <w:jc w:val="both"/>
              <w:rPr>
                <w:rFonts w:ascii="Times" w:hAnsi="Times" w:cs="Times"/>
                <w:color w:val="auto"/>
                <w:sz w:val="22"/>
                <w:szCs w:val="22"/>
                <w:lang w:val="en-US"/>
              </w:rPr>
            </w:pPr>
            <w:r w:rsidRPr="00747611">
              <w:rPr>
                <w:rFonts w:ascii="Times" w:hAnsi="Times" w:cs="Times New Roman"/>
                <w:noProof/>
                <w:color w:val="auto"/>
                <w:sz w:val="22"/>
                <w:szCs w:val="22"/>
              </w:rPr>
              <w:t>Brasil</w:t>
            </w:r>
          </w:p>
        </w:tc>
        <w:tc>
          <w:tcPr>
            <w:tcW w:w="1419" w:type="dxa"/>
          </w:tcPr>
          <w:p w14:paraId="42AF663D" w14:textId="77777777" w:rsidR="00645990" w:rsidRPr="00747611" w:rsidRDefault="00645990" w:rsidP="009072FB">
            <w:pPr>
              <w:widowControl w:val="0"/>
              <w:autoSpaceDE w:val="0"/>
              <w:autoSpaceDN w:val="0"/>
              <w:adjustRightInd w:val="0"/>
              <w:contextualSpacing/>
              <w:jc w:val="both"/>
              <w:rPr>
                <w:rFonts w:ascii="Times" w:hAnsi="Times" w:cs="Times"/>
                <w:color w:val="auto"/>
                <w:sz w:val="22"/>
                <w:szCs w:val="22"/>
                <w:lang w:val="en-US"/>
              </w:rPr>
            </w:pPr>
            <w:r w:rsidRPr="00747611">
              <w:rPr>
                <w:rFonts w:ascii="Times" w:hAnsi="Times" w:cs="Times"/>
                <w:color w:val="auto"/>
                <w:sz w:val="22"/>
                <w:szCs w:val="22"/>
                <w:lang w:val="en-US"/>
              </w:rPr>
              <w:t>81,4</w:t>
            </w:r>
          </w:p>
        </w:tc>
        <w:tc>
          <w:tcPr>
            <w:tcW w:w="1420" w:type="dxa"/>
          </w:tcPr>
          <w:p w14:paraId="5DF216CA" w14:textId="77777777" w:rsidR="00645990" w:rsidRPr="00747611" w:rsidRDefault="00645990" w:rsidP="009072FB">
            <w:pPr>
              <w:widowControl w:val="0"/>
              <w:autoSpaceDE w:val="0"/>
              <w:autoSpaceDN w:val="0"/>
              <w:adjustRightInd w:val="0"/>
              <w:contextualSpacing/>
              <w:jc w:val="both"/>
              <w:rPr>
                <w:rFonts w:ascii="Times" w:hAnsi="Times" w:cs="Times New Roman"/>
                <w:noProof/>
                <w:color w:val="auto"/>
                <w:sz w:val="22"/>
                <w:szCs w:val="22"/>
              </w:rPr>
            </w:pPr>
            <w:r w:rsidRPr="00747611">
              <w:rPr>
                <w:rFonts w:ascii="Times" w:hAnsi="Times" w:cs="Times New Roman"/>
                <w:noProof/>
                <w:color w:val="auto"/>
                <w:sz w:val="22"/>
                <w:szCs w:val="22"/>
              </w:rPr>
              <w:t>87,7</w:t>
            </w:r>
            <w:r w:rsidR="002B652F" w:rsidRPr="00747611">
              <w:rPr>
                <w:rFonts w:ascii="Times" w:hAnsi="Times" w:cs="Times New Roman"/>
                <w:noProof/>
                <w:color w:val="auto"/>
                <w:sz w:val="22"/>
                <w:szCs w:val="22"/>
              </w:rPr>
              <w:t>2</w:t>
            </w:r>
          </w:p>
        </w:tc>
        <w:tc>
          <w:tcPr>
            <w:tcW w:w="1420" w:type="dxa"/>
          </w:tcPr>
          <w:p w14:paraId="2B611B0D" w14:textId="77777777" w:rsidR="00645990" w:rsidRPr="00747611" w:rsidRDefault="00645990" w:rsidP="009072FB">
            <w:pPr>
              <w:widowControl w:val="0"/>
              <w:autoSpaceDE w:val="0"/>
              <w:autoSpaceDN w:val="0"/>
              <w:adjustRightInd w:val="0"/>
              <w:contextualSpacing/>
              <w:jc w:val="both"/>
              <w:rPr>
                <w:rFonts w:ascii="Times" w:hAnsi="Times" w:cs="Times New Roman"/>
                <w:noProof/>
                <w:color w:val="auto"/>
                <w:sz w:val="22"/>
                <w:szCs w:val="22"/>
              </w:rPr>
            </w:pPr>
            <w:r w:rsidRPr="00747611">
              <w:rPr>
                <w:rFonts w:ascii="Times" w:hAnsi="Times" w:cs="Times New Roman"/>
                <w:noProof/>
                <w:color w:val="auto"/>
                <w:sz w:val="22"/>
                <w:szCs w:val="22"/>
              </w:rPr>
              <w:t>95,5</w:t>
            </w:r>
            <w:r w:rsidR="002B652F" w:rsidRPr="00747611">
              <w:rPr>
                <w:rFonts w:ascii="Times" w:hAnsi="Times" w:cs="Times New Roman"/>
                <w:noProof/>
                <w:color w:val="auto"/>
                <w:sz w:val="22"/>
                <w:szCs w:val="22"/>
              </w:rPr>
              <w:t>1</w:t>
            </w:r>
          </w:p>
        </w:tc>
        <w:tc>
          <w:tcPr>
            <w:tcW w:w="1420" w:type="dxa"/>
          </w:tcPr>
          <w:p w14:paraId="47578921" w14:textId="77777777" w:rsidR="00645990" w:rsidRPr="00747611" w:rsidRDefault="002B652F" w:rsidP="009072FB">
            <w:pPr>
              <w:widowControl w:val="0"/>
              <w:autoSpaceDE w:val="0"/>
              <w:autoSpaceDN w:val="0"/>
              <w:adjustRightInd w:val="0"/>
              <w:contextualSpacing/>
              <w:jc w:val="both"/>
              <w:rPr>
                <w:rFonts w:ascii="Times" w:hAnsi="Times" w:cs="Times"/>
                <w:color w:val="auto"/>
                <w:sz w:val="22"/>
                <w:szCs w:val="22"/>
                <w:lang w:val="en-US"/>
              </w:rPr>
            </w:pPr>
            <w:r w:rsidRPr="00747611">
              <w:rPr>
                <w:rFonts w:ascii="Times" w:hAnsi="Times" w:cs="Times"/>
                <w:color w:val="auto"/>
                <w:sz w:val="22"/>
                <w:szCs w:val="22"/>
                <w:lang w:val="en-US"/>
              </w:rPr>
              <w:t>98,82</w:t>
            </w:r>
          </w:p>
        </w:tc>
      </w:tr>
      <w:tr w:rsidR="00645990" w:rsidRPr="00747611" w14:paraId="68F31F60" w14:textId="77777777" w:rsidTr="00243C6D">
        <w:tc>
          <w:tcPr>
            <w:tcW w:w="2837" w:type="dxa"/>
          </w:tcPr>
          <w:p w14:paraId="703D3FD5" w14:textId="77777777" w:rsidR="00645990" w:rsidRPr="00747611" w:rsidRDefault="00645990" w:rsidP="009072FB">
            <w:pPr>
              <w:widowControl w:val="0"/>
              <w:autoSpaceDE w:val="0"/>
              <w:autoSpaceDN w:val="0"/>
              <w:adjustRightInd w:val="0"/>
              <w:contextualSpacing/>
              <w:jc w:val="both"/>
              <w:rPr>
                <w:rFonts w:ascii="Times" w:hAnsi="Times" w:cs="Times"/>
                <w:color w:val="auto"/>
                <w:sz w:val="22"/>
                <w:szCs w:val="22"/>
                <w:lang w:val="en-US"/>
              </w:rPr>
            </w:pPr>
            <w:r w:rsidRPr="00747611">
              <w:rPr>
                <w:rFonts w:ascii="Times" w:hAnsi="Times" w:cs="Times New Roman"/>
                <w:noProof/>
                <w:color w:val="auto"/>
                <w:sz w:val="22"/>
                <w:szCs w:val="22"/>
              </w:rPr>
              <w:t>Sul</w:t>
            </w:r>
          </w:p>
        </w:tc>
        <w:tc>
          <w:tcPr>
            <w:tcW w:w="1419" w:type="dxa"/>
          </w:tcPr>
          <w:p w14:paraId="78C6B387" w14:textId="77777777" w:rsidR="00645990" w:rsidRPr="00747611" w:rsidRDefault="00AF1A84" w:rsidP="009072FB">
            <w:pPr>
              <w:widowControl w:val="0"/>
              <w:autoSpaceDE w:val="0"/>
              <w:autoSpaceDN w:val="0"/>
              <w:adjustRightInd w:val="0"/>
              <w:contextualSpacing/>
              <w:jc w:val="both"/>
              <w:rPr>
                <w:rFonts w:ascii="Times" w:hAnsi="Times" w:cs="Times"/>
                <w:color w:val="auto"/>
                <w:sz w:val="22"/>
                <w:szCs w:val="22"/>
                <w:lang w:val="en-US"/>
              </w:rPr>
            </w:pPr>
            <w:r w:rsidRPr="00747611">
              <w:rPr>
                <w:rFonts w:ascii="Times" w:hAnsi="Times" w:cs="Times New Roman"/>
                <w:noProof/>
                <w:color w:val="auto"/>
                <w:sz w:val="22"/>
                <w:szCs w:val="22"/>
              </w:rPr>
              <w:t>92,16</w:t>
            </w:r>
          </w:p>
        </w:tc>
        <w:tc>
          <w:tcPr>
            <w:tcW w:w="1420" w:type="dxa"/>
          </w:tcPr>
          <w:p w14:paraId="79E24AA2" w14:textId="77777777" w:rsidR="00645990" w:rsidRPr="00747611" w:rsidRDefault="00AF1A84" w:rsidP="009072FB">
            <w:pPr>
              <w:widowControl w:val="0"/>
              <w:autoSpaceDE w:val="0"/>
              <w:autoSpaceDN w:val="0"/>
              <w:adjustRightInd w:val="0"/>
              <w:contextualSpacing/>
              <w:jc w:val="both"/>
              <w:rPr>
                <w:rFonts w:ascii="Times" w:hAnsi="Times" w:cs="Times New Roman"/>
                <w:noProof/>
                <w:color w:val="auto"/>
                <w:sz w:val="22"/>
                <w:szCs w:val="22"/>
              </w:rPr>
            </w:pPr>
            <w:r w:rsidRPr="00747611">
              <w:rPr>
                <w:rFonts w:ascii="Times" w:hAnsi="Times" w:cs="Times"/>
                <w:color w:val="auto"/>
                <w:sz w:val="22"/>
                <w:szCs w:val="22"/>
                <w:lang w:val="en-US"/>
              </w:rPr>
              <w:t>94,87</w:t>
            </w:r>
          </w:p>
        </w:tc>
        <w:tc>
          <w:tcPr>
            <w:tcW w:w="1420" w:type="dxa"/>
          </w:tcPr>
          <w:p w14:paraId="79562E25" w14:textId="77777777" w:rsidR="00645990" w:rsidRPr="00747611" w:rsidRDefault="00645990" w:rsidP="009072FB">
            <w:pPr>
              <w:widowControl w:val="0"/>
              <w:autoSpaceDE w:val="0"/>
              <w:autoSpaceDN w:val="0"/>
              <w:adjustRightInd w:val="0"/>
              <w:contextualSpacing/>
              <w:jc w:val="both"/>
              <w:rPr>
                <w:rFonts w:ascii="Times" w:hAnsi="Times" w:cs="Times New Roman"/>
                <w:noProof/>
                <w:color w:val="auto"/>
                <w:sz w:val="22"/>
                <w:szCs w:val="22"/>
              </w:rPr>
            </w:pPr>
            <w:r w:rsidRPr="00747611">
              <w:rPr>
                <w:rFonts w:ascii="Times" w:hAnsi="Times" w:cs="Times New Roman"/>
                <w:noProof/>
                <w:color w:val="auto"/>
                <w:sz w:val="22"/>
                <w:szCs w:val="22"/>
              </w:rPr>
              <w:t>97</w:t>
            </w:r>
            <w:r w:rsidR="002B652F" w:rsidRPr="00747611">
              <w:rPr>
                <w:rFonts w:ascii="Times" w:hAnsi="Times" w:cs="Times New Roman"/>
                <w:noProof/>
                <w:color w:val="auto"/>
                <w:sz w:val="22"/>
                <w:szCs w:val="22"/>
              </w:rPr>
              <w:t>,73</w:t>
            </w:r>
          </w:p>
        </w:tc>
        <w:tc>
          <w:tcPr>
            <w:tcW w:w="1420" w:type="dxa"/>
          </w:tcPr>
          <w:p w14:paraId="7A354709" w14:textId="77777777" w:rsidR="00645990" w:rsidRPr="00747611" w:rsidRDefault="002B652F" w:rsidP="009072FB">
            <w:pPr>
              <w:widowControl w:val="0"/>
              <w:autoSpaceDE w:val="0"/>
              <w:autoSpaceDN w:val="0"/>
              <w:adjustRightInd w:val="0"/>
              <w:contextualSpacing/>
              <w:jc w:val="both"/>
              <w:rPr>
                <w:rFonts w:ascii="Times" w:hAnsi="Times" w:cs="Times"/>
                <w:color w:val="auto"/>
                <w:sz w:val="22"/>
                <w:szCs w:val="22"/>
                <w:lang w:val="en-US"/>
              </w:rPr>
            </w:pPr>
            <w:r w:rsidRPr="00747611">
              <w:rPr>
                <w:rFonts w:ascii="Times" w:hAnsi="Times" w:cs="Times"/>
                <w:color w:val="auto"/>
                <w:sz w:val="22"/>
                <w:szCs w:val="22"/>
                <w:lang w:val="en-US"/>
              </w:rPr>
              <w:t>99,73</w:t>
            </w:r>
          </w:p>
        </w:tc>
      </w:tr>
      <w:tr w:rsidR="00645990" w:rsidRPr="00747611" w14:paraId="6EF42076" w14:textId="77777777" w:rsidTr="00243C6D">
        <w:tc>
          <w:tcPr>
            <w:tcW w:w="2837" w:type="dxa"/>
          </w:tcPr>
          <w:p w14:paraId="5207907F" w14:textId="77777777" w:rsidR="00645990" w:rsidRPr="00747611" w:rsidRDefault="00645990" w:rsidP="009072FB">
            <w:pPr>
              <w:widowControl w:val="0"/>
              <w:autoSpaceDE w:val="0"/>
              <w:autoSpaceDN w:val="0"/>
              <w:adjustRightInd w:val="0"/>
              <w:contextualSpacing/>
              <w:jc w:val="both"/>
              <w:rPr>
                <w:rFonts w:ascii="Times" w:hAnsi="Times" w:cs="Times"/>
                <w:color w:val="auto"/>
                <w:sz w:val="22"/>
                <w:szCs w:val="22"/>
                <w:lang w:val="en-US"/>
              </w:rPr>
            </w:pPr>
            <w:r w:rsidRPr="00747611">
              <w:rPr>
                <w:rFonts w:ascii="Times" w:hAnsi="Times" w:cs="Times New Roman"/>
                <w:noProof/>
                <w:color w:val="auto"/>
                <w:sz w:val="22"/>
                <w:szCs w:val="22"/>
              </w:rPr>
              <w:t>Paraná</w:t>
            </w:r>
          </w:p>
        </w:tc>
        <w:tc>
          <w:tcPr>
            <w:tcW w:w="1419" w:type="dxa"/>
          </w:tcPr>
          <w:p w14:paraId="073F4430" w14:textId="77777777" w:rsidR="00645990" w:rsidRPr="00747611" w:rsidRDefault="002B652F" w:rsidP="009072FB">
            <w:pPr>
              <w:widowControl w:val="0"/>
              <w:autoSpaceDE w:val="0"/>
              <w:autoSpaceDN w:val="0"/>
              <w:adjustRightInd w:val="0"/>
              <w:contextualSpacing/>
              <w:jc w:val="both"/>
              <w:rPr>
                <w:rFonts w:ascii="Times" w:hAnsi="Times" w:cs="Times"/>
                <w:color w:val="auto"/>
                <w:sz w:val="22"/>
                <w:szCs w:val="22"/>
                <w:lang w:val="en-US"/>
              </w:rPr>
            </w:pPr>
            <w:r w:rsidRPr="00747611">
              <w:rPr>
                <w:rFonts w:ascii="Times" w:hAnsi="Times" w:cs="Times"/>
                <w:color w:val="auto"/>
                <w:sz w:val="22"/>
                <w:szCs w:val="22"/>
                <w:lang w:val="en-US"/>
              </w:rPr>
              <w:t>97,15</w:t>
            </w:r>
          </w:p>
        </w:tc>
        <w:tc>
          <w:tcPr>
            <w:tcW w:w="1420" w:type="dxa"/>
          </w:tcPr>
          <w:p w14:paraId="21279611" w14:textId="77777777" w:rsidR="00645990" w:rsidRPr="00747611" w:rsidRDefault="002B652F" w:rsidP="009072FB">
            <w:pPr>
              <w:widowControl w:val="0"/>
              <w:autoSpaceDE w:val="0"/>
              <w:autoSpaceDN w:val="0"/>
              <w:adjustRightInd w:val="0"/>
              <w:contextualSpacing/>
              <w:jc w:val="both"/>
              <w:rPr>
                <w:rFonts w:ascii="Times" w:hAnsi="Times" w:cs="Times New Roman"/>
                <w:noProof/>
                <w:color w:val="auto"/>
                <w:sz w:val="22"/>
                <w:szCs w:val="22"/>
              </w:rPr>
            </w:pPr>
            <w:r w:rsidRPr="00747611">
              <w:rPr>
                <w:rFonts w:ascii="Times" w:hAnsi="Times" w:cs="Times New Roman"/>
                <w:noProof/>
                <w:color w:val="auto"/>
                <w:sz w:val="22"/>
                <w:szCs w:val="22"/>
              </w:rPr>
              <w:t>93,54</w:t>
            </w:r>
          </w:p>
        </w:tc>
        <w:tc>
          <w:tcPr>
            <w:tcW w:w="1420" w:type="dxa"/>
          </w:tcPr>
          <w:p w14:paraId="06B4DF99" w14:textId="77777777" w:rsidR="00645990" w:rsidRPr="00747611" w:rsidRDefault="002B652F" w:rsidP="009072FB">
            <w:pPr>
              <w:widowControl w:val="0"/>
              <w:autoSpaceDE w:val="0"/>
              <w:autoSpaceDN w:val="0"/>
              <w:adjustRightInd w:val="0"/>
              <w:contextualSpacing/>
              <w:jc w:val="both"/>
              <w:rPr>
                <w:rFonts w:ascii="Times" w:hAnsi="Times" w:cs="Times New Roman"/>
                <w:noProof/>
                <w:color w:val="auto"/>
                <w:sz w:val="22"/>
                <w:szCs w:val="22"/>
              </w:rPr>
            </w:pPr>
            <w:r w:rsidRPr="00747611">
              <w:rPr>
                <w:rFonts w:ascii="Times" w:hAnsi="Times" w:cs="Times New Roman"/>
                <w:noProof/>
                <w:color w:val="auto"/>
                <w:sz w:val="22"/>
                <w:szCs w:val="22"/>
              </w:rPr>
              <w:t>97,24</w:t>
            </w:r>
          </w:p>
        </w:tc>
        <w:tc>
          <w:tcPr>
            <w:tcW w:w="1420" w:type="dxa"/>
          </w:tcPr>
          <w:p w14:paraId="63F2A6C1" w14:textId="77777777" w:rsidR="00645990" w:rsidRPr="00747611" w:rsidRDefault="002B652F" w:rsidP="009072FB">
            <w:pPr>
              <w:widowControl w:val="0"/>
              <w:autoSpaceDE w:val="0"/>
              <w:autoSpaceDN w:val="0"/>
              <w:adjustRightInd w:val="0"/>
              <w:contextualSpacing/>
              <w:jc w:val="both"/>
              <w:rPr>
                <w:rFonts w:ascii="Times" w:hAnsi="Times" w:cs="Times"/>
                <w:color w:val="auto"/>
                <w:sz w:val="22"/>
                <w:szCs w:val="22"/>
                <w:lang w:val="en-US"/>
              </w:rPr>
            </w:pPr>
            <w:r w:rsidRPr="00747611">
              <w:rPr>
                <w:rFonts w:ascii="Times" w:hAnsi="Times" w:cs="Times"/>
                <w:color w:val="auto"/>
                <w:sz w:val="22"/>
                <w:szCs w:val="22"/>
                <w:lang w:val="en-US"/>
              </w:rPr>
              <w:t>99,63</w:t>
            </w:r>
          </w:p>
        </w:tc>
      </w:tr>
      <w:tr w:rsidR="00645990" w:rsidRPr="00747611" w14:paraId="70CD6C3D" w14:textId="77777777" w:rsidTr="00243C6D">
        <w:tc>
          <w:tcPr>
            <w:tcW w:w="2837" w:type="dxa"/>
          </w:tcPr>
          <w:p w14:paraId="268E53B8" w14:textId="77777777" w:rsidR="00645990" w:rsidRPr="00747611" w:rsidRDefault="00645990" w:rsidP="009072FB">
            <w:pPr>
              <w:widowControl w:val="0"/>
              <w:autoSpaceDE w:val="0"/>
              <w:autoSpaceDN w:val="0"/>
              <w:adjustRightInd w:val="0"/>
              <w:contextualSpacing/>
              <w:jc w:val="both"/>
              <w:rPr>
                <w:rFonts w:ascii="Times" w:hAnsi="Times" w:cs="Times"/>
                <w:color w:val="auto"/>
                <w:sz w:val="22"/>
                <w:szCs w:val="22"/>
                <w:lang w:val="en-US"/>
              </w:rPr>
            </w:pPr>
            <w:r w:rsidRPr="00747611">
              <w:rPr>
                <w:rFonts w:ascii="Times" w:hAnsi="Times" w:cs="Times New Roman"/>
                <w:noProof/>
                <w:color w:val="auto"/>
                <w:sz w:val="22"/>
                <w:szCs w:val="22"/>
              </w:rPr>
              <w:t>Santa Catarina</w:t>
            </w:r>
          </w:p>
        </w:tc>
        <w:tc>
          <w:tcPr>
            <w:tcW w:w="1419" w:type="dxa"/>
          </w:tcPr>
          <w:p w14:paraId="3D2E6F45" w14:textId="77777777" w:rsidR="00645990" w:rsidRPr="00747611" w:rsidRDefault="002B652F" w:rsidP="009072FB">
            <w:pPr>
              <w:widowControl w:val="0"/>
              <w:autoSpaceDE w:val="0"/>
              <w:autoSpaceDN w:val="0"/>
              <w:adjustRightInd w:val="0"/>
              <w:contextualSpacing/>
              <w:jc w:val="both"/>
              <w:rPr>
                <w:rFonts w:ascii="Times" w:hAnsi="Times" w:cs="Times"/>
                <w:color w:val="auto"/>
                <w:sz w:val="22"/>
                <w:szCs w:val="22"/>
                <w:lang w:val="en-US"/>
              </w:rPr>
            </w:pPr>
            <w:r w:rsidRPr="00747611">
              <w:rPr>
                <w:rFonts w:ascii="Times" w:hAnsi="Times" w:cs="Times"/>
                <w:color w:val="auto"/>
                <w:sz w:val="22"/>
                <w:szCs w:val="22"/>
                <w:lang w:val="en-US"/>
              </w:rPr>
              <w:t>90,37</w:t>
            </w:r>
          </w:p>
        </w:tc>
        <w:tc>
          <w:tcPr>
            <w:tcW w:w="1420" w:type="dxa"/>
          </w:tcPr>
          <w:p w14:paraId="396F7119" w14:textId="77777777" w:rsidR="00645990" w:rsidRPr="00747611" w:rsidRDefault="00645990" w:rsidP="009072FB">
            <w:pPr>
              <w:widowControl w:val="0"/>
              <w:autoSpaceDE w:val="0"/>
              <w:autoSpaceDN w:val="0"/>
              <w:adjustRightInd w:val="0"/>
              <w:contextualSpacing/>
              <w:jc w:val="both"/>
              <w:rPr>
                <w:rFonts w:ascii="Times" w:hAnsi="Times" w:cs="Times"/>
                <w:color w:val="auto"/>
                <w:sz w:val="22"/>
                <w:szCs w:val="22"/>
                <w:lang w:val="en-US"/>
              </w:rPr>
            </w:pPr>
            <w:r w:rsidRPr="00747611">
              <w:rPr>
                <w:rFonts w:ascii="Times" w:hAnsi="Times" w:cs="Times"/>
                <w:color w:val="auto"/>
                <w:sz w:val="22"/>
                <w:szCs w:val="22"/>
                <w:lang w:val="en-US"/>
              </w:rPr>
              <w:t>91,9</w:t>
            </w:r>
            <w:r w:rsidR="002B652F" w:rsidRPr="00747611">
              <w:rPr>
                <w:rFonts w:ascii="Times" w:hAnsi="Times" w:cs="Times"/>
                <w:color w:val="auto"/>
                <w:sz w:val="22"/>
                <w:szCs w:val="22"/>
                <w:lang w:val="en-US"/>
              </w:rPr>
              <w:t>1</w:t>
            </w:r>
          </w:p>
        </w:tc>
        <w:tc>
          <w:tcPr>
            <w:tcW w:w="1420" w:type="dxa"/>
          </w:tcPr>
          <w:p w14:paraId="0352AD6B" w14:textId="77777777" w:rsidR="00645990" w:rsidRPr="00747611" w:rsidRDefault="00645990" w:rsidP="009072FB">
            <w:pPr>
              <w:widowControl w:val="0"/>
              <w:autoSpaceDE w:val="0"/>
              <w:autoSpaceDN w:val="0"/>
              <w:adjustRightInd w:val="0"/>
              <w:contextualSpacing/>
              <w:jc w:val="both"/>
              <w:rPr>
                <w:rFonts w:ascii="Times" w:hAnsi="Times" w:cs="Times"/>
                <w:color w:val="auto"/>
                <w:sz w:val="22"/>
                <w:szCs w:val="22"/>
                <w:lang w:val="en-US"/>
              </w:rPr>
            </w:pPr>
            <w:r w:rsidRPr="00747611">
              <w:rPr>
                <w:rFonts w:ascii="Times" w:hAnsi="Times" w:cs="Times"/>
                <w:color w:val="auto"/>
                <w:sz w:val="22"/>
                <w:szCs w:val="22"/>
                <w:lang w:val="en-US"/>
              </w:rPr>
              <w:t>99</w:t>
            </w:r>
            <w:r w:rsidR="002B652F" w:rsidRPr="00747611">
              <w:rPr>
                <w:rFonts w:ascii="Times" w:hAnsi="Times" w:cs="Times"/>
                <w:color w:val="auto"/>
                <w:sz w:val="22"/>
                <w:szCs w:val="22"/>
                <w:lang w:val="en-US"/>
              </w:rPr>
              <w:t>,03</w:t>
            </w:r>
          </w:p>
        </w:tc>
        <w:tc>
          <w:tcPr>
            <w:tcW w:w="1420" w:type="dxa"/>
          </w:tcPr>
          <w:p w14:paraId="15D3937A" w14:textId="77777777" w:rsidR="00645990" w:rsidRPr="00747611" w:rsidRDefault="00755597" w:rsidP="009072FB">
            <w:pPr>
              <w:widowControl w:val="0"/>
              <w:autoSpaceDE w:val="0"/>
              <w:autoSpaceDN w:val="0"/>
              <w:adjustRightInd w:val="0"/>
              <w:contextualSpacing/>
              <w:jc w:val="both"/>
              <w:rPr>
                <w:rFonts w:ascii="Times" w:hAnsi="Times" w:cs="Times"/>
                <w:color w:val="auto"/>
                <w:sz w:val="22"/>
                <w:szCs w:val="22"/>
                <w:lang w:val="en-US"/>
              </w:rPr>
            </w:pPr>
            <w:r w:rsidRPr="00747611">
              <w:rPr>
                <w:rFonts w:ascii="Times" w:hAnsi="Times" w:cs="Times"/>
                <w:color w:val="auto"/>
                <w:sz w:val="22"/>
                <w:szCs w:val="22"/>
                <w:lang w:val="en-US"/>
              </w:rPr>
              <w:t>99,</w:t>
            </w:r>
            <w:r w:rsidR="002B652F" w:rsidRPr="00747611">
              <w:rPr>
                <w:rFonts w:ascii="Times" w:hAnsi="Times" w:cs="Times"/>
                <w:color w:val="auto"/>
                <w:sz w:val="22"/>
                <w:szCs w:val="22"/>
                <w:lang w:val="en-US"/>
              </w:rPr>
              <w:t>97</w:t>
            </w:r>
          </w:p>
        </w:tc>
      </w:tr>
      <w:tr w:rsidR="00645990" w:rsidRPr="00747611" w14:paraId="619D1546" w14:textId="77777777" w:rsidTr="00243C6D">
        <w:tc>
          <w:tcPr>
            <w:tcW w:w="2837" w:type="dxa"/>
          </w:tcPr>
          <w:p w14:paraId="13BE447E" w14:textId="77777777" w:rsidR="00645990" w:rsidRPr="00747611" w:rsidRDefault="00645990" w:rsidP="009072FB">
            <w:pPr>
              <w:widowControl w:val="0"/>
              <w:autoSpaceDE w:val="0"/>
              <w:autoSpaceDN w:val="0"/>
              <w:adjustRightInd w:val="0"/>
              <w:contextualSpacing/>
              <w:jc w:val="both"/>
              <w:rPr>
                <w:rFonts w:ascii="Times" w:hAnsi="Times" w:cs="Times"/>
                <w:color w:val="auto"/>
                <w:sz w:val="22"/>
                <w:szCs w:val="22"/>
                <w:lang w:val="en-US"/>
              </w:rPr>
            </w:pPr>
            <w:r w:rsidRPr="00747611">
              <w:rPr>
                <w:rFonts w:ascii="Times" w:hAnsi="Times" w:cs="Times New Roman"/>
                <w:noProof/>
                <w:color w:val="auto"/>
                <w:sz w:val="22"/>
                <w:szCs w:val="22"/>
              </w:rPr>
              <w:t>Rio G. do Sul</w:t>
            </w:r>
          </w:p>
        </w:tc>
        <w:tc>
          <w:tcPr>
            <w:tcW w:w="1419" w:type="dxa"/>
          </w:tcPr>
          <w:p w14:paraId="055651A5" w14:textId="77777777" w:rsidR="00645990" w:rsidRPr="00747611" w:rsidRDefault="00645990" w:rsidP="009072FB">
            <w:pPr>
              <w:widowControl w:val="0"/>
              <w:autoSpaceDE w:val="0"/>
              <w:autoSpaceDN w:val="0"/>
              <w:adjustRightInd w:val="0"/>
              <w:contextualSpacing/>
              <w:jc w:val="both"/>
              <w:rPr>
                <w:rFonts w:ascii="Times" w:hAnsi="Times" w:cs="Times"/>
                <w:color w:val="auto"/>
                <w:sz w:val="22"/>
                <w:szCs w:val="22"/>
                <w:lang w:val="en-US"/>
              </w:rPr>
            </w:pPr>
            <w:r w:rsidRPr="00747611">
              <w:rPr>
                <w:rFonts w:ascii="Times" w:hAnsi="Times" w:cs="Times"/>
                <w:color w:val="auto"/>
                <w:sz w:val="22"/>
                <w:szCs w:val="22"/>
                <w:lang w:val="en-US"/>
              </w:rPr>
              <w:t>91,8</w:t>
            </w:r>
          </w:p>
        </w:tc>
        <w:tc>
          <w:tcPr>
            <w:tcW w:w="1420" w:type="dxa"/>
          </w:tcPr>
          <w:p w14:paraId="5B86DF70" w14:textId="77777777" w:rsidR="00645990" w:rsidRPr="00747611" w:rsidRDefault="00645990" w:rsidP="009072FB">
            <w:pPr>
              <w:widowControl w:val="0"/>
              <w:autoSpaceDE w:val="0"/>
              <w:autoSpaceDN w:val="0"/>
              <w:adjustRightInd w:val="0"/>
              <w:contextualSpacing/>
              <w:jc w:val="both"/>
              <w:rPr>
                <w:rFonts w:ascii="Times" w:hAnsi="Times" w:cs="Times New Roman"/>
                <w:noProof/>
                <w:color w:val="auto"/>
                <w:sz w:val="22"/>
                <w:szCs w:val="22"/>
              </w:rPr>
            </w:pPr>
            <w:r w:rsidRPr="00747611">
              <w:rPr>
                <w:rFonts w:ascii="Times" w:hAnsi="Times" w:cs="Times New Roman"/>
                <w:noProof/>
                <w:color w:val="auto"/>
                <w:sz w:val="22"/>
                <w:szCs w:val="22"/>
              </w:rPr>
              <w:t>94,3</w:t>
            </w:r>
            <w:r w:rsidR="002B652F" w:rsidRPr="00747611">
              <w:rPr>
                <w:rFonts w:ascii="Times" w:hAnsi="Times" w:cs="Times New Roman"/>
                <w:noProof/>
                <w:color w:val="auto"/>
                <w:sz w:val="22"/>
                <w:szCs w:val="22"/>
              </w:rPr>
              <w:t>1</w:t>
            </w:r>
          </w:p>
        </w:tc>
        <w:tc>
          <w:tcPr>
            <w:tcW w:w="1420" w:type="dxa"/>
          </w:tcPr>
          <w:p w14:paraId="6036A3E0" w14:textId="77777777" w:rsidR="00645990" w:rsidRPr="00747611" w:rsidRDefault="002B652F" w:rsidP="009072FB">
            <w:pPr>
              <w:widowControl w:val="0"/>
              <w:autoSpaceDE w:val="0"/>
              <w:autoSpaceDN w:val="0"/>
              <w:adjustRightInd w:val="0"/>
              <w:contextualSpacing/>
              <w:jc w:val="both"/>
              <w:rPr>
                <w:rFonts w:ascii="Times" w:hAnsi="Times" w:cs="Times New Roman"/>
                <w:noProof/>
                <w:color w:val="auto"/>
                <w:sz w:val="22"/>
                <w:szCs w:val="22"/>
              </w:rPr>
            </w:pPr>
            <w:r w:rsidRPr="00747611">
              <w:rPr>
                <w:rFonts w:ascii="Times" w:hAnsi="Times" w:cs="Times New Roman"/>
                <w:noProof/>
                <w:color w:val="auto"/>
                <w:sz w:val="22"/>
                <w:szCs w:val="22"/>
              </w:rPr>
              <w:t>97,49</w:t>
            </w:r>
          </w:p>
        </w:tc>
        <w:tc>
          <w:tcPr>
            <w:tcW w:w="1420" w:type="dxa"/>
          </w:tcPr>
          <w:p w14:paraId="2B39C090" w14:textId="77777777" w:rsidR="00645990" w:rsidRPr="00747611" w:rsidRDefault="002B652F" w:rsidP="009072FB">
            <w:pPr>
              <w:widowControl w:val="0"/>
              <w:autoSpaceDE w:val="0"/>
              <w:autoSpaceDN w:val="0"/>
              <w:adjustRightInd w:val="0"/>
              <w:contextualSpacing/>
              <w:jc w:val="both"/>
              <w:rPr>
                <w:rFonts w:ascii="Times" w:hAnsi="Times" w:cs="Times"/>
                <w:color w:val="auto"/>
                <w:sz w:val="22"/>
                <w:szCs w:val="22"/>
                <w:lang w:val="en-US"/>
              </w:rPr>
            </w:pPr>
            <w:r w:rsidRPr="00747611">
              <w:rPr>
                <w:rFonts w:ascii="Times" w:hAnsi="Times" w:cs="Times"/>
                <w:color w:val="auto"/>
                <w:sz w:val="22"/>
                <w:szCs w:val="22"/>
                <w:lang w:val="en-US"/>
              </w:rPr>
              <w:t>99,7</w:t>
            </w:r>
          </w:p>
        </w:tc>
      </w:tr>
    </w:tbl>
    <w:p w14:paraId="62460AC6" w14:textId="77777777" w:rsidR="00645990" w:rsidRPr="005C551A" w:rsidRDefault="00645990" w:rsidP="00347B57">
      <w:pPr>
        <w:widowControl w:val="0"/>
        <w:autoSpaceDE w:val="0"/>
        <w:autoSpaceDN w:val="0"/>
        <w:adjustRightInd w:val="0"/>
        <w:spacing w:line="360" w:lineRule="auto"/>
        <w:contextualSpacing/>
        <w:jc w:val="both"/>
        <w:rPr>
          <w:rFonts w:ascii="Times" w:hAnsi="Times" w:cs="Times New Roman"/>
          <w:noProof/>
          <w:sz w:val="20"/>
          <w:szCs w:val="20"/>
        </w:rPr>
      </w:pPr>
      <w:r w:rsidRPr="005C551A">
        <w:rPr>
          <w:rFonts w:ascii="Times" w:hAnsi="Times" w:cs="Times New Roman"/>
          <w:noProof/>
          <w:sz w:val="20"/>
          <w:szCs w:val="20"/>
        </w:rPr>
        <w:t>Fonte:</w:t>
      </w:r>
      <w:r w:rsidR="002B652F" w:rsidRPr="005C551A">
        <w:rPr>
          <w:rFonts w:ascii="Times" w:hAnsi="Times" w:cs="Times New Roman"/>
          <w:noProof/>
          <w:sz w:val="20"/>
          <w:szCs w:val="20"/>
        </w:rPr>
        <w:t>IPEA (2013)</w:t>
      </w:r>
    </w:p>
    <w:p w14:paraId="341840CC" w14:textId="3BD7587C" w:rsidR="00D60843" w:rsidRPr="006077AF" w:rsidRDefault="00815EFA" w:rsidP="00AF27CC">
      <w:pPr>
        <w:widowControl w:val="0"/>
        <w:autoSpaceDE w:val="0"/>
        <w:autoSpaceDN w:val="0"/>
        <w:adjustRightInd w:val="0"/>
        <w:spacing w:line="360" w:lineRule="auto"/>
        <w:ind w:firstLine="720"/>
        <w:contextualSpacing/>
        <w:jc w:val="both"/>
        <w:rPr>
          <w:rFonts w:ascii="Times" w:hAnsi="Times" w:cs="Times New Roman"/>
        </w:rPr>
      </w:pPr>
      <w:r w:rsidRPr="006119A1">
        <w:rPr>
          <w:rFonts w:ascii="Times" w:hAnsi="Times"/>
        </w:rPr>
        <w:t>A análise dos</w:t>
      </w:r>
      <w:r w:rsidR="0002469C" w:rsidRPr="006119A1">
        <w:rPr>
          <w:rFonts w:ascii="Times" w:hAnsi="Times"/>
        </w:rPr>
        <w:t xml:space="preserve"> indicadores econômicos e sociais da Região Sul</w:t>
      </w:r>
      <w:r w:rsidR="0037474B">
        <w:rPr>
          <w:rFonts w:ascii="Times" w:hAnsi="Times"/>
        </w:rPr>
        <w:t xml:space="preserve"> no período analisado</w:t>
      </w:r>
      <w:r w:rsidR="008A658D" w:rsidRPr="006119A1">
        <w:rPr>
          <w:rFonts w:ascii="Times" w:hAnsi="Times" w:cs="Times New Roman"/>
        </w:rPr>
        <w:t xml:space="preserve"> </w:t>
      </w:r>
      <w:r w:rsidR="0002469C" w:rsidRPr="006119A1">
        <w:rPr>
          <w:rFonts w:ascii="Times" w:hAnsi="Times" w:cs="Times New Roman"/>
        </w:rPr>
        <w:lastRenderedPageBreak/>
        <w:t>pode</w:t>
      </w:r>
      <w:r w:rsidRPr="006119A1">
        <w:rPr>
          <w:rFonts w:ascii="Times" w:hAnsi="Times" w:cs="Times New Roman"/>
        </w:rPr>
        <w:t xml:space="preserve"> ser resumida. N</w:t>
      </w:r>
      <w:r w:rsidR="008A658D" w:rsidRPr="006119A1">
        <w:rPr>
          <w:rFonts w:ascii="Times" w:hAnsi="Times" w:cs="Times New Roman"/>
        </w:rPr>
        <w:t>o geral, a população sulista vive em melhores</w:t>
      </w:r>
      <w:r w:rsidR="0002469C" w:rsidRPr="006119A1">
        <w:rPr>
          <w:rFonts w:ascii="Times" w:hAnsi="Times" w:cs="Times New Roman"/>
        </w:rPr>
        <w:t xml:space="preserve"> condições que a média da população brasileira.</w:t>
      </w:r>
      <w:r w:rsidR="008A658D" w:rsidRPr="006119A1">
        <w:rPr>
          <w:rFonts w:ascii="Times" w:hAnsi="Times" w:cs="Times New Roman"/>
        </w:rPr>
        <w:t xml:space="preserve"> O PIB </w:t>
      </w:r>
      <w:r w:rsidR="008A658D" w:rsidRPr="006119A1">
        <w:rPr>
          <w:rFonts w:ascii="Times" w:hAnsi="Times" w:cs="Times New Roman"/>
          <w:i/>
        </w:rPr>
        <w:t>per capita</w:t>
      </w:r>
      <w:r w:rsidR="008A658D" w:rsidRPr="006119A1">
        <w:rPr>
          <w:rFonts w:ascii="Times" w:hAnsi="Times" w:cs="Times New Roman"/>
        </w:rPr>
        <w:t>, a escolaridade</w:t>
      </w:r>
      <w:r w:rsidR="00E05D8E">
        <w:rPr>
          <w:rFonts w:ascii="Times" w:hAnsi="Times" w:cs="Times New Roman"/>
        </w:rPr>
        <w:t xml:space="preserve"> e</w:t>
      </w:r>
      <w:r w:rsidR="008A658D" w:rsidRPr="006119A1">
        <w:rPr>
          <w:rFonts w:ascii="Times" w:hAnsi="Times" w:cs="Times New Roman"/>
        </w:rPr>
        <w:t xml:space="preserve"> o saneamento da região são mais elevados que os mesmo</w:t>
      </w:r>
      <w:r w:rsidR="005D4A77" w:rsidRPr="006119A1">
        <w:rPr>
          <w:rFonts w:ascii="Times" w:hAnsi="Times" w:cs="Times New Roman"/>
        </w:rPr>
        <w:t>s</w:t>
      </w:r>
      <w:r w:rsidR="008A658D" w:rsidRPr="006119A1">
        <w:rPr>
          <w:rFonts w:ascii="Times" w:hAnsi="Times" w:cs="Times New Roman"/>
        </w:rPr>
        <w:t xml:space="preserve"> índices do país</w:t>
      </w:r>
      <w:r w:rsidR="008036C5" w:rsidRPr="006119A1">
        <w:rPr>
          <w:rFonts w:ascii="Times" w:hAnsi="Times" w:cs="Times New Roman"/>
        </w:rPr>
        <w:t>,</w:t>
      </w:r>
      <w:r w:rsidR="008A658D" w:rsidRPr="006119A1">
        <w:rPr>
          <w:rFonts w:ascii="Times" w:hAnsi="Times" w:cs="Times New Roman"/>
        </w:rPr>
        <w:t xml:space="preserve"> enquanto a taxa de desemprego, a extrema pobreza e a </w:t>
      </w:r>
      <w:r w:rsidR="008A658D" w:rsidRPr="00A07316">
        <w:rPr>
          <w:rFonts w:ascii="Times" w:hAnsi="Times" w:cs="Times New Roman"/>
        </w:rPr>
        <w:t xml:space="preserve">mortalidade infantil </w:t>
      </w:r>
      <w:r w:rsidR="00571762" w:rsidRPr="00A07316">
        <w:rPr>
          <w:rFonts w:ascii="Times" w:hAnsi="Times" w:cs="Times New Roman"/>
        </w:rPr>
        <w:t>são mais baixos que os do país</w:t>
      </w:r>
      <w:r w:rsidR="00AF27CC">
        <w:rPr>
          <w:rFonts w:ascii="Times" w:hAnsi="Times" w:cs="Times New Roman"/>
        </w:rPr>
        <w:t xml:space="preserve">. </w:t>
      </w:r>
      <w:r w:rsidR="00CE5F34" w:rsidRPr="00A07316">
        <w:rPr>
          <w:rFonts w:ascii="Times" w:hAnsi="Times" w:cs="Times New Roman"/>
        </w:rPr>
        <w:t>Mas</w:t>
      </w:r>
      <w:r w:rsidR="00092E0A" w:rsidRPr="00A07316">
        <w:rPr>
          <w:rFonts w:ascii="Times" w:hAnsi="Times" w:cs="Times New Roman"/>
        </w:rPr>
        <w:t>,</w:t>
      </w:r>
      <w:r w:rsidR="00CE5F34" w:rsidRPr="00A07316">
        <w:rPr>
          <w:rFonts w:ascii="Times" w:hAnsi="Times" w:cs="Times New Roman"/>
        </w:rPr>
        <w:t xml:space="preserve"> intra</w:t>
      </w:r>
      <w:r w:rsidR="00C60470">
        <w:rPr>
          <w:rFonts w:ascii="Times" w:hAnsi="Times" w:cs="Times New Roman"/>
        </w:rPr>
        <w:t>r</w:t>
      </w:r>
      <w:r w:rsidR="00CE5F34" w:rsidRPr="00A07316">
        <w:rPr>
          <w:rFonts w:ascii="Times" w:hAnsi="Times" w:cs="Times New Roman"/>
        </w:rPr>
        <w:t>região, o estado do Paraná está em situação desfavorável em relação ao Sul</w:t>
      </w:r>
      <w:r w:rsidR="00AF27CC">
        <w:rPr>
          <w:rFonts w:ascii="Times" w:hAnsi="Times" w:cs="Times New Roman"/>
        </w:rPr>
        <w:t>, c</w:t>
      </w:r>
      <w:r w:rsidR="006436FA" w:rsidRPr="00A07316">
        <w:rPr>
          <w:rFonts w:ascii="Times" w:hAnsi="Times" w:cs="Times New Roman"/>
        </w:rPr>
        <w:t xml:space="preserve">om maior </w:t>
      </w:r>
      <w:r w:rsidR="00092E0A" w:rsidRPr="00A07316">
        <w:rPr>
          <w:rFonts w:ascii="Times" w:hAnsi="Times" w:cs="Times New Roman"/>
        </w:rPr>
        <w:t>í</w:t>
      </w:r>
      <w:r w:rsidR="006436FA" w:rsidRPr="00A07316">
        <w:rPr>
          <w:rFonts w:ascii="Times" w:hAnsi="Times" w:cs="Times New Roman"/>
        </w:rPr>
        <w:t>ndice de mortalidade infantil, ana</w:t>
      </w:r>
      <w:r w:rsidR="00092E0A" w:rsidRPr="00A07316">
        <w:rPr>
          <w:rFonts w:ascii="Times" w:hAnsi="Times" w:cs="Times New Roman"/>
        </w:rPr>
        <w:t>l</w:t>
      </w:r>
      <w:r w:rsidR="006436FA" w:rsidRPr="00A07316">
        <w:rPr>
          <w:rFonts w:ascii="Times" w:hAnsi="Times" w:cs="Times New Roman"/>
        </w:rPr>
        <w:t>fabetos, des</w:t>
      </w:r>
      <w:r w:rsidR="00092E0A" w:rsidRPr="00A07316">
        <w:rPr>
          <w:rFonts w:ascii="Times" w:hAnsi="Times" w:cs="Times New Roman"/>
        </w:rPr>
        <w:t>e</w:t>
      </w:r>
      <w:r w:rsidR="006436FA" w:rsidRPr="00A07316">
        <w:rPr>
          <w:rFonts w:ascii="Times" w:hAnsi="Times" w:cs="Times New Roman"/>
        </w:rPr>
        <w:t>mprego, maior</w:t>
      </w:r>
      <w:r w:rsidR="006436FA" w:rsidRPr="006077AF">
        <w:rPr>
          <w:rFonts w:ascii="Times" w:hAnsi="Times" w:cs="Times New Roman"/>
        </w:rPr>
        <w:t xml:space="preserve"> número de domic</w:t>
      </w:r>
      <w:r w:rsidR="00092E0A" w:rsidRPr="006077AF">
        <w:rPr>
          <w:rFonts w:ascii="Times" w:hAnsi="Times" w:cs="Times New Roman"/>
        </w:rPr>
        <w:t>í</w:t>
      </w:r>
      <w:r w:rsidR="006436FA" w:rsidRPr="006077AF">
        <w:rPr>
          <w:rFonts w:ascii="Times" w:hAnsi="Times" w:cs="Times New Roman"/>
        </w:rPr>
        <w:t>lios que vivem em extrema pobreza, menor renda média domiciliar e do trabalho</w:t>
      </w:r>
      <w:r w:rsidR="00AF27CC">
        <w:rPr>
          <w:rFonts w:ascii="Times" w:hAnsi="Times" w:cs="Times New Roman"/>
        </w:rPr>
        <w:t xml:space="preserve"> e</w:t>
      </w:r>
      <w:r w:rsidR="006436FA" w:rsidRPr="006077AF">
        <w:rPr>
          <w:rFonts w:ascii="Times" w:hAnsi="Times" w:cs="Times New Roman"/>
        </w:rPr>
        <w:t xml:space="preserve"> menor PIB </w:t>
      </w:r>
      <w:r w:rsidR="006436FA" w:rsidRPr="006077AF">
        <w:rPr>
          <w:rFonts w:ascii="Times" w:hAnsi="Times" w:cs="Times New Roman"/>
          <w:i/>
        </w:rPr>
        <w:t>per capita</w:t>
      </w:r>
      <w:r w:rsidR="006436FA" w:rsidRPr="006077AF">
        <w:rPr>
          <w:rFonts w:ascii="Times" w:hAnsi="Times" w:cs="Times New Roman"/>
        </w:rPr>
        <w:t>.</w:t>
      </w:r>
      <w:r w:rsidR="00BE6346">
        <w:rPr>
          <w:rFonts w:ascii="Times" w:hAnsi="Times" w:cs="Times New Roman"/>
        </w:rPr>
        <w:t xml:space="preserve"> Há aqui evidências do potencial de pesquisa econômica para o estado paranaense.</w:t>
      </w:r>
    </w:p>
    <w:p w14:paraId="217A970C" w14:textId="77777777" w:rsidR="006A7CAC" w:rsidRDefault="006A7CAC" w:rsidP="00347B57">
      <w:pPr>
        <w:spacing w:line="360" w:lineRule="auto"/>
        <w:contextualSpacing/>
        <w:jc w:val="both"/>
        <w:rPr>
          <w:rFonts w:ascii="Times" w:hAnsi="Times" w:cs="Times New Roman"/>
          <w:b/>
        </w:rPr>
      </w:pPr>
    </w:p>
    <w:p w14:paraId="77015F07" w14:textId="579901A1" w:rsidR="00FA60D9" w:rsidRPr="006119A1" w:rsidRDefault="006A7CAC" w:rsidP="00347B57">
      <w:pPr>
        <w:spacing w:line="360" w:lineRule="auto"/>
        <w:contextualSpacing/>
        <w:jc w:val="both"/>
        <w:rPr>
          <w:rFonts w:ascii="Times" w:hAnsi="Times" w:cs="Times New Roman"/>
          <w:b/>
        </w:rPr>
      </w:pPr>
      <w:r>
        <w:rPr>
          <w:rFonts w:ascii="Times" w:hAnsi="Times" w:cs="Times New Roman"/>
          <w:b/>
        </w:rPr>
        <w:t>3</w:t>
      </w:r>
      <w:r w:rsidR="00F334FA" w:rsidRPr="006119A1">
        <w:rPr>
          <w:rFonts w:ascii="Times" w:hAnsi="Times" w:cs="Times New Roman"/>
          <w:b/>
        </w:rPr>
        <w:t xml:space="preserve"> M</w:t>
      </w:r>
      <w:r w:rsidR="00241D80">
        <w:rPr>
          <w:rFonts w:ascii="Times" w:hAnsi="Times" w:cs="Times New Roman"/>
          <w:b/>
        </w:rPr>
        <w:t>ETODOLOGIA E BASE DE DADOS</w:t>
      </w:r>
    </w:p>
    <w:p w14:paraId="0AA78E2D" w14:textId="26F29352" w:rsidR="00FA60D9" w:rsidRPr="00C90F2E" w:rsidRDefault="006A7CAC" w:rsidP="00347B57">
      <w:pPr>
        <w:spacing w:line="360" w:lineRule="auto"/>
        <w:contextualSpacing/>
        <w:jc w:val="both"/>
        <w:rPr>
          <w:rFonts w:ascii="Times" w:hAnsi="Times" w:cs="Times New Roman"/>
          <w:b/>
        </w:rPr>
      </w:pPr>
      <w:r w:rsidRPr="00C90F2E">
        <w:rPr>
          <w:rFonts w:ascii="Times" w:hAnsi="Times" w:cs="Times New Roman"/>
          <w:b/>
        </w:rPr>
        <w:t>3</w:t>
      </w:r>
      <w:r w:rsidR="00197648">
        <w:rPr>
          <w:rFonts w:ascii="Times" w:hAnsi="Times" w:cs="Times New Roman"/>
          <w:b/>
        </w:rPr>
        <w:t xml:space="preserve">.1 </w:t>
      </w:r>
      <w:r w:rsidR="00FA60D9" w:rsidRPr="00C90F2E">
        <w:rPr>
          <w:rFonts w:ascii="Times" w:hAnsi="Times" w:cs="Times New Roman"/>
          <w:b/>
        </w:rPr>
        <w:t xml:space="preserve">Base de dados </w:t>
      </w:r>
    </w:p>
    <w:p w14:paraId="590606EC" w14:textId="4E5B7CBF" w:rsidR="00D60843" w:rsidRPr="00465932" w:rsidRDefault="00C96C0F" w:rsidP="00C96C0F">
      <w:pPr>
        <w:spacing w:line="360" w:lineRule="auto"/>
        <w:ind w:firstLine="709"/>
        <w:contextualSpacing/>
        <w:jc w:val="both"/>
        <w:rPr>
          <w:rFonts w:ascii="Times" w:hAnsi="Times"/>
        </w:rPr>
      </w:pPr>
      <w:r w:rsidRPr="006119A1">
        <w:rPr>
          <w:rFonts w:ascii="Times" w:hAnsi="Times" w:cs="Times New Roman"/>
        </w:rPr>
        <w:t xml:space="preserve">Para a decomposição do rendimento domiciliar </w:t>
      </w:r>
      <w:r w:rsidRPr="006119A1">
        <w:rPr>
          <w:rFonts w:ascii="Times" w:hAnsi="Times" w:cs="Times New Roman"/>
          <w:i/>
        </w:rPr>
        <w:t>per capita</w:t>
      </w:r>
      <w:r w:rsidRPr="006119A1">
        <w:rPr>
          <w:rFonts w:ascii="Times" w:hAnsi="Times" w:cs="Times New Roman"/>
        </w:rPr>
        <w:t xml:space="preserve"> </w:t>
      </w:r>
      <w:r>
        <w:rPr>
          <w:rFonts w:ascii="Times" w:hAnsi="Times" w:cs="Times New Roman"/>
        </w:rPr>
        <w:t xml:space="preserve">utilizou-se </w:t>
      </w:r>
      <w:r w:rsidRPr="006119A1">
        <w:rPr>
          <w:rFonts w:ascii="Times" w:hAnsi="Times" w:cs="Times New Roman"/>
        </w:rPr>
        <w:t xml:space="preserve">os microdados das PNADs </w:t>
      </w:r>
      <w:r w:rsidR="00F334FA" w:rsidRPr="00D62E25">
        <w:rPr>
          <w:rFonts w:ascii="Times" w:hAnsi="Times"/>
        </w:rPr>
        <w:t>para os anos</w:t>
      </w:r>
      <w:r w:rsidR="005E50B5" w:rsidRPr="00D62E25">
        <w:rPr>
          <w:rFonts w:ascii="Times" w:hAnsi="Times"/>
        </w:rPr>
        <w:t xml:space="preserve"> FHC e Lula</w:t>
      </w:r>
      <w:r w:rsidR="00EF497F" w:rsidRPr="00D62E25">
        <w:rPr>
          <w:rFonts w:ascii="Times" w:hAnsi="Times"/>
        </w:rPr>
        <w:t>,</w:t>
      </w:r>
      <w:r w:rsidR="00FA60D9" w:rsidRPr="006119A1">
        <w:rPr>
          <w:rFonts w:ascii="Times" w:hAnsi="Times"/>
        </w:rPr>
        <w:t xml:space="preserve"> para </w:t>
      </w:r>
      <w:r w:rsidR="00F334FA" w:rsidRPr="006119A1">
        <w:rPr>
          <w:rFonts w:ascii="Times" w:hAnsi="Times"/>
        </w:rPr>
        <w:t xml:space="preserve">o Brasil e </w:t>
      </w:r>
      <w:r w:rsidR="00FA60D9" w:rsidRPr="006119A1">
        <w:rPr>
          <w:rFonts w:ascii="Times" w:hAnsi="Times"/>
        </w:rPr>
        <w:t xml:space="preserve">a </w:t>
      </w:r>
      <w:r w:rsidR="00B82DFB" w:rsidRPr="006119A1">
        <w:rPr>
          <w:rFonts w:ascii="Times" w:hAnsi="Times"/>
        </w:rPr>
        <w:t>Região</w:t>
      </w:r>
      <w:r w:rsidR="00FA60D9" w:rsidRPr="006119A1">
        <w:rPr>
          <w:rFonts w:ascii="Times" w:hAnsi="Times"/>
        </w:rPr>
        <w:t xml:space="preserve"> Sul</w:t>
      </w:r>
      <w:r w:rsidR="00F334FA" w:rsidRPr="006119A1">
        <w:rPr>
          <w:rFonts w:ascii="Times" w:hAnsi="Times"/>
        </w:rPr>
        <w:t>.</w:t>
      </w:r>
      <w:r w:rsidR="00A86984" w:rsidRPr="006119A1">
        <w:rPr>
          <w:rFonts w:ascii="Times" w:hAnsi="Times"/>
        </w:rPr>
        <w:t xml:space="preserve"> </w:t>
      </w:r>
      <w:r w:rsidR="00C60470">
        <w:rPr>
          <w:rFonts w:ascii="Times" w:hAnsi="Times"/>
        </w:rPr>
        <w:t xml:space="preserve">Os dados referentes ao ano de 2010, último ano do governo Lula, não constam na pesquisa porque não houve Pnad 2010. </w:t>
      </w:r>
      <w:r w:rsidR="00EF497F" w:rsidRPr="006119A1">
        <w:rPr>
          <w:rFonts w:ascii="Times" w:hAnsi="Times"/>
        </w:rPr>
        <w:t>Os dados anteriores referentes às décadas de 1980 e 1990 são acrescentados para ilustrar a trajetória históri</w:t>
      </w:r>
      <w:r w:rsidR="00C83A5F">
        <w:rPr>
          <w:rFonts w:ascii="Times" w:hAnsi="Times"/>
        </w:rPr>
        <w:t xml:space="preserve">ca dos </w:t>
      </w:r>
      <w:r w:rsidR="00C83A5F" w:rsidRPr="00465932">
        <w:rPr>
          <w:rFonts w:ascii="Times" w:hAnsi="Times"/>
        </w:rPr>
        <w:t xml:space="preserve">indicadores e os dados referentes ao início do governo Dilma auxiliam na mostra da tendência </w:t>
      </w:r>
      <w:r w:rsidR="00C60470" w:rsidRPr="00465932">
        <w:rPr>
          <w:rFonts w:ascii="Times" w:hAnsi="Times"/>
        </w:rPr>
        <w:t xml:space="preserve">imediata </w:t>
      </w:r>
      <w:r w:rsidR="00C83A5F" w:rsidRPr="00465932">
        <w:rPr>
          <w:rFonts w:ascii="Times" w:hAnsi="Times"/>
        </w:rPr>
        <w:t>dos indicadores.</w:t>
      </w:r>
    </w:p>
    <w:p w14:paraId="57447CE0" w14:textId="77777777" w:rsidR="00A86984" w:rsidRPr="006119A1" w:rsidRDefault="00A86984" w:rsidP="00347B57">
      <w:pPr>
        <w:pStyle w:val="Pargrafo"/>
        <w:ind w:firstLine="709"/>
        <w:contextualSpacing/>
        <w:rPr>
          <w:rFonts w:ascii="Times" w:hAnsi="Times"/>
          <w:szCs w:val="24"/>
        </w:rPr>
      </w:pPr>
      <w:r w:rsidRPr="006119A1">
        <w:rPr>
          <w:rFonts w:ascii="Times" w:hAnsi="Times"/>
          <w:szCs w:val="24"/>
        </w:rPr>
        <w:t xml:space="preserve">A PNAD tem periodicidade anual desde 1971, sendo interrompida por ocasião dos Censos Demográficos (1970, 1980, 1991, 2000 e 2010). Trata-se de um levantamento anual realizado por meio de uma amostra dos domicílios que abrange todo o país, exceto a área rural dos </w:t>
      </w:r>
      <w:r w:rsidR="00446B89" w:rsidRPr="006119A1">
        <w:rPr>
          <w:rFonts w:ascii="Times" w:hAnsi="Times"/>
          <w:szCs w:val="24"/>
        </w:rPr>
        <w:t xml:space="preserve">Estados </w:t>
      </w:r>
      <w:r w:rsidRPr="006119A1">
        <w:rPr>
          <w:rFonts w:ascii="Times" w:hAnsi="Times"/>
          <w:szCs w:val="24"/>
        </w:rPr>
        <w:t xml:space="preserve">da antiga </w:t>
      </w:r>
      <w:r w:rsidR="00B82DFB" w:rsidRPr="006119A1">
        <w:rPr>
          <w:rFonts w:ascii="Times" w:hAnsi="Times"/>
          <w:szCs w:val="24"/>
        </w:rPr>
        <w:t>Região</w:t>
      </w:r>
      <w:r w:rsidRPr="006119A1">
        <w:rPr>
          <w:rFonts w:ascii="Times" w:hAnsi="Times"/>
          <w:szCs w:val="24"/>
        </w:rPr>
        <w:t xml:space="preserve"> Norte (Acre, Amapá, Amazonas, Pará, Rondônia e Roraima) até 2003. Em 2004, a PNAD foi implantada na área rural de Rondônia, Acre, Amazonas, Roraima, Pará e Amapá e alcançou a cobertura completa do território nacional.</w:t>
      </w:r>
    </w:p>
    <w:p w14:paraId="3FA01387" w14:textId="77777777" w:rsidR="00426384" w:rsidRDefault="00426384" w:rsidP="00347B57">
      <w:pPr>
        <w:spacing w:line="360" w:lineRule="auto"/>
        <w:contextualSpacing/>
        <w:jc w:val="both"/>
        <w:rPr>
          <w:rFonts w:ascii="Times" w:hAnsi="Times" w:cs="Times New Roman"/>
          <w:b/>
        </w:rPr>
      </w:pPr>
    </w:p>
    <w:p w14:paraId="56D58D73" w14:textId="73E552A2" w:rsidR="00501BC4" w:rsidRDefault="006A7CAC" w:rsidP="00347B57">
      <w:pPr>
        <w:spacing w:line="360" w:lineRule="auto"/>
        <w:contextualSpacing/>
        <w:jc w:val="both"/>
        <w:rPr>
          <w:rFonts w:ascii="Times" w:hAnsi="Times" w:cs="Times New Roman"/>
          <w:b/>
        </w:rPr>
      </w:pPr>
      <w:r w:rsidRPr="00C90F2E">
        <w:rPr>
          <w:rFonts w:ascii="Times" w:hAnsi="Times" w:cs="Times New Roman"/>
          <w:b/>
        </w:rPr>
        <w:t>3</w:t>
      </w:r>
      <w:r w:rsidR="00F334FA" w:rsidRPr="00C90F2E">
        <w:rPr>
          <w:rFonts w:ascii="Times" w:hAnsi="Times" w:cs="Times New Roman"/>
          <w:b/>
        </w:rPr>
        <w:t>.2</w:t>
      </w:r>
      <w:r w:rsidR="00730967" w:rsidRPr="00C90F2E">
        <w:rPr>
          <w:rFonts w:ascii="Times" w:hAnsi="Times" w:cs="Times New Roman"/>
          <w:b/>
        </w:rPr>
        <w:t xml:space="preserve"> </w:t>
      </w:r>
      <w:r w:rsidR="00501BC4">
        <w:rPr>
          <w:rFonts w:ascii="Times" w:hAnsi="Times" w:cs="Times New Roman"/>
          <w:b/>
        </w:rPr>
        <w:t xml:space="preserve"> Decomposição do Índice de Gini</w:t>
      </w:r>
      <w:r w:rsidR="00197648">
        <w:rPr>
          <w:rFonts w:ascii="Times" w:hAnsi="Times" w:cs="Times New Roman"/>
          <w:b/>
        </w:rPr>
        <w:t xml:space="preserve"> do rendimento domiciliar </w:t>
      </w:r>
      <w:r w:rsidR="00197648" w:rsidRPr="00197648">
        <w:rPr>
          <w:rFonts w:ascii="Times" w:hAnsi="Times" w:cs="Times New Roman"/>
          <w:b/>
          <w:i/>
        </w:rPr>
        <w:t>per capita</w:t>
      </w:r>
    </w:p>
    <w:p w14:paraId="2A810BDB" w14:textId="644D17A9" w:rsidR="00501BC4" w:rsidRPr="00501BC4" w:rsidRDefault="00501BC4" w:rsidP="00501BC4">
      <w:pPr>
        <w:spacing w:line="360" w:lineRule="auto"/>
        <w:ind w:firstLine="708"/>
        <w:jc w:val="both"/>
        <w:rPr>
          <w:rFonts w:ascii="Times New Roman" w:hAnsi="Times New Roman" w:cs="Times New Roman"/>
        </w:rPr>
      </w:pPr>
      <w:r w:rsidRPr="00501BC4">
        <w:rPr>
          <w:rFonts w:ascii="Times New Roman" w:hAnsi="Times New Roman" w:cs="Times New Roman"/>
        </w:rPr>
        <w:t>O índice de Gini pode ser decomposto quando se considera a divisão do rendimento analisado em vários componentes</w:t>
      </w:r>
      <w:r w:rsidRPr="00501BC4">
        <w:rPr>
          <w:rStyle w:val="Refdenotaderodap"/>
          <w:rFonts w:ascii="Times New Roman" w:hAnsi="Times New Roman" w:cs="Times New Roman"/>
        </w:rPr>
        <w:footnoteReference w:id="1"/>
      </w:r>
      <w:r w:rsidRPr="00501BC4">
        <w:rPr>
          <w:rFonts w:ascii="Times New Roman" w:hAnsi="Times New Roman" w:cs="Times New Roman"/>
        </w:rPr>
        <w:t xml:space="preserve">, segundo Pyatt, Chen e Fei (1980). Seja </w:t>
      </w:r>
      <w:r w:rsidRPr="00501BC4">
        <w:rPr>
          <w:rFonts w:ascii="Times New Roman" w:hAnsi="Times New Roman" w:cs="Times New Roman"/>
          <w:i/>
        </w:rPr>
        <w:t>z</w:t>
      </w:r>
      <w:r w:rsidRPr="00501BC4">
        <w:rPr>
          <w:rFonts w:ascii="Times New Roman" w:hAnsi="Times New Roman" w:cs="Times New Roman"/>
          <w:i/>
          <w:vertAlign w:val="subscript"/>
        </w:rPr>
        <w:t>i</w:t>
      </w:r>
      <w:r w:rsidRPr="00501BC4">
        <w:rPr>
          <w:rFonts w:ascii="Times New Roman" w:hAnsi="Times New Roman" w:cs="Times New Roman"/>
        </w:rPr>
        <w:t xml:space="preserve"> o rendimento da </w:t>
      </w:r>
      <w:r w:rsidRPr="00501BC4">
        <w:rPr>
          <w:rFonts w:ascii="Times New Roman" w:hAnsi="Times New Roman" w:cs="Times New Roman"/>
          <w:i/>
        </w:rPr>
        <w:t>i-</w:t>
      </w:r>
      <w:r w:rsidRPr="00501BC4">
        <w:rPr>
          <w:rFonts w:ascii="Times New Roman" w:hAnsi="Times New Roman" w:cs="Times New Roman"/>
        </w:rPr>
        <w:t xml:space="preserve">ésima pessoa, neste artigo, o rendimento domiciliar </w:t>
      </w:r>
      <w:r w:rsidRPr="00501BC4">
        <w:rPr>
          <w:rFonts w:ascii="Times New Roman" w:hAnsi="Times New Roman" w:cs="Times New Roman"/>
          <w:i/>
        </w:rPr>
        <w:t>per capita</w:t>
      </w:r>
      <w:r w:rsidRPr="00501BC4">
        <w:rPr>
          <w:rFonts w:ascii="Times New Roman" w:hAnsi="Times New Roman" w:cs="Times New Roman"/>
        </w:rPr>
        <w:t xml:space="preserve">, sendo resultado da soma de </w:t>
      </w:r>
      <w:r w:rsidRPr="00501BC4">
        <w:rPr>
          <w:rFonts w:ascii="Times New Roman" w:hAnsi="Times New Roman" w:cs="Times New Roman"/>
          <w:i/>
        </w:rPr>
        <w:t>k</w:t>
      </w:r>
      <w:r w:rsidRPr="00501BC4">
        <w:rPr>
          <w:rFonts w:ascii="Times New Roman" w:hAnsi="Times New Roman" w:cs="Times New Roman"/>
        </w:rPr>
        <w:t xml:space="preserve"> parcelas:</w:t>
      </w:r>
    </w:p>
    <w:p w14:paraId="33B08948" w14:textId="77777777" w:rsidR="00501BC4" w:rsidRPr="00501BC4" w:rsidRDefault="00501BC4" w:rsidP="00501BC4">
      <w:pPr>
        <w:spacing w:line="360" w:lineRule="auto"/>
        <w:jc w:val="both"/>
        <w:rPr>
          <w:rFonts w:ascii="Times New Roman" w:hAnsi="Times New Roman" w:cs="Times New Roman"/>
        </w:rPr>
      </w:pPr>
      <w:r w:rsidRPr="00501BC4">
        <w:rPr>
          <w:rFonts w:ascii="Times New Roman" w:hAnsi="Times New Roman" w:cs="Times New Roman"/>
        </w:rPr>
        <w:tab/>
      </w:r>
      <w:r w:rsidRPr="00501BC4">
        <w:rPr>
          <w:rFonts w:ascii="Times New Roman" w:hAnsi="Times New Roman" w:cs="Times New Roman"/>
        </w:rPr>
        <w:tab/>
      </w:r>
      <w:r w:rsidRPr="00501BC4">
        <w:rPr>
          <w:rFonts w:ascii="Times New Roman" w:hAnsi="Times New Roman" w:cs="Times New Roman"/>
          <w:position w:val="-28"/>
        </w:rPr>
        <w:object w:dxaOrig="1080" w:dyaOrig="680" w14:anchorId="761F6C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3.75pt" o:ole="">
            <v:imagedata r:id="rId13" o:title=""/>
          </v:shape>
          <o:OLEObject Type="Embed" ProgID="Equation.3" ShapeID="_x0000_i1025" DrawAspect="Content" ObjectID="_1518366047" r:id="rId14"/>
        </w:object>
      </w:r>
      <w:r w:rsidRPr="00501BC4">
        <w:rPr>
          <w:rFonts w:ascii="Times New Roman" w:hAnsi="Times New Roman" w:cs="Times New Roman"/>
        </w:rPr>
        <w:t xml:space="preserve">                                                                                                                 (1)</w:t>
      </w:r>
    </w:p>
    <w:p w14:paraId="168F55E4" w14:textId="762A8B1A" w:rsidR="00501BC4" w:rsidRPr="00501BC4" w:rsidRDefault="00501BC4" w:rsidP="00501BC4">
      <w:pPr>
        <w:spacing w:line="360" w:lineRule="auto"/>
        <w:jc w:val="both"/>
        <w:rPr>
          <w:rFonts w:ascii="Times New Roman" w:hAnsi="Times New Roman" w:cs="Times New Roman"/>
        </w:rPr>
      </w:pPr>
      <w:r w:rsidRPr="00501BC4">
        <w:rPr>
          <w:rFonts w:ascii="Times New Roman" w:hAnsi="Times New Roman" w:cs="Times New Roman"/>
        </w:rPr>
        <w:lastRenderedPageBreak/>
        <w:tab/>
      </w:r>
      <w:r w:rsidR="00197648">
        <w:rPr>
          <w:rFonts w:ascii="Times New Roman" w:hAnsi="Times New Roman" w:cs="Times New Roman"/>
        </w:rPr>
        <w:t xml:space="preserve">Admite-se </w:t>
      </w:r>
      <w:r w:rsidRPr="00501BC4">
        <w:rPr>
          <w:rFonts w:ascii="Times New Roman" w:hAnsi="Times New Roman" w:cs="Times New Roman"/>
        </w:rPr>
        <w:t xml:space="preserve">que os rendimentos </w:t>
      </w:r>
      <w:r w:rsidRPr="00501BC4">
        <w:rPr>
          <w:rFonts w:ascii="Times New Roman" w:hAnsi="Times New Roman" w:cs="Times New Roman"/>
          <w:position w:val="-12"/>
        </w:rPr>
        <w:object w:dxaOrig="240" w:dyaOrig="360" w14:anchorId="2E99C175">
          <v:shape id="_x0000_i1026" type="#_x0000_t75" style="width:12pt;height:18pt" o:ole="">
            <v:imagedata r:id="rId15" o:title=""/>
          </v:shape>
          <o:OLEObject Type="Embed" ProgID="Equation.3" ShapeID="_x0000_i1026" DrawAspect="Content" ObjectID="_1518366048" r:id="rId16"/>
        </w:object>
      </w:r>
      <w:r w:rsidRPr="00501BC4">
        <w:rPr>
          <w:rFonts w:ascii="Times New Roman" w:hAnsi="Times New Roman" w:cs="Times New Roman"/>
        </w:rPr>
        <w:t xml:space="preserve">estão ordenados de maneira que </w:t>
      </w:r>
      <w:r w:rsidRPr="00501BC4">
        <w:rPr>
          <w:rFonts w:ascii="Times New Roman" w:hAnsi="Times New Roman" w:cs="Times New Roman"/>
          <w:position w:val="-12"/>
        </w:rPr>
        <w:object w:dxaOrig="1680" w:dyaOrig="360" w14:anchorId="5B9F626B">
          <v:shape id="_x0000_i1027" type="#_x0000_t75" style="width:84pt;height:18pt" o:ole="">
            <v:imagedata r:id="rId17" o:title=""/>
          </v:shape>
          <o:OLEObject Type="Embed" ProgID="Equation.3" ShapeID="_x0000_i1027" DrawAspect="Content" ObjectID="_1518366049" r:id="rId18"/>
        </w:object>
      </w:r>
      <w:r w:rsidRPr="00501BC4">
        <w:rPr>
          <w:rFonts w:ascii="Times New Roman" w:hAnsi="Times New Roman" w:cs="Times New Roman"/>
        </w:rPr>
        <w:t xml:space="preserve"> sendo </w:t>
      </w:r>
      <w:r w:rsidRPr="00501BC4">
        <w:rPr>
          <w:rFonts w:ascii="Times New Roman" w:hAnsi="Times New Roman" w:cs="Times New Roman"/>
          <w:i/>
        </w:rPr>
        <w:t>n</w:t>
      </w:r>
      <w:r w:rsidRPr="00501BC4">
        <w:rPr>
          <w:rFonts w:ascii="Times New Roman" w:hAnsi="Times New Roman" w:cs="Times New Roman"/>
        </w:rPr>
        <w:t xml:space="preserve"> o tamanho da população. Então </w:t>
      </w:r>
      <w:r w:rsidRPr="00501BC4">
        <w:rPr>
          <w:rFonts w:ascii="Times New Roman" w:hAnsi="Times New Roman" w:cs="Times New Roman"/>
          <w:i/>
        </w:rPr>
        <w:t>i</w:t>
      </w:r>
      <w:r w:rsidRPr="00501BC4">
        <w:rPr>
          <w:rFonts w:ascii="Times New Roman" w:hAnsi="Times New Roman" w:cs="Times New Roman"/>
        </w:rPr>
        <w:t xml:space="preserve"> é a posição de ordem do rendimento </w:t>
      </w:r>
      <w:r w:rsidRPr="00501BC4">
        <w:rPr>
          <w:rFonts w:ascii="Times New Roman" w:hAnsi="Times New Roman" w:cs="Times New Roman"/>
          <w:position w:val="-12"/>
        </w:rPr>
        <w:object w:dxaOrig="240" w:dyaOrig="360" w14:anchorId="0C8F9690">
          <v:shape id="_x0000_i1028" type="#_x0000_t75" style="width:12pt;height:18pt" o:ole="">
            <v:imagedata r:id="rId19" o:title=""/>
          </v:shape>
          <o:OLEObject Type="Embed" ProgID="Equation.3" ShapeID="_x0000_i1028" DrawAspect="Content" ObjectID="_1518366050" r:id="rId20"/>
        </w:object>
      </w:r>
      <w:r w:rsidRPr="00501BC4">
        <w:rPr>
          <w:rFonts w:ascii="Times New Roman" w:hAnsi="Times New Roman" w:cs="Times New Roman"/>
        </w:rPr>
        <w:t>.</w:t>
      </w:r>
    </w:p>
    <w:p w14:paraId="13DED14A" w14:textId="4924E11A" w:rsidR="00501BC4" w:rsidRPr="00501BC4" w:rsidRDefault="00501BC4" w:rsidP="00501BC4">
      <w:pPr>
        <w:spacing w:line="360" w:lineRule="auto"/>
        <w:jc w:val="both"/>
        <w:rPr>
          <w:rFonts w:ascii="Times New Roman" w:hAnsi="Times New Roman" w:cs="Times New Roman"/>
        </w:rPr>
      </w:pPr>
      <w:r w:rsidRPr="00501BC4">
        <w:rPr>
          <w:rFonts w:ascii="Times New Roman" w:hAnsi="Times New Roman" w:cs="Times New Roman"/>
        </w:rPr>
        <w:tab/>
        <w:t xml:space="preserve">O índice de Gini (G) da distribuição de </w:t>
      </w:r>
      <w:r w:rsidRPr="00501BC4">
        <w:rPr>
          <w:rFonts w:ascii="Times New Roman" w:hAnsi="Times New Roman" w:cs="Times New Roman"/>
          <w:position w:val="-12"/>
        </w:rPr>
        <w:object w:dxaOrig="240" w:dyaOrig="360" w14:anchorId="7B8FD72B">
          <v:shape id="_x0000_i1029" type="#_x0000_t75" style="width:12pt;height:18pt" o:ole="">
            <v:imagedata r:id="rId21" o:title=""/>
          </v:shape>
          <o:OLEObject Type="Embed" ProgID="Equation.3" ShapeID="_x0000_i1029" DrawAspect="Content" ObjectID="_1518366051" r:id="rId22"/>
        </w:object>
      </w:r>
      <w:r w:rsidRPr="00501BC4">
        <w:rPr>
          <w:rFonts w:ascii="Times New Roman" w:hAnsi="Times New Roman" w:cs="Times New Roman"/>
        </w:rPr>
        <w:t xml:space="preserve"> é</w:t>
      </w:r>
    </w:p>
    <w:p w14:paraId="660FC5F8" w14:textId="77777777" w:rsidR="00501BC4" w:rsidRPr="00501BC4" w:rsidRDefault="00501BC4" w:rsidP="00501BC4">
      <w:pPr>
        <w:spacing w:line="360" w:lineRule="auto"/>
        <w:jc w:val="both"/>
        <w:rPr>
          <w:rFonts w:ascii="Times New Roman" w:hAnsi="Times New Roman" w:cs="Times New Roman"/>
        </w:rPr>
      </w:pPr>
      <w:r w:rsidRPr="00501BC4">
        <w:rPr>
          <w:rFonts w:ascii="Times New Roman" w:hAnsi="Times New Roman" w:cs="Times New Roman"/>
        </w:rPr>
        <w:tab/>
      </w:r>
      <w:r w:rsidRPr="00501BC4">
        <w:rPr>
          <w:rFonts w:ascii="Times New Roman" w:hAnsi="Times New Roman" w:cs="Times New Roman"/>
        </w:rPr>
        <w:tab/>
      </w:r>
      <w:r w:rsidRPr="00501BC4">
        <w:rPr>
          <w:rFonts w:ascii="Times New Roman" w:hAnsi="Times New Roman" w:cs="Times New Roman"/>
          <w:position w:val="-28"/>
        </w:rPr>
        <w:object w:dxaOrig="1700" w:dyaOrig="660" w14:anchorId="583E8A0D">
          <v:shape id="_x0000_i1030" type="#_x0000_t75" style="width:84.75pt;height:33pt" o:ole="">
            <v:imagedata r:id="rId23" o:title=""/>
          </v:shape>
          <o:OLEObject Type="Embed" ProgID="Equation.3" ShapeID="_x0000_i1030" DrawAspect="Content" ObjectID="_1518366052" r:id="rId24"/>
        </w:object>
      </w:r>
      <w:r w:rsidRPr="00501BC4">
        <w:rPr>
          <w:rFonts w:ascii="Times New Roman" w:hAnsi="Times New Roman" w:cs="Times New Roman"/>
        </w:rPr>
        <w:t xml:space="preserve">                                                                                                       (2)</w:t>
      </w:r>
    </w:p>
    <w:p w14:paraId="062A9CE1" w14:textId="77777777" w:rsidR="00501BC4" w:rsidRPr="00501BC4" w:rsidRDefault="00501BC4" w:rsidP="00501BC4">
      <w:pPr>
        <w:spacing w:line="360" w:lineRule="auto"/>
        <w:jc w:val="both"/>
        <w:rPr>
          <w:rFonts w:ascii="Times New Roman" w:hAnsi="Times New Roman" w:cs="Times New Roman"/>
        </w:rPr>
      </w:pPr>
      <w:r w:rsidRPr="00501BC4">
        <w:rPr>
          <w:rFonts w:ascii="Times New Roman" w:hAnsi="Times New Roman" w:cs="Times New Roman"/>
        </w:rPr>
        <w:t xml:space="preserve">onde </w:t>
      </w:r>
      <w:r w:rsidRPr="00501BC4">
        <w:rPr>
          <w:rFonts w:ascii="Times New Roman" w:hAnsi="Times New Roman" w:cs="Times New Roman"/>
          <w:position w:val="-10"/>
        </w:rPr>
        <w:object w:dxaOrig="240" w:dyaOrig="260" w14:anchorId="7242F142">
          <v:shape id="_x0000_i1031" type="#_x0000_t75" style="width:12pt;height:12.75pt" o:ole="">
            <v:imagedata r:id="rId25" o:title=""/>
          </v:shape>
          <o:OLEObject Type="Embed" ProgID="Equation.3" ShapeID="_x0000_i1031" DrawAspect="Content" ObjectID="_1518366053" r:id="rId26"/>
        </w:object>
      </w:r>
      <w:r w:rsidRPr="00501BC4">
        <w:rPr>
          <w:rFonts w:ascii="Times New Roman" w:hAnsi="Times New Roman" w:cs="Times New Roman"/>
        </w:rPr>
        <w:t xml:space="preserve"> é a média dos </w:t>
      </w:r>
      <w:r w:rsidRPr="00501BC4">
        <w:rPr>
          <w:rFonts w:ascii="Times New Roman" w:hAnsi="Times New Roman" w:cs="Times New Roman"/>
          <w:position w:val="-12"/>
        </w:rPr>
        <w:object w:dxaOrig="240" w:dyaOrig="360" w14:anchorId="0D2E5755">
          <v:shape id="_x0000_i1032" type="#_x0000_t75" style="width:12pt;height:18pt" o:ole="">
            <v:imagedata r:id="rId27" o:title=""/>
          </v:shape>
          <o:OLEObject Type="Embed" ProgID="Equation.3" ShapeID="_x0000_i1032" DrawAspect="Content" ObjectID="_1518366054" r:id="rId28"/>
        </w:object>
      </w:r>
      <w:r w:rsidRPr="00501BC4">
        <w:rPr>
          <w:rFonts w:ascii="Times New Roman" w:hAnsi="Times New Roman" w:cs="Times New Roman"/>
        </w:rPr>
        <w:t>.</w:t>
      </w:r>
    </w:p>
    <w:p w14:paraId="2BD118CA" w14:textId="77777777" w:rsidR="00501BC4" w:rsidRPr="00501BC4" w:rsidRDefault="00501BC4" w:rsidP="00501BC4">
      <w:pPr>
        <w:spacing w:line="360" w:lineRule="auto"/>
        <w:jc w:val="both"/>
        <w:rPr>
          <w:rFonts w:ascii="Times New Roman" w:hAnsi="Times New Roman" w:cs="Times New Roman"/>
        </w:rPr>
      </w:pPr>
      <w:r w:rsidRPr="00501BC4">
        <w:rPr>
          <w:rFonts w:ascii="Times New Roman" w:hAnsi="Times New Roman" w:cs="Times New Roman"/>
        </w:rPr>
        <w:tab/>
        <w:t xml:space="preserve">Pyatt, Chen e Fei (1980) definem a razão de concentração do componente </w:t>
      </w:r>
      <w:r w:rsidRPr="00501BC4">
        <w:rPr>
          <w:rFonts w:ascii="Times New Roman" w:hAnsi="Times New Roman" w:cs="Times New Roman"/>
          <w:position w:val="-12"/>
        </w:rPr>
        <w:object w:dxaOrig="320" w:dyaOrig="360" w14:anchorId="45D91026">
          <v:shape id="_x0000_i1033" type="#_x0000_t75" style="width:15.75pt;height:18pt" o:ole="">
            <v:imagedata r:id="rId29" o:title=""/>
          </v:shape>
          <o:OLEObject Type="Embed" ProgID="Equation.3" ShapeID="_x0000_i1033" DrawAspect="Content" ObjectID="_1518366055" r:id="rId30"/>
        </w:object>
      </w:r>
      <w:r w:rsidRPr="00501BC4">
        <w:rPr>
          <w:rFonts w:ascii="Times New Roman" w:hAnsi="Times New Roman" w:cs="Times New Roman"/>
        </w:rPr>
        <w:t>como</w:t>
      </w:r>
    </w:p>
    <w:p w14:paraId="0FB0C7F1" w14:textId="77777777" w:rsidR="00501BC4" w:rsidRPr="00501BC4" w:rsidRDefault="00501BC4" w:rsidP="00501BC4">
      <w:pPr>
        <w:spacing w:line="360" w:lineRule="auto"/>
        <w:jc w:val="both"/>
        <w:rPr>
          <w:rFonts w:ascii="Times New Roman" w:hAnsi="Times New Roman" w:cs="Times New Roman"/>
        </w:rPr>
      </w:pPr>
      <w:r w:rsidRPr="00501BC4">
        <w:rPr>
          <w:rFonts w:ascii="Times New Roman" w:hAnsi="Times New Roman" w:cs="Times New Roman"/>
        </w:rPr>
        <w:tab/>
      </w:r>
      <w:r w:rsidRPr="00501BC4">
        <w:rPr>
          <w:rFonts w:ascii="Times New Roman" w:hAnsi="Times New Roman" w:cs="Times New Roman"/>
        </w:rPr>
        <w:tab/>
      </w:r>
      <w:r w:rsidRPr="00501BC4">
        <w:rPr>
          <w:rFonts w:ascii="Times New Roman" w:hAnsi="Times New Roman" w:cs="Times New Roman"/>
          <w:position w:val="-30"/>
        </w:rPr>
        <w:object w:dxaOrig="1960" w:dyaOrig="680" w14:anchorId="334D6B74">
          <v:shape id="_x0000_i1034" type="#_x0000_t75" style="width:98.25pt;height:33.75pt" o:ole="">
            <v:imagedata r:id="rId31" o:title=""/>
          </v:shape>
          <o:OLEObject Type="Embed" ProgID="Equation.3" ShapeID="_x0000_i1034" DrawAspect="Content" ObjectID="_1518366056" r:id="rId32"/>
        </w:object>
      </w:r>
      <w:r w:rsidRPr="00501BC4">
        <w:rPr>
          <w:rFonts w:ascii="Times New Roman" w:hAnsi="Times New Roman" w:cs="Times New Roman"/>
        </w:rPr>
        <w:t xml:space="preserve">                                                                                                  (3)</w:t>
      </w:r>
    </w:p>
    <w:p w14:paraId="0BF311C4" w14:textId="77777777" w:rsidR="00501BC4" w:rsidRPr="00501BC4" w:rsidRDefault="00501BC4" w:rsidP="00501BC4">
      <w:pPr>
        <w:spacing w:line="360" w:lineRule="auto"/>
        <w:jc w:val="both"/>
        <w:rPr>
          <w:rFonts w:ascii="Times New Roman" w:hAnsi="Times New Roman" w:cs="Times New Roman"/>
        </w:rPr>
      </w:pPr>
      <w:r w:rsidRPr="00501BC4">
        <w:rPr>
          <w:rFonts w:ascii="Times New Roman" w:hAnsi="Times New Roman" w:cs="Times New Roman"/>
        </w:rPr>
        <w:t xml:space="preserve">onde </w:t>
      </w:r>
      <w:r w:rsidRPr="00501BC4">
        <w:rPr>
          <w:rFonts w:ascii="Times New Roman" w:hAnsi="Times New Roman" w:cs="Times New Roman"/>
          <w:position w:val="-12"/>
        </w:rPr>
        <w:object w:dxaOrig="320" w:dyaOrig="360" w14:anchorId="3C201F53">
          <v:shape id="_x0000_i1035" type="#_x0000_t75" style="width:15.75pt;height:18pt" o:ole="">
            <v:imagedata r:id="rId33" o:title=""/>
          </v:shape>
          <o:OLEObject Type="Embed" ProgID="Equation.3" ShapeID="_x0000_i1035" DrawAspect="Content" ObjectID="_1518366057" r:id="rId34"/>
        </w:object>
      </w:r>
      <w:r w:rsidRPr="00501BC4">
        <w:rPr>
          <w:rFonts w:ascii="Times New Roman" w:hAnsi="Times New Roman" w:cs="Times New Roman"/>
        </w:rPr>
        <w:t xml:space="preserve">é a média dos </w:t>
      </w:r>
      <w:r w:rsidRPr="00501BC4">
        <w:rPr>
          <w:rFonts w:ascii="Times New Roman" w:hAnsi="Times New Roman" w:cs="Times New Roman"/>
          <w:position w:val="-12"/>
        </w:rPr>
        <w:object w:dxaOrig="320" w:dyaOrig="360" w14:anchorId="375E995B">
          <v:shape id="_x0000_i1036" type="#_x0000_t75" style="width:15.75pt;height:18pt" o:ole="">
            <v:imagedata r:id="rId35" o:title=""/>
          </v:shape>
          <o:OLEObject Type="Embed" ProgID="Equation.3" ShapeID="_x0000_i1036" DrawAspect="Content" ObjectID="_1518366058" r:id="rId36"/>
        </w:object>
      </w:r>
      <w:r w:rsidRPr="00501BC4">
        <w:rPr>
          <w:rFonts w:ascii="Times New Roman" w:hAnsi="Times New Roman" w:cs="Times New Roman"/>
        </w:rPr>
        <w:t>.</w:t>
      </w:r>
    </w:p>
    <w:p w14:paraId="06FD3BF0" w14:textId="77777777" w:rsidR="00501BC4" w:rsidRPr="00501BC4" w:rsidRDefault="00501BC4" w:rsidP="00501BC4">
      <w:pPr>
        <w:spacing w:line="360" w:lineRule="auto"/>
        <w:jc w:val="both"/>
        <w:rPr>
          <w:rFonts w:ascii="Times New Roman" w:hAnsi="Times New Roman" w:cs="Times New Roman"/>
        </w:rPr>
      </w:pPr>
      <w:r w:rsidRPr="00501BC4">
        <w:rPr>
          <w:rFonts w:ascii="Times New Roman" w:hAnsi="Times New Roman" w:cs="Times New Roman"/>
        </w:rPr>
        <w:tab/>
        <w:t xml:space="preserve">A participação do </w:t>
      </w:r>
      <w:r w:rsidRPr="00501BC4">
        <w:rPr>
          <w:rFonts w:ascii="Times New Roman" w:hAnsi="Times New Roman" w:cs="Times New Roman"/>
          <w:i/>
        </w:rPr>
        <w:t>h</w:t>
      </w:r>
      <w:r w:rsidRPr="00501BC4">
        <w:rPr>
          <w:rFonts w:ascii="Times New Roman" w:hAnsi="Times New Roman" w:cs="Times New Roman"/>
        </w:rPr>
        <w:t>-ésimo componente no rendimento total é</w:t>
      </w:r>
    </w:p>
    <w:p w14:paraId="3BF10E5A" w14:textId="77777777" w:rsidR="00501BC4" w:rsidRPr="00501BC4" w:rsidRDefault="00501BC4" w:rsidP="00501BC4">
      <w:pPr>
        <w:spacing w:line="360" w:lineRule="auto"/>
        <w:jc w:val="both"/>
        <w:rPr>
          <w:rFonts w:ascii="Times New Roman" w:hAnsi="Times New Roman" w:cs="Times New Roman"/>
        </w:rPr>
      </w:pPr>
      <w:r w:rsidRPr="00501BC4">
        <w:rPr>
          <w:rFonts w:ascii="Times New Roman" w:hAnsi="Times New Roman" w:cs="Times New Roman"/>
        </w:rPr>
        <w:tab/>
      </w:r>
      <w:r w:rsidRPr="00501BC4">
        <w:rPr>
          <w:rFonts w:ascii="Times New Roman" w:hAnsi="Times New Roman" w:cs="Times New Roman"/>
        </w:rPr>
        <w:tab/>
      </w:r>
      <w:r w:rsidRPr="00501BC4">
        <w:rPr>
          <w:rFonts w:ascii="Times New Roman" w:hAnsi="Times New Roman" w:cs="Times New Roman"/>
          <w:position w:val="-28"/>
        </w:rPr>
        <w:object w:dxaOrig="859" w:dyaOrig="680" w14:anchorId="432E089B">
          <v:shape id="_x0000_i1037" type="#_x0000_t75" style="width:42.75pt;height:33.75pt" o:ole="">
            <v:imagedata r:id="rId37" o:title=""/>
          </v:shape>
          <o:OLEObject Type="Embed" ProgID="Equation.3" ShapeID="_x0000_i1037" DrawAspect="Content" ObjectID="_1518366059" r:id="rId38"/>
        </w:object>
      </w:r>
      <w:r w:rsidRPr="00501BC4">
        <w:rPr>
          <w:rFonts w:ascii="Times New Roman" w:hAnsi="Times New Roman" w:cs="Times New Roman"/>
        </w:rPr>
        <w:t xml:space="preserve">                                                                                                                     (4)</w:t>
      </w:r>
    </w:p>
    <w:p w14:paraId="29C053F6" w14:textId="77777777" w:rsidR="00501BC4" w:rsidRPr="00501BC4" w:rsidRDefault="00501BC4" w:rsidP="00501BC4">
      <w:pPr>
        <w:spacing w:line="360" w:lineRule="auto"/>
        <w:jc w:val="both"/>
        <w:rPr>
          <w:rFonts w:ascii="Times New Roman" w:hAnsi="Times New Roman" w:cs="Times New Roman"/>
        </w:rPr>
      </w:pPr>
      <w:r w:rsidRPr="00501BC4">
        <w:rPr>
          <w:rFonts w:ascii="Times New Roman" w:hAnsi="Times New Roman" w:cs="Times New Roman"/>
        </w:rPr>
        <w:tab/>
        <w:t>Pode-se deduzir que</w:t>
      </w:r>
    </w:p>
    <w:p w14:paraId="5261BFDC" w14:textId="77777777" w:rsidR="00501BC4" w:rsidRPr="00501BC4" w:rsidRDefault="00501BC4" w:rsidP="00501BC4">
      <w:pPr>
        <w:spacing w:line="360" w:lineRule="auto"/>
        <w:jc w:val="both"/>
        <w:rPr>
          <w:rFonts w:ascii="Times New Roman" w:hAnsi="Times New Roman" w:cs="Times New Roman"/>
        </w:rPr>
      </w:pPr>
      <w:r w:rsidRPr="00501BC4">
        <w:rPr>
          <w:rFonts w:ascii="Times New Roman" w:hAnsi="Times New Roman" w:cs="Times New Roman"/>
        </w:rPr>
        <w:tab/>
      </w:r>
      <w:r w:rsidRPr="00501BC4">
        <w:rPr>
          <w:rFonts w:ascii="Times New Roman" w:hAnsi="Times New Roman" w:cs="Times New Roman"/>
        </w:rPr>
        <w:tab/>
      </w:r>
      <w:r w:rsidRPr="00501BC4">
        <w:rPr>
          <w:rFonts w:ascii="Times New Roman" w:hAnsi="Times New Roman" w:cs="Times New Roman"/>
          <w:position w:val="-28"/>
        </w:rPr>
        <w:object w:dxaOrig="1280" w:dyaOrig="680" w14:anchorId="580D0643">
          <v:shape id="_x0000_i1038" type="#_x0000_t75" style="width:63.75pt;height:33.75pt" o:ole="">
            <v:imagedata r:id="rId39" o:title=""/>
          </v:shape>
          <o:OLEObject Type="Embed" ProgID="Equation.3" ShapeID="_x0000_i1038" DrawAspect="Content" ObjectID="_1518366060" r:id="rId40"/>
        </w:object>
      </w:r>
      <w:r w:rsidRPr="00501BC4">
        <w:rPr>
          <w:rFonts w:ascii="Times New Roman" w:hAnsi="Times New Roman" w:cs="Times New Roman"/>
        </w:rPr>
        <w:t xml:space="preserve">                                                                                                              (5)</w:t>
      </w:r>
    </w:p>
    <w:p w14:paraId="0B0A3D4E" w14:textId="77777777" w:rsidR="00501BC4" w:rsidRPr="00501BC4" w:rsidRDefault="00501BC4" w:rsidP="00501BC4">
      <w:pPr>
        <w:spacing w:line="360" w:lineRule="auto"/>
        <w:jc w:val="both"/>
        <w:rPr>
          <w:rFonts w:ascii="Times New Roman" w:hAnsi="Times New Roman" w:cs="Times New Roman"/>
        </w:rPr>
      </w:pPr>
      <w:r w:rsidRPr="00501BC4">
        <w:rPr>
          <w:rFonts w:ascii="Times New Roman" w:hAnsi="Times New Roman" w:cs="Times New Roman"/>
        </w:rPr>
        <w:tab/>
        <w:t xml:space="preserve">Vamos indicar por </w:t>
      </w:r>
      <w:r w:rsidRPr="00501BC4">
        <w:rPr>
          <w:rFonts w:ascii="Times New Roman" w:hAnsi="Times New Roman" w:cs="Times New Roman"/>
          <w:position w:val="-12"/>
        </w:rPr>
        <w:object w:dxaOrig="220" w:dyaOrig="360" w14:anchorId="06B61E05">
          <v:shape id="_x0000_i1039" type="#_x0000_t75" style="width:11.25pt;height:18pt" o:ole="">
            <v:imagedata r:id="rId41" o:title=""/>
          </v:shape>
          <o:OLEObject Type="Embed" ProgID="Equation.3" ShapeID="_x0000_i1039" DrawAspect="Content" ObjectID="_1518366061" r:id="rId42"/>
        </w:object>
      </w:r>
      <w:r w:rsidRPr="00501BC4">
        <w:rPr>
          <w:rFonts w:ascii="Times New Roman" w:hAnsi="Times New Roman" w:cs="Times New Roman"/>
        </w:rPr>
        <w:t xml:space="preserve">os números de ordem associados aos valores de </w:t>
      </w:r>
      <w:r w:rsidRPr="00501BC4">
        <w:rPr>
          <w:rFonts w:ascii="Times New Roman" w:hAnsi="Times New Roman" w:cs="Times New Roman"/>
          <w:position w:val="-12"/>
        </w:rPr>
        <w:object w:dxaOrig="320" w:dyaOrig="360" w14:anchorId="13AA6BF4">
          <v:shape id="_x0000_i1040" type="#_x0000_t75" style="width:15.75pt;height:18pt" o:ole="">
            <v:imagedata r:id="rId43" o:title=""/>
          </v:shape>
          <o:OLEObject Type="Embed" ProgID="Equation.3" ShapeID="_x0000_i1040" DrawAspect="Content" ObjectID="_1518366062" r:id="rId44"/>
        </w:object>
      </w:r>
      <w:r w:rsidRPr="00501BC4">
        <w:rPr>
          <w:rFonts w:ascii="Times New Roman" w:hAnsi="Times New Roman" w:cs="Times New Roman"/>
        </w:rPr>
        <w:t xml:space="preserve">se eles fossem colocados em ordem crescente. Os </w:t>
      </w:r>
      <w:r w:rsidRPr="00501BC4">
        <w:rPr>
          <w:rFonts w:ascii="Times New Roman" w:hAnsi="Times New Roman" w:cs="Times New Roman"/>
          <w:position w:val="-12"/>
        </w:rPr>
        <w:object w:dxaOrig="220" w:dyaOrig="360" w14:anchorId="0BFC23B8">
          <v:shape id="_x0000_i1041" type="#_x0000_t75" style="width:11.25pt;height:18pt" o:ole="">
            <v:imagedata r:id="rId45" o:title=""/>
          </v:shape>
          <o:OLEObject Type="Embed" ProgID="Equation.3" ShapeID="_x0000_i1041" DrawAspect="Content" ObjectID="_1518366063" r:id="rId46"/>
        </w:object>
      </w:r>
      <w:r w:rsidRPr="00501BC4">
        <w:rPr>
          <w:rFonts w:ascii="Times New Roman" w:hAnsi="Times New Roman" w:cs="Times New Roman"/>
        </w:rPr>
        <w:t xml:space="preserve">, da mesma maneira que </w:t>
      </w:r>
      <w:r w:rsidRPr="00501BC4">
        <w:rPr>
          <w:rFonts w:ascii="Times New Roman" w:hAnsi="Times New Roman" w:cs="Times New Roman"/>
          <w:i/>
        </w:rPr>
        <w:t>i</w:t>
      </w:r>
      <w:r w:rsidRPr="00501BC4">
        <w:rPr>
          <w:rFonts w:ascii="Times New Roman" w:hAnsi="Times New Roman" w:cs="Times New Roman"/>
        </w:rPr>
        <w:t xml:space="preserve">, variam de </w:t>
      </w:r>
      <w:smartTag w:uri="urn:schemas-microsoft-com:office:smarttags" w:element="metricconverter">
        <w:smartTagPr>
          <w:attr w:name="ProductID" w:val="1 a"/>
        </w:smartTagPr>
        <w:r w:rsidRPr="00501BC4">
          <w:rPr>
            <w:rFonts w:ascii="Times New Roman" w:hAnsi="Times New Roman" w:cs="Times New Roman"/>
          </w:rPr>
          <w:t>1 a</w:t>
        </w:r>
      </w:smartTag>
      <w:r w:rsidRPr="00501BC4">
        <w:rPr>
          <w:rFonts w:ascii="Times New Roman" w:hAnsi="Times New Roman" w:cs="Times New Roman"/>
        </w:rPr>
        <w:t xml:space="preserve"> </w:t>
      </w:r>
      <w:r w:rsidRPr="00501BC4">
        <w:rPr>
          <w:rFonts w:ascii="Times New Roman" w:hAnsi="Times New Roman" w:cs="Times New Roman"/>
          <w:i/>
        </w:rPr>
        <w:t>n</w:t>
      </w:r>
      <w:r w:rsidRPr="00501BC4">
        <w:rPr>
          <w:rFonts w:ascii="Times New Roman" w:hAnsi="Times New Roman" w:cs="Times New Roman"/>
        </w:rPr>
        <w:t xml:space="preserve">. Note-se, entretanto, que para determinando </w:t>
      </w:r>
      <w:r w:rsidRPr="00501BC4">
        <w:rPr>
          <w:rFonts w:ascii="Times New Roman" w:hAnsi="Times New Roman" w:cs="Times New Roman"/>
          <w:position w:val="-12"/>
        </w:rPr>
        <w:object w:dxaOrig="320" w:dyaOrig="360" w14:anchorId="62F30689">
          <v:shape id="_x0000_i1042" type="#_x0000_t75" style="width:15.75pt;height:18pt" o:ole="">
            <v:imagedata r:id="rId47" o:title=""/>
          </v:shape>
          <o:OLEObject Type="Embed" ProgID="Equation.3" ShapeID="_x0000_i1042" DrawAspect="Content" ObjectID="_1518366064" r:id="rId48"/>
        </w:object>
      </w:r>
      <w:r w:rsidRPr="00501BC4">
        <w:rPr>
          <w:rFonts w:ascii="Times New Roman" w:hAnsi="Times New Roman" w:cs="Times New Roman"/>
        </w:rPr>
        <w:t xml:space="preserve">, o respectivo valor de </w:t>
      </w:r>
      <w:r w:rsidRPr="00501BC4">
        <w:rPr>
          <w:rFonts w:ascii="Times New Roman" w:hAnsi="Times New Roman" w:cs="Times New Roman"/>
          <w:i/>
        </w:rPr>
        <w:t>i</w:t>
      </w:r>
      <w:r w:rsidRPr="00501BC4">
        <w:rPr>
          <w:rFonts w:ascii="Times New Roman" w:hAnsi="Times New Roman" w:cs="Times New Roman"/>
        </w:rPr>
        <w:t xml:space="preserve"> ( o número de ordem do correspondente </w:t>
      </w:r>
      <w:r w:rsidRPr="00501BC4">
        <w:rPr>
          <w:rFonts w:ascii="Times New Roman" w:hAnsi="Times New Roman" w:cs="Times New Roman"/>
          <w:position w:val="-12"/>
        </w:rPr>
        <w:object w:dxaOrig="240" w:dyaOrig="360" w14:anchorId="204E948E">
          <v:shape id="_x0000_i1043" type="#_x0000_t75" style="width:12pt;height:18pt" o:ole="">
            <v:imagedata r:id="rId49" o:title=""/>
          </v:shape>
          <o:OLEObject Type="Embed" ProgID="Equation.3" ShapeID="_x0000_i1043" DrawAspect="Content" ObjectID="_1518366065" r:id="rId50"/>
        </w:object>
      </w:r>
      <w:r w:rsidRPr="00501BC4">
        <w:rPr>
          <w:rFonts w:ascii="Times New Roman" w:hAnsi="Times New Roman" w:cs="Times New Roman"/>
        </w:rPr>
        <w:t xml:space="preserve">) não vai, em geral, coincidir com </w:t>
      </w:r>
      <w:r w:rsidRPr="00501BC4">
        <w:rPr>
          <w:rFonts w:ascii="Times New Roman" w:hAnsi="Times New Roman" w:cs="Times New Roman"/>
          <w:position w:val="-12"/>
        </w:rPr>
        <w:object w:dxaOrig="220" w:dyaOrig="360" w14:anchorId="01A5DCD0">
          <v:shape id="_x0000_i1044" type="#_x0000_t75" style="width:11.25pt;height:18pt" o:ole="">
            <v:imagedata r:id="rId51" o:title=""/>
          </v:shape>
          <o:OLEObject Type="Embed" ProgID="Equation.3" ShapeID="_x0000_i1044" DrawAspect="Content" ObjectID="_1518366066" r:id="rId52"/>
        </w:object>
      </w:r>
      <w:r w:rsidRPr="00501BC4">
        <w:rPr>
          <w:rFonts w:ascii="Times New Roman" w:hAnsi="Times New Roman" w:cs="Times New Roman"/>
        </w:rPr>
        <w:t xml:space="preserve"> (a posição desse </w:t>
      </w:r>
      <w:r w:rsidRPr="00501BC4">
        <w:rPr>
          <w:rFonts w:ascii="Times New Roman" w:hAnsi="Times New Roman" w:cs="Times New Roman"/>
          <w:position w:val="-12"/>
        </w:rPr>
        <w:object w:dxaOrig="320" w:dyaOrig="360" w14:anchorId="5314C724">
          <v:shape id="_x0000_i1045" type="#_x0000_t75" style="width:15.75pt;height:18pt" o:ole="">
            <v:imagedata r:id="rId53" o:title=""/>
          </v:shape>
          <o:OLEObject Type="Embed" ProgID="Equation.3" ShapeID="_x0000_i1045" DrawAspect="Content" ObjectID="_1518366067" r:id="rId54"/>
        </w:object>
      </w:r>
      <w:r w:rsidRPr="00501BC4">
        <w:rPr>
          <w:rFonts w:ascii="Times New Roman" w:hAnsi="Times New Roman" w:cs="Times New Roman"/>
        </w:rPr>
        <w:t xml:space="preserve"> na ordenação dos valores desse componente). Analogamente a (2), o índice de Gini de </w:t>
      </w:r>
      <w:r w:rsidRPr="00501BC4">
        <w:rPr>
          <w:rFonts w:ascii="Times New Roman" w:hAnsi="Times New Roman" w:cs="Times New Roman"/>
          <w:position w:val="-12"/>
        </w:rPr>
        <w:object w:dxaOrig="320" w:dyaOrig="360" w14:anchorId="5F289707">
          <v:shape id="_x0000_i1046" type="#_x0000_t75" style="width:15.75pt;height:18pt" o:ole="">
            <v:imagedata r:id="rId55" o:title=""/>
          </v:shape>
          <o:OLEObject Type="Embed" ProgID="Equation.3" ShapeID="_x0000_i1046" DrawAspect="Content" ObjectID="_1518366068" r:id="rId56"/>
        </w:object>
      </w:r>
      <w:r w:rsidRPr="00501BC4">
        <w:rPr>
          <w:rFonts w:ascii="Times New Roman" w:hAnsi="Times New Roman" w:cs="Times New Roman"/>
        </w:rPr>
        <w:t xml:space="preserve"> é</w:t>
      </w:r>
    </w:p>
    <w:p w14:paraId="22DE9FC5" w14:textId="77777777" w:rsidR="00501BC4" w:rsidRPr="00501BC4" w:rsidRDefault="00501BC4" w:rsidP="00501BC4">
      <w:pPr>
        <w:spacing w:line="360" w:lineRule="auto"/>
        <w:jc w:val="both"/>
        <w:rPr>
          <w:rFonts w:ascii="Times New Roman" w:hAnsi="Times New Roman" w:cs="Times New Roman"/>
        </w:rPr>
      </w:pPr>
      <w:r w:rsidRPr="00501BC4">
        <w:rPr>
          <w:rFonts w:ascii="Times New Roman" w:hAnsi="Times New Roman" w:cs="Times New Roman"/>
        </w:rPr>
        <w:tab/>
      </w:r>
      <w:r w:rsidRPr="00501BC4">
        <w:rPr>
          <w:rFonts w:ascii="Times New Roman" w:hAnsi="Times New Roman" w:cs="Times New Roman"/>
        </w:rPr>
        <w:tab/>
      </w:r>
      <w:r w:rsidRPr="00501BC4">
        <w:rPr>
          <w:rFonts w:ascii="Times New Roman" w:hAnsi="Times New Roman" w:cs="Times New Roman"/>
          <w:position w:val="-30"/>
        </w:rPr>
        <w:object w:dxaOrig="2079" w:dyaOrig="680" w14:anchorId="3336E2E0">
          <v:shape id="_x0000_i1047" type="#_x0000_t75" style="width:104.25pt;height:33.75pt" o:ole="">
            <v:imagedata r:id="rId57" o:title=""/>
          </v:shape>
          <o:OLEObject Type="Embed" ProgID="Equation.3" ShapeID="_x0000_i1047" DrawAspect="Content" ObjectID="_1518366069" r:id="rId58"/>
        </w:object>
      </w:r>
      <w:r w:rsidRPr="00501BC4">
        <w:rPr>
          <w:rFonts w:ascii="Times New Roman" w:hAnsi="Times New Roman" w:cs="Times New Roman"/>
        </w:rPr>
        <w:t xml:space="preserve">                                                                                                (6)</w:t>
      </w:r>
    </w:p>
    <w:p w14:paraId="51A41884" w14:textId="77777777" w:rsidR="00501BC4" w:rsidRPr="00501BC4" w:rsidRDefault="00501BC4" w:rsidP="00501BC4">
      <w:pPr>
        <w:spacing w:line="360" w:lineRule="auto"/>
        <w:jc w:val="both"/>
        <w:rPr>
          <w:rFonts w:ascii="Times New Roman" w:hAnsi="Times New Roman" w:cs="Times New Roman"/>
        </w:rPr>
      </w:pPr>
      <w:r w:rsidRPr="00501BC4">
        <w:rPr>
          <w:rFonts w:ascii="Times New Roman" w:hAnsi="Times New Roman" w:cs="Times New Roman"/>
        </w:rPr>
        <w:tab/>
        <w:t>De (3) e (6) obtem-se</w:t>
      </w:r>
    </w:p>
    <w:p w14:paraId="1F4D5287" w14:textId="77777777" w:rsidR="00501BC4" w:rsidRPr="00501BC4" w:rsidRDefault="00501BC4" w:rsidP="00501BC4">
      <w:pPr>
        <w:spacing w:line="360" w:lineRule="auto"/>
        <w:jc w:val="both"/>
        <w:rPr>
          <w:rFonts w:ascii="Times New Roman" w:hAnsi="Times New Roman" w:cs="Times New Roman"/>
        </w:rPr>
      </w:pPr>
      <w:r w:rsidRPr="00501BC4">
        <w:rPr>
          <w:rFonts w:ascii="Times New Roman" w:hAnsi="Times New Roman" w:cs="Times New Roman"/>
        </w:rPr>
        <w:tab/>
      </w:r>
      <w:r w:rsidRPr="00501BC4">
        <w:rPr>
          <w:rFonts w:ascii="Times New Roman" w:hAnsi="Times New Roman" w:cs="Times New Roman"/>
        </w:rPr>
        <w:tab/>
      </w:r>
      <w:r w:rsidRPr="00501BC4">
        <w:rPr>
          <w:rFonts w:ascii="Times New Roman" w:hAnsi="Times New Roman" w:cs="Times New Roman"/>
          <w:position w:val="-30"/>
        </w:rPr>
        <w:object w:dxaOrig="2220" w:dyaOrig="700" w14:anchorId="5BAA8477">
          <v:shape id="_x0000_i1048" type="#_x0000_t75" style="width:111pt;height:35.25pt" o:ole="">
            <v:imagedata r:id="rId59" o:title=""/>
          </v:shape>
          <o:OLEObject Type="Embed" ProgID="Equation.3" ShapeID="_x0000_i1048" DrawAspect="Content" ObjectID="_1518366070" r:id="rId60"/>
        </w:object>
      </w:r>
      <w:r w:rsidRPr="00501BC4">
        <w:rPr>
          <w:rFonts w:ascii="Times New Roman" w:hAnsi="Times New Roman" w:cs="Times New Roman"/>
        </w:rPr>
        <w:t xml:space="preserve">                                                                                              (7)</w:t>
      </w:r>
    </w:p>
    <w:p w14:paraId="7463BEF6" w14:textId="77777777" w:rsidR="00501BC4" w:rsidRPr="00501BC4" w:rsidRDefault="00501BC4" w:rsidP="00501BC4">
      <w:pPr>
        <w:spacing w:line="360" w:lineRule="auto"/>
        <w:jc w:val="both"/>
        <w:rPr>
          <w:rFonts w:ascii="Times New Roman" w:hAnsi="Times New Roman" w:cs="Times New Roman"/>
        </w:rPr>
      </w:pPr>
      <w:r w:rsidRPr="00501BC4">
        <w:rPr>
          <w:rFonts w:ascii="Times New Roman" w:hAnsi="Times New Roman" w:cs="Times New Roman"/>
        </w:rPr>
        <w:tab/>
        <w:t xml:space="preserve">Pyatt, Chen e Fei denominaram </w:t>
      </w:r>
      <w:r w:rsidRPr="00501BC4">
        <w:rPr>
          <w:rFonts w:ascii="Times New Roman" w:hAnsi="Times New Roman" w:cs="Times New Roman"/>
          <w:position w:val="-12"/>
        </w:rPr>
        <w:object w:dxaOrig="300" w:dyaOrig="360" w14:anchorId="37A8A1F2">
          <v:shape id="_x0000_i1049" type="#_x0000_t75" style="width:15pt;height:18pt" o:ole="">
            <v:imagedata r:id="rId61" o:title=""/>
          </v:shape>
          <o:OLEObject Type="Embed" ProgID="Equation.3" ShapeID="_x0000_i1049" DrawAspect="Content" ObjectID="_1518366071" r:id="rId62"/>
        </w:object>
      </w:r>
      <w:r w:rsidRPr="00501BC4">
        <w:rPr>
          <w:rFonts w:ascii="Times New Roman" w:hAnsi="Times New Roman" w:cs="Times New Roman"/>
        </w:rPr>
        <w:t xml:space="preserve"> de “razão de correlação de ordem”, ressaltando que não é um coeficiente de correlação de ordem. Eles mostram que</w:t>
      </w:r>
    </w:p>
    <w:p w14:paraId="31A1CCDE" w14:textId="77777777" w:rsidR="00501BC4" w:rsidRPr="00501BC4" w:rsidRDefault="00501BC4" w:rsidP="00501BC4">
      <w:pPr>
        <w:spacing w:line="360" w:lineRule="auto"/>
        <w:jc w:val="both"/>
        <w:rPr>
          <w:rFonts w:ascii="Times New Roman" w:hAnsi="Times New Roman" w:cs="Times New Roman"/>
        </w:rPr>
      </w:pPr>
      <w:r w:rsidRPr="00501BC4">
        <w:rPr>
          <w:rFonts w:ascii="Times New Roman" w:hAnsi="Times New Roman" w:cs="Times New Roman"/>
        </w:rPr>
        <w:tab/>
      </w:r>
      <w:r w:rsidRPr="00501BC4">
        <w:rPr>
          <w:rFonts w:ascii="Times New Roman" w:hAnsi="Times New Roman" w:cs="Times New Roman"/>
        </w:rPr>
        <w:tab/>
      </w:r>
      <w:r w:rsidRPr="00501BC4">
        <w:rPr>
          <w:rFonts w:ascii="Times New Roman" w:hAnsi="Times New Roman" w:cs="Times New Roman"/>
          <w:position w:val="-12"/>
        </w:rPr>
        <w:object w:dxaOrig="660" w:dyaOrig="360" w14:anchorId="5B599D26">
          <v:shape id="_x0000_i1050" type="#_x0000_t75" style="width:33pt;height:18pt" o:ole="">
            <v:imagedata r:id="rId63" o:title=""/>
          </v:shape>
          <o:OLEObject Type="Embed" ProgID="Equation.3" ShapeID="_x0000_i1050" DrawAspect="Content" ObjectID="_1518366072" r:id="rId64"/>
        </w:object>
      </w:r>
    </w:p>
    <w:p w14:paraId="273D30E6" w14:textId="77777777" w:rsidR="00501BC4" w:rsidRPr="00501BC4" w:rsidRDefault="00501BC4" w:rsidP="00501BC4">
      <w:pPr>
        <w:spacing w:line="360" w:lineRule="auto"/>
        <w:jc w:val="both"/>
        <w:rPr>
          <w:rFonts w:ascii="Times New Roman" w:hAnsi="Times New Roman" w:cs="Times New Roman"/>
        </w:rPr>
      </w:pPr>
      <w:r w:rsidRPr="00501BC4">
        <w:rPr>
          <w:rFonts w:ascii="Times New Roman" w:hAnsi="Times New Roman" w:cs="Times New Roman"/>
        </w:rPr>
        <w:tab/>
        <w:t>De (5) e (7) segue-se que</w:t>
      </w:r>
    </w:p>
    <w:p w14:paraId="7189AFA2" w14:textId="77777777" w:rsidR="00501BC4" w:rsidRPr="00501BC4" w:rsidRDefault="00501BC4" w:rsidP="00501BC4">
      <w:pPr>
        <w:spacing w:line="360" w:lineRule="auto"/>
        <w:jc w:val="both"/>
        <w:rPr>
          <w:rFonts w:ascii="Times New Roman" w:hAnsi="Times New Roman" w:cs="Times New Roman"/>
        </w:rPr>
      </w:pPr>
      <w:r w:rsidRPr="00501BC4">
        <w:rPr>
          <w:rFonts w:ascii="Times New Roman" w:hAnsi="Times New Roman" w:cs="Times New Roman"/>
        </w:rPr>
        <w:lastRenderedPageBreak/>
        <w:tab/>
      </w:r>
      <w:r w:rsidRPr="00501BC4">
        <w:rPr>
          <w:rFonts w:ascii="Times New Roman" w:hAnsi="Times New Roman" w:cs="Times New Roman"/>
        </w:rPr>
        <w:tab/>
      </w:r>
      <w:r w:rsidRPr="00501BC4">
        <w:rPr>
          <w:rFonts w:ascii="Times New Roman" w:hAnsi="Times New Roman" w:cs="Times New Roman"/>
          <w:position w:val="-28"/>
        </w:rPr>
        <w:object w:dxaOrig="1540" w:dyaOrig="680" w14:anchorId="17EEABA6">
          <v:shape id="_x0000_i1051" type="#_x0000_t75" style="width:77.25pt;height:33.75pt" o:ole="">
            <v:imagedata r:id="rId65" o:title=""/>
          </v:shape>
          <o:OLEObject Type="Embed" ProgID="Equation.3" ShapeID="_x0000_i1051" DrawAspect="Content" ObjectID="_1518366073" r:id="rId66"/>
        </w:object>
      </w:r>
      <w:r w:rsidRPr="00501BC4">
        <w:rPr>
          <w:rFonts w:ascii="Times New Roman" w:hAnsi="Times New Roman" w:cs="Times New Roman"/>
        </w:rPr>
        <w:t xml:space="preserve">                                                                                                         (8)</w:t>
      </w:r>
    </w:p>
    <w:p w14:paraId="4A23D003" w14:textId="77777777" w:rsidR="00501BC4" w:rsidRPr="00501BC4" w:rsidRDefault="00501BC4" w:rsidP="00501BC4">
      <w:pPr>
        <w:spacing w:line="360" w:lineRule="auto"/>
        <w:jc w:val="both"/>
        <w:rPr>
          <w:rFonts w:ascii="Times New Roman" w:hAnsi="Times New Roman" w:cs="Times New Roman"/>
        </w:rPr>
      </w:pPr>
      <w:r w:rsidRPr="00501BC4">
        <w:rPr>
          <w:rFonts w:ascii="Times New Roman" w:hAnsi="Times New Roman" w:cs="Times New Roman"/>
        </w:rPr>
        <w:tab/>
        <w:t xml:space="preserve">Essa expressão mostra como o índice de Gini de </w:t>
      </w:r>
      <w:r w:rsidRPr="00501BC4">
        <w:rPr>
          <w:rFonts w:ascii="Times New Roman" w:hAnsi="Times New Roman" w:cs="Times New Roman"/>
          <w:position w:val="-12"/>
        </w:rPr>
        <w:object w:dxaOrig="240" w:dyaOrig="360" w14:anchorId="3A3BC7E9">
          <v:shape id="_x0000_i1052" type="#_x0000_t75" style="width:12pt;height:18pt" o:ole="">
            <v:imagedata r:id="rId67" o:title=""/>
          </v:shape>
          <o:OLEObject Type="Embed" ProgID="Equation.3" ShapeID="_x0000_i1052" DrawAspect="Content" ObjectID="_1518366074" r:id="rId68"/>
        </w:object>
      </w:r>
      <w:r w:rsidRPr="00501BC4">
        <w:rPr>
          <w:rFonts w:ascii="Times New Roman" w:hAnsi="Times New Roman" w:cs="Times New Roman"/>
        </w:rPr>
        <w:t xml:space="preserve"> está associado com os índices de Gini de cada componente.</w:t>
      </w:r>
    </w:p>
    <w:p w14:paraId="5AEFEE29" w14:textId="77777777" w:rsidR="00501BC4" w:rsidRPr="00501BC4" w:rsidRDefault="00501BC4" w:rsidP="00501BC4">
      <w:pPr>
        <w:spacing w:line="360" w:lineRule="auto"/>
        <w:jc w:val="both"/>
        <w:rPr>
          <w:rFonts w:ascii="Times New Roman" w:hAnsi="Times New Roman" w:cs="Times New Roman"/>
        </w:rPr>
      </w:pPr>
      <w:r w:rsidRPr="00501BC4">
        <w:rPr>
          <w:rFonts w:ascii="Times New Roman" w:hAnsi="Times New Roman" w:cs="Times New Roman"/>
        </w:rPr>
        <w:tab/>
        <w:t xml:space="preserve">Note-se, na expressão (5), que se todas as razões de concentração </w:t>
      </w:r>
      <w:r w:rsidRPr="00501BC4">
        <w:rPr>
          <w:rFonts w:ascii="Times New Roman" w:hAnsi="Times New Roman" w:cs="Times New Roman"/>
          <w:position w:val="-12"/>
        </w:rPr>
        <w:object w:dxaOrig="320" w:dyaOrig="360" w14:anchorId="22710FDC">
          <v:shape id="_x0000_i1053" type="#_x0000_t75" style="width:15.75pt;height:18pt" o:ole="">
            <v:imagedata r:id="rId69" o:title=""/>
          </v:shape>
          <o:OLEObject Type="Embed" ProgID="Equation.3" ShapeID="_x0000_i1053" DrawAspect="Content" ObjectID="_1518366075" r:id="rId70"/>
        </w:object>
      </w:r>
      <w:r w:rsidRPr="00501BC4">
        <w:rPr>
          <w:rFonts w:ascii="Times New Roman" w:hAnsi="Times New Roman" w:cs="Times New Roman"/>
        </w:rPr>
        <w:t xml:space="preserve"> tivessem o mesmo valor, esse seria, também, o valor de </w:t>
      </w:r>
      <w:r w:rsidRPr="00501BC4">
        <w:rPr>
          <w:rFonts w:ascii="Times New Roman" w:hAnsi="Times New Roman" w:cs="Times New Roman"/>
          <w:i/>
        </w:rPr>
        <w:t>G</w:t>
      </w:r>
      <w:r w:rsidRPr="00501BC4">
        <w:rPr>
          <w:rFonts w:ascii="Times New Roman" w:hAnsi="Times New Roman" w:cs="Times New Roman"/>
        </w:rPr>
        <w:t xml:space="preserve">. Dessa forma, pode-se considerar que um componente </w:t>
      </w:r>
      <w:r w:rsidRPr="00501BC4">
        <w:rPr>
          <w:rFonts w:ascii="Times New Roman" w:hAnsi="Times New Roman" w:cs="Times New Roman"/>
          <w:position w:val="-12"/>
        </w:rPr>
        <w:object w:dxaOrig="320" w:dyaOrig="360" w14:anchorId="667A3912">
          <v:shape id="_x0000_i1054" type="#_x0000_t75" style="width:15.75pt;height:18pt" o:ole="">
            <v:imagedata r:id="rId71" o:title=""/>
          </v:shape>
          <o:OLEObject Type="Embed" ProgID="Equation.3" ShapeID="_x0000_i1054" DrawAspect="Content" ObjectID="_1518366076" r:id="rId72"/>
        </w:object>
      </w:r>
      <w:r w:rsidRPr="00501BC4">
        <w:rPr>
          <w:rFonts w:ascii="Times New Roman" w:hAnsi="Times New Roman" w:cs="Times New Roman"/>
        </w:rPr>
        <w:t xml:space="preserve">contribui para aumentar a desigualdade (medida pelo índice de Gini) quando </w:t>
      </w:r>
      <w:r w:rsidRPr="00501BC4">
        <w:rPr>
          <w:rFonts w:ascii="Times New Roman" w:hAnsi="Times New Roman" w:cs="Times New Roman"/>
          <w:position w:val="-12"/>
        </w:rPr>
        <w:object w:dxaOrig="780" w:dyaOrig="360" w14:anchorId="79EC52AF">
          <v:shape id="_x0000_i1055" type="#_x0000_t75" style="width:39pt;height:18pt" o:ole="">
            <v:imagedata r:id="rId73" o:title=""/>
          </v:shape>
          <o:OLEObject Type="Embed" ProgID="Equation.3" ShapeID="_x0000_i1055" DrawAspect="Content" ObjectID="_1518366077" r:id="rId74"/>
        </w:object>
      </w:r>
      <w:r w:rsidRPr="00501BC4">
        <w:rPr>
          <w:rFonts w:ascii="Times New Roman" w:hAnsi="Times New Roman" w:cs="Times New Roman"/>
        </w:rPr>
        <w:t xml:space="preserve">. </w:t>
      </w:r>
    </w:p>
    <w:p w14:paraId="17BC7E89" w14:textId="21EBA100" w:rsidR="00F334FA" w:rsidRDefault="00382591" w:rsidP="00347B57">
      <w:pPr>
        <w:pStyle w:val="Pargrafo"/>
        <w:ind w:firstLine="709"/>
        <w:contextualSpacing/>
        <w:rPr>
          <w:rFonts w:ascii="Times" w:hAnsi="Times"/>
          <w:szCs w:val="24"/>
        </w:rPr>
      </w:pPr>
      <w:r>
        <w:rPr>
          <w:rFonts w:ascii="Times" w:hAnsi="Times"/>
          <w:szCs w:val="24"/>
        </w:rPr>
        <w:t>A</w:t>
      </w:r>
      <w:r w:rsidR="00F334FA" w:rsidRPr="006119A1">
        <w:rPr>
          <w:rFonts w:ascii="Times" w:hAnsi="Times"/>
          <w:szCs w:val="24"/>
        </w:rPr>
        <w:t xml:space="preserve"> decomposição do rendimento domiciliar </w:t>
      </w:r>
      <w:r w:rsidR="00F334FA" w:rsidRPr="006119A1">
        <w:rPr>
          <w:rFonts w:ascii="Times" w:hAnsi="Times"/>
          <w:i/>
          <w:szCs w:val="24"/>
        </w:rPr>
        <w:t>per capita</w:t>
      </w:r>
      <w:r w:rsidR="00F334FA" w:rsidRPr="006119A1">
        <w:rPr>
          <w:rFonts w:ascii="Times" w:hAnsi="Times"/>
          <w:szCs w:val="24"/>
        </w:rPr>
        <w:t xml:space="preserve">, </w:t>
      </w:r>
      <w:r w:rsidR="00501BC4">
        <w:rPr>
          <w:rFonts w:ascii="Times" w:hAnsi="Times"/>
          <w:szCs w:val="24"/>
        </w:rPr>
        <w:t xml:space="preserve">neste artigo, </w:t>
      </w:r>
      <w:r w:rsidR="00506DC6" w:rsidRPr="006119A1">
        <w:rPr>
          <w:rFonts w:ascii="Times" w:hAnsi="Times"/>
          <w:szCs w:val="24"/>
        </w:rPr>
        <w:t>explora</w:t>
      </w:r>
      <w:r w:rsidR="00F334FA" w:rsidRPr="006119A1">
        <w:rPr>
          <w:rFonts w:ascii="Times" w:hAnsi="Times"/>
          <w:szCs w:val="24"/>
        </w:rPr>
        <w:t xml:space="preserve"> </w:t>
      </w:r>
      <w:r w:rsidR="00A86984" w:rsidRPr="006119A1">
        <w:rPr>
          <w:rFonts w:ascii="Times" w:hAnsi="Times"/>
          <w:szCs w:val="24"/>
        </w:rPr>
        <w:t>três</w:t>
      </w:r>
      <w:r w:rsidR="00F334FA" w:rsidRPr="006119A1">
        <w:rPr>
          <w:rFonts w:ascii="Times" w:hAnsi="Times"/>
          <w:szCs w:val="24"/>
        </w:rPr>
        <w:t xml:space="preserve"> componentes: </w:t>
      </w:r>
      <w:r w:rsidR="00BB63BF" w:rsidRPr="006119A1">
        <w:rPr>
          <w:rFonts w:ascii="Times" w:hAnsi="Times"/>
          <w:szCs w:val="24"/>
        </w:rPr>
        <w:t xml:space="preserve">rendimento do </w:t>
      </w:r>
      <w:r w:rsidR="00F334FA" w:rsidRPr="006119A1">
        <w:rPr>
          <w:rFonts w:ascii="Times" w:hAnsi="Times"/>
          <w:szCs w:val="24"/>
        </w:rPr>
        <w:t xml:space="preserve">trabalho; aposentadorias e pensões; e outras rendas. As outras rendas são compostas tanto pela renda do capital quanto pelas transferências de renda advindas dos programas sociais. </w:t>
      </w:r>
    </w:p>
    <w:p w14:paraId="35ADFE6D" w14:textId="77777777" w:rsidR="00A10268" w:rsidRDefault="00F334FA" w:rsidP="00347B57">
      <w:pPr>
        <w:pStyle w:val="Pargrafo"/>
        <w:ind w:firstLine="709"/>
        <w:contextualSpacing/>
        <w:rPr>
          <w:rFonts w:ascii="Times" w:hAnsi="Times"/>
          <w:szCs w:val="24"/>
        </w:rPr>
      </w:pPr>
      <w:r w:rsidRPr="006119A1">
        <w:rPr>
          <w:rFonts w:ascii="Times" w:hAnsi="Times"/>
          <w:szCs w:val="24"/>
        </w:rPr>
        <w:t>Consideram-se rendimentos de trabalho</w:t>
      </w:r>
      <w:r w:rsidR="00506DC6" w:rsidRPr="006119A1">
        <w:rPr>
          <w:rFonts w:ascii="Times" w:hAnsi="Times"/>
          <w:szCs w:val="24"/>
        </w:rPr>
        <w:t xml:space="preserve"> principal</w:t>
      </w:r>
      <w:r w:rsidRPr="006119A1">
        <w:rPr>
          <w:rFonts w:ascii="Times" w:hAnsi="Times"/>
          <w:szCs w:val="24"/>
        </w:rPr>
        <w:t xml:space="preserve"> os decorrentes dos pagamentos brutos mensais aos empregados, empregadores e conta própria</w:t>
      </w:r>
      <w:r w:rsidR="00506DC6" w:rsidRPr="006119A1">
        <w:rPr>
          <w:rFonts w:ascii="Times" w:hAnsi="Times"/>
          <w:szCs w:val="24"/>
        </w:rPr>
        <w:t>.</w:t>
      </w:r>
      <w:r w:rsidRPr="006119A1">
        <w:rPr>
          <w:rFonts w:ascii="Times" w:hAnsi="Times"/>
          <w:szCs w:val="24"/>
        </w:rPr>
        <w:t xml:space="preserve"> O trabalho principal é o trabalho único que a pessoa de 10 anos ou mais de idade teve no período da pesquisa (semana de referência da PNAD), impondo-se outros critérios para casos especiais.</w:t>
      </w:r>
      <w:r w:rsidR="001D0877" w:rsidRPr="006119A1">
        <w:rPr>
          <w:rFonts w:ascii="Times" w:hAnsi="Times"/>
          <w:szCs w:val="24"/>
        </w:rPr>
        <w:t xml:space="preserve"> </w:t>
      </w:r>
      <w:r w:rsidRPr="006119A1">
        <w:rPr>
          <w:rFonts w:ascii="Times" w:hAnsi="Times"/>
          <w:szCs w:val="24"/>
        </w:rPr>
        <w:t xml:space="preserve"> </w:t>
      </w:r>
    </w:p>
    <w:p w14:paraId="336E19DF" w14:textId="3004729F" w:rsidR="00F334FA" w:rsidRDefault="00F334FA" w:rsidP="00347B57">
      <w:pPr>
        <w:pStyle w:val="Pargrafo"/>
        <w:ind w:firstLine="709"/>
        <w:contextualSpacing/>
        <w:rPr>
          <w:rFonts w:ascii="Times" w:hAnsi="Times"/>
          <w:szCs w:val="24"/>
        </w:rPr>
      </w:pPr>
      <w:r w:rsidRPr="006119A1">
        <w:rPr>
          <w:rFonts w:ascii="Times" w:hAnsi="Times"/>
          <w:szCs w:val="24"/>
        </w:rPr>
        <w:t>Os rendimentos de aposentadorias e pensões são aqueles pagos pelo governo federal ou por instituto de previdência federal, estadual ou municipal, entidades seguradoras ou fundos de pensão</w:t>
      </w:r>
      <w:r w:rsidR="00D60843" w:rsidRPr="006119A1">
        <w:rPr>
          <w:rFonts w:ascii="Times" w:hAnsi="Times"/>
          <w:szCs w:val="24"/>
        </w:rPr>
        <w:t>. As</w:t>
      </w:r>
      <w:r w:rsidR="00506DC6" w:rsidRPr="006119A1">
        <w:rPr>
          <w:rFonts w:ascii="Times" w:hAnsi="Times"/>
          <w:szCs w:val="24"/>
        </w:rPr>
        <w:t xml:space="preserve"> outras rendas são as que adv</w:t>
      </w:r>
      <w:r w:rsidR="0015270F" w:rsidRPr="006119A1">
        <w:rPr>
          <w:rFonts w:ascii="Times" w:hAnsi="Times"/>
          <w:szCs w:val="24"/>
        </w:rPr>
        <w:t>ê</w:t>
      </w:r>
      <w:r w:rsidR="00506DC6" w:rsidRPr="006119A1">
        <w:rPr>
          <w:rFonts w:ascii="Times" w:hAnsi="Times"/>
          <w:szCs w:val="24"/>
        </w:rPr>
        <w:t>m das</w:t>
      </w:r>
      <w:r w:rsidRPr="006119A1">
        <w:rPr>
          <w:rFonts w:ascii="Times" w:hAnsi="Times"/>
          <w:szCs w:val="24"/>
        </w:rPr>
        <w:t xml:space="preserve"> transferências de renda de programa oficial de auxílio educacional (como o bolsa-escola) ou social (renda mínima, bolsa</w:t>
      </w:r>
      <w:r w:rsidR="00586957" w:rsidRPr="006119A1">
        <w:rPr>
          <w:rFonts w:ascii="Times" w:hAnsi="Times"/>
          <w:szCs w:val="24"/>
        </w:rPr>
        <w:t>-</w:t>
      </w:r>
      <w:r w:rsidRPr="006119A1">
        <w:rPr>
          <w:rFonts w:ascii="Times" w:hAnsi="Times"/>
          <w:szCs w:val="24"/>
        </w:rPr>
        <w:t>família, benefício assistencial de prestação continuada</w:t>
      </w:r>
      <w:r w:rsidR="00586957" w:rsidRPr="006119A1">
        <w:rPr>
          <w:rFonts w:ascii="Times" w:hAnsi="Times"/>
          <w:szCs w:val="24"/>
        </w:rPr>
        <w:t xml:space="preserve"> –</w:t>
      </w:r>
      <w:r w:rsidRPr="006119A1">
        <w:rPr>
          <w:rFonts w:ascii="Times" w:hAnsi="Times"/>
          <w:szCs w:val="24"/>
        </w:rPr>
        <w:t xml:space="preserve"> BPC</w:t>
      </w:r>
      <w:r w:rsidR="00E67C89">
        <w:rPr>
          <w:rFonts w:ascii="Times" w:hAnsi="Times"/>
          <w:szCs w:val="24"/>
        </w:rPr>
        <w:t xml:space="preserve"> –</w:t>
      </w:r>
      <w:r w:rsidRPr="006119A1">
        <w:rPr>
          <w:rFonts w:ascii="Times" w:hAnsi="Times"/>
          <w:szCs w:val="24"/>
        </w:rPr>
        <w:t xml:space="preserve">LOAS, programa de erradicação do trabalho infantil </w:t>
      </w:r>
      <w:r w:rsidR="00586957" w:rsidRPr="006119A1">
        <w:rPr>
          <w:rFonts w:ascii="Times" w:hAnsi="Times"/>
          <w:szCs w:val="24"/>
        </w:rPr>
        <w:t>–</w:t>
      </w:r>
      <w:r w:rsidRPr="006119A1">
        <w:rPr>
          <w:rFonts w:ascii="Times" w:hAnsi="Times"/>
          <w:szCs w:val="24"/>
        </w:rPr>
        <w:t xml:space="preserve"> PETI e outros)</w:t>
      </w:r>
      <w:r w:rsidR="005B4436" w:rsidRPr="006119A1">
        <w:rPr>
          <w:rFonts w:ascii="Times" w:hAnsi="Times"/>
          <w:szCs w:val="24"/>
        </w:rPr>
        <w:t xml:space="preserve">, </w:t>
      </w:r>
      <w:r w:rsidR="00586957" w:rsidRPr="006119A1">
        <w:rPr>
          <w:rFonts w:ascii="Times" w:hAnsi="Times"/>
          <w:szCs w:val="24"/>
        </w:rPr>
        <w:t>além</w:t>
      </w:r>
      <w:r w:rsidR="005B4436" w:rsidRPr="006119A1">
        <w:rPr>
          <w:rFonts w:ascii="Times" w:hAnsi="Times"/>
          <w:szCs w:val="24"/>
        </w:rPr>
        <w:t xml:space="preserve"> da</w:t>
      </w:r>
      <w:r w:rsidRPr="006119A1">
        <w:rPr>
          <w:rFonts w:ascii="Times" w:hAnsi="Times"/>
          <w:szCs w:val="24"/>
        </w:rPr>
        <w:t xml:space="preserve"> renda de capital, decorrente de aplicações financeiras em ativos financeiros de renda fixa, caderneta de poupança e outros.</w:t>
      </w:r>
    </w:p>
    <w:p w14:paraId="21E33D88" w14:textId="688D62BA" w:rsidR="009669A7" w:rsidRPr="006119A1" w:rsidRDefault="009669A7" w:rsidP="00347B57">
      <w:pPr>
        <w:pStyle w:val="Pargrafo"/>
        <w:ind w:firstLine="709"/>
        <w:contextualSpacing/>
        <w:rPr>
          <w:rFonts w:ascii="Times" w:hAnsi="Times"/>
          <w:szCs w:val="24"/>
        </w:rPr>
      </w:pPr>
      <w:r>
        <w:rPr>
          <w:rFonts w:ascii="Times" w:hAnsi="Times"/>
          <w:szCs w:val="24"/>
        </w:rPr>
        <w:t xml:space="preserve">Os cálculos realizados foram os de participação de cada fonte de renda na renda domiciliar </w:t>
      </w:r>
      <w:r w:rsidRPr="009669A7">
        <w:rPr>
          <w:rFonts w:ascii="Times" w:hAnsi="Times"/>
          <w:i/>
          <w:szCs w:val="24"/>
        </w:rPr>
        <w:t>per capita</w:t>
      </w:r>
      <w:r>
        <w:rPr>
          <w:rFonts w:ascii="Times" w:hAnsi="Times"/>
          <w:szCs w:val="24"/>
        </w:rPr>
        <w:t xml:space="preserve"> e a razão de concentração. A razão de concentração de cada fonte de renda é comparada com o Índice de Gini do Brasil e da região Sul. </w:t>
      </w:r>
    </w:p>
    <w:p w14:paraId="6E0D70F3" w14:textId="77777777" w:rsidR="00426384" w:rsidRDefault="00426384" w:rsidP="00347B57">
      <w:pPr>
        <w:widowControl w:val="0"/>
        <w:autoSpaceDE w:val="0"/>
        <w:autoSpaceDN w:val="0"/>
        <w:adjustRightInd w:val="0"/>
        <w:spacing w:line="360" w:lineRule="auto"/>
        <w:contextualSpacing/>
        <w:jc w:val="both"/>
        <w:outlineLvl w:val="0"/>
        <w:rPr>
          <w:rFonts w:ascii="Times" w:hAnsi="Times" w:cs="Times New Roman"/>
          <w:b/>
          <w:bCs/>
          <w:noProof/>
        </w:rPr>
      </w:pPr>
    </w:p>
    <w:p w14:paraId="4259B05E" w14:textId="68F73086" w:rsidR="00D65F8B" w:rsidRPr="006119A1" w:rsidRDefault="006A7CAC" w:rsidP="00347B57">
      <w:pPr>
        <w:widowControl w:val="0"/>
        <w:autoSpaceDE w:val="0"/>
        <w:autoSpaceDN w:val="0"/>
        <w:adjustRightInd w:val="0"/>
        <w:spacing w:line="360" w:lineRule="auto"/>
        <w:contextualSpacing/>
        <w:jc w:val="both"/>
        <w:outlineLvl w:val="0"/>
        <w:rPr>
          <w:rFonts w:ascii="Times" w:hAnsi="Times" w:cs="Times New Roman"/>
          <w:b/>
          <w:bCs/>
          <w:noProof/>
        </w:rPr>
      </w:pPr>
      <w:r>
        <w:rPr>
          <w:rFonts w:ascii="Times" w:hAnsi="Times" w:cs="Times New Roman"/>
          <w:b/>
          <w:bCs/>
          <w:noProof/>
        </w:rPr>
        <w:t>4</w:t>
      </w:r>
      <w:r w:rsidR="002931F5" w:rsidRPr="006119A1">
        <w:rPr>
          <w:rFonts w:ascii="Times" w:hAnsi="Times" w:cs="Times New Roman"/>
          <w:b/>
          <w:bCs/>
          <w:noProof/>
        </w:rPr>
        <w:t xml:space="preserve"> RESULTADOS E DISCUSSÕES</w:t>
      </w:r>
    </w:p>
    <w:p w14:paraId="05CFE037" w14:textId="308602CF" w:rsidR="00343383" w:rsidRDefault="006A7CAC" w:rsidP="00347B57">
      <w:pPr>
        <w:widowControl w:val="0"/>
        <w:autoSpaceDE w:val="0"/>
        <w:autoSpaceDN w:val="0"/>
        <w:adjustRightInd w:val="0"/>
        <w:spacing w:line="360" w:lineRule="auto"/>
        <w:contextualSpacing/>
        <w:jc w:val="both"/>
        <w:outlineLvl w:val="0"/>
        <w:rPr>
          <w:rFonts w:ascii="Times" w:hAnsi="Times" w:cs="Times New Roman"/>
          <w:b/>
          <w:bCs/>
          <w:noProof/>
        </w:rPr>
      </w:pPr>
      <w:r>
        <w:rPr>
          <w:rFonts w:ascii="Times" w:hAnsi="Times" w:cs="Times New Roman"/>
          <w:b/>
          <w:bCs/>
          <w:noProof/>
        </w:rPr>
        <w:t>4</w:t>
      </w:r>
      <w:r w:rsidR="00D65F8B" w:rsidRPr="006119A1">
        <w:rPr>
          <w:rFonts w:ascii="Times" w:hAnsi="Times" w:cs="Times New Roman"/>
          <w:b/>
          <w:bCs/>
          <w:noProof/>
        </w:rPr>
        <w:t xml:space="preserve">.1 Participação das fontes de renda dos domícilios da </w:t>
      </w:r>
      <w:r w:rsidR="00B82DFB" w:rsidRPr="006119A1">
        <w:rPr>
          <w:rFonts w:ascii="Times" w:hAnsi="Times" w:cs="Times New Roman"/>
          <w:b/>
          <w:bCs/>
          <w:noProof/>
        </w:rPr>
        <w:t>Região</w:t>
      </w:r>
      <w:r w:rsidR="00D65F8B" w:rsidRPr="006119A1">
        <w:rPr>
          <w:rFonts w:ascii="Times" w:hAnsi="Times" w:cs="Times New Roman"/>
          <w:b/>
          <w:bCs/>
          <w:noProof/>
        </w:rPr>
        <w:t xml:space="preserve"> Sul</w:t>
      </w:r>
      <w:r w:rsidR="00393C85" w:rsidRPr="006119A1">
        <w:rPr>
          <w:rFonts w:ascii="Times" w:hAnsi="Times" w:cs="Times New Roman"/>
          <w:b/>
          <w:bCs/>
          <w:noProof/>
        </w:rPr>
        <w:t xml:space="preserve"> e do Brasil</w:t>
      </w:r>
      <w:r w:rsidR="00E935BD" w:rsidRPr="006119A1">
        <w:rPr>
          <w:rFonts w:ascii="Times" w:hAnsi="Times" w:cs="Times New Roman"/>
          <w:b/>
          <w:bCs/>
          <w:noProof/>
        </w:rPr>
        <w:t>: governos FHC e LULA</w:t>
      </w:r>
    </w:p>
    <w:p w14:paraId="33220003" w14:textId="35C62DF9" w:rsidR="00CF7838" w:rsidRDefault="008A633C" w:rsidP="00282B85">
      <w:pPr>
        <w:widowControl w:val="0"/>
        <w:autoSpaceDE w:val="0"/>
        <w:autoSpaceDN w:val="0"/>
        <w:adjustRightInd w:val="0"/>
        <w:spacing w:line="360" w:lineRule="auto"/>
        <w:ind w:firstLine="720"/>
        <w:contextualSpacing/>
        <w:jc w:val="both"/>
        <w:outlineLvl w:val="0"/>
        <w:rPr>
          <w:rFonts w:ascii="Times" w:hAnsi="Times" w:cs="Times New Roman"/>
          <w:bCs/>
          <w:noProof/>
          <w:color w:val="000000" w:themeColor="text1"/>
        </w:rPr>
      </w:pPr>
      <w:r>
        <w:rPr>
          <w:rFonts w:ascii="Times" w:hAnsi="Times" w:cs="Times New Roman"/>
          <w:bCs/>
          <w:noProof/>
          <w:color w:val="000000" w:themeColor="text1"/>
        </w:rPr>
        <w:t>D</w:t>
      </w:r>
      <w:r w:rsidR="00282B85" w:rsidRPr="009B03DE">
        <w:rPr>
          <w:rFonts w:ascii="Times" w:hAnsi="Times" w:cs="Times New Roman"/>
          <w:bCs/>
          <w:noProof/>
          <w:color w:val="000000" w:themeColor="text1"/>
        </w:rPr>
        <w:t xml:space="preserve">e acordo com </w:t>
      </w:r>
      <w:r w:rsidR="0006651E">
        <w:rPr>
          <w:rFonts w:ascii="Times" w:hAnsi="Times" w:cs="Times New Roman"/>
          <w:bCs/>
          <w:noProof/>
          <w:color w:val="000000" w:themeColor="text1"/>
        </w:rPr>
        <w:t>os dados d</w:t>
      </w:r>
      <w:r w:rsidR="00282B85" w:rsidRPr="009B03DE">
        <w:rPr>
          <w:rFonts w:ascii="Times" w:hAnsi="Times" w:cs="Times New Roman"/>
          <w:bCs/>
          <w:noProof/>
          <w:color w:val="000000" w:themeColor="text1"/>
        </w:rPr>
        <w:t xml:space="preserve">a Tabela </w:t>
      </w:r>
      <w:r w:rsidR="00D82E94">
        <w:rPr>
          <w:rFonts w:ascii="Times" w:hAnsi="Times" w:cs="Times New Roman"/>
          <w:bCs/>
          <w:noProof/>
          <w:color w:val="000000" w:themeColor="text1"/>
        </w:rPr>
        <w:t>9,</w:t>
      </w:r>
      <w:r w:rsidR="00282B85" w:rsidRPr="009B03DE">
        <w:rPr>
          <w:rFonts w:ascii="Times" w:hAnsi="Times" w:cs="Times New Roman"/>
          <w:bCs/>
          <w:noProof/>
          <w:color w:val="000000" w:themeColor="text1"/>
        </w:rPr>
        <w:t xml:space="preserve"> </w:t>
      </w:r>
      <w:r>
        <w:rPr>
          <w:rFonts w:ascii="Times" w:hAnsi="Times" w:cs="Times New Roman"/>
          <w:bCs/>
          <w:noProof/>
          <w:color w:val="000000" w:themeColor="text1"/>
        </w:rPr>
        <w:t>d</w:t>
      </w:r>
      <w:r w:rsidRPr="009B03DE">
        <w:rPr>
          <w:rFonts w:ascii="Times" w:hAnsi="Times" w:cs="Times New Roman"/>
          <w:bCs/>
          <w:noProof/>
          <w:color w:val="000000" w:themeColor="text1"/>
        </w:rPr>
        <w:t>e 1995-2002</w:t>
      </w:r>
      <w:r>
        <w:rPr>
          <w:rFonts w:ascii="Times" w:hAnsi="Times" w:cs="Times New Roman"/>
          <w:bCs/>
          <w:noProof/>
          <w:color w:val="000000" w:themeColor="text1"/>
        </w:rPr>
        <w:t>, nos governos</w:t>
      </w:r>
      <w:r w:rsidRPr="009B03DE">
        <w:rPr>
          <w:rFonts w:ascii="Times" w:hAnsi="Times" w:cs="Times New Roman"/>
          <w:bCs/>
          <w:noProof/>
          <w:color w:val="000000" w:themeColor="text1"/>
        </w:rPr>
        <w:t xml:space="preserve"> </w:t>
      </w:r>
      <w:r>
        <w:rPr>
          <w:rFonts w:ascii="Times" w:hAnsi="Times" w:cs="Times New Roman"/>
          <w:bCs/>
          <w:noProof/>
          <w:color w:val="000000" w:themeColor="text1"/>
        </w:rPr>
        <w:t xml:space="preserve">FHC, </w:t>
      </w:r>
      <w:r w:rsidR="00282B85" w:rsidRPr="009B03DE">
        <w:rPr>
          <w:rFonts w:ascii="Times" w:hAnsi="Times" w:cs="Times New Roman"/>
          <w:bCs/>
          <w:noProof/>
          <w:color w:val="000000" w:themeColor="text1"/>
        </w:rPr>
        <w:t xml:space="preserve">a participação do </w:t>
      </w:r>
      <w:r w:rsidR="001D23E8">
        <w:rPr>
          <w:rFonts w:ascii="Times" w:hAnsi="Times" w:cs="Times New Roman"/>
          <w:bCs/>
          <w:noProof/>
          <w:color w:val="000000" w:themeColor="text1"/>
        </w:rPr>
        <w:t xml:space="preserve">rendimento do </w:t>
      </w:r>
      <w:r w:rsidR="00282B85" w:rsidRPr="009B03DE">
        <w:rPr>
          <w:rFonts w:ascii="Times" w:hAnsi="Times" w:cs="Times New Roman"/>
          <w:bCs/>
          <w:noProof/>
          <w:color w:val="000000" w:themeColor="text1"/>
        </w:rPr>
        <w:t>trabalho principal na renda domiciliar esteve em declínio</w:t>
      </w:r>
      <w:r w:rsidR="001D23E8">
        <w:rPr>
          <w:rFonts w:ascii="Times" w:hAnsi="Times" w:cs="Times New Roman"/>
          <w:bCs/>
          <w:noProof/>
          <w:color w:val="000000" w:themeColor="text1"/>
        </w:rPr>
        <w:t>(</w:t>
      </w:r>
      <w:r w:rsidR="00282B85" w:rsidRPr="009B03DE">
        <w:rPr>
          <w:rFonts w:ascii="Times" w:hAnsi="Times" w:cs="Times New Roman"/>
          <w:bCs/>
          <w:noProof/>
          <w:color w:val="000000" w:themeColor="text1"/>
        </w:rPr>
        <w:t>– 5,72%</w:t>
      </w:r>
      <w:r w:rsidR="001D23E8">
        <w:rPr>
          <w:rFonts w:ascii="Times" w:hAnsi="Times" w:cs="Times New Roman"/>
          <w:bCs/>
          <w:noProof/>
          <w:color w:val="000000" w:themeColor="text1"/>
        </w:rPr>
        <w:t>)</w:t>
      </w:r>
      <w:r w:rsidR="00282B85" w:rsidRPr="009B03DE">
        <w:rPr>
          <w:rFonts w:ascii="Times" w:hAnsi="Times" w:cs="Times New Roman"/>
          <w:bCs/>
          <w:noProof/>
          <w:color w:val="000000" w:themeColor="text1"/>
        </w:rPr>
        <w:t xml:space="preserve">, ao passo que </w:t>
      </w:r>
      <w:r w:rsidR="001D23E8">
        <w:rPr>
          <w:rFonts w:ascii="Times" w:hAnsi="Times" w:cs="Times New Roman"/>
          <w:bCs/>
          <w:noProof/>
          <w:color w:val="000000" w:themeColor="text1"/>
        </w:rPr>
        <w:t>a d</w:t>
      </w:r>
      <w:r w:rsidR="00282B85" w:rsidRPr="009B03DE">
        <w:rPr>
          <w:rFonts w:ascii="Times" w:hAnsi="Times" w:cs="Times New Roman"/>
          <w:bCs/>
          <w:noProof/>
          <w:color w:val="000000" w:themeColor="text1"/>
        </w:rPr>
        <w:t xml:space="preserve">as </w:t>
      </w:r>
      <w:r w:rsidR="001D23E8">
        <w:rPr>
          <w:rFonts w:ascii="Times" w:hAnsi="Times" w:cs="Times New Roman"/>
          <w:bCs/>
          <w:noProof/>
          <w:color w:val="000000" w:themeColor="text1"/>
        </w:rPr>
        <w:t xml:space="preserve">rendas das </w:t>
      </w:r>
      <w:r w:rsidR="00282B85" w:rsidRPr="009B03DE">
        <w:rPr>
          <w:rFonts w:ascii="Times" w:hAnsi="Times" w:cs="Times New Roman"/>
          <w:bCs/>
          <w:noProof/>
          <w:color w:val="000000" w:themeColor="text1"/>
        </w:rPr>
        <w:t>aposentadorias e pensões, além de outras rendas, experimentaram uma ascensão</w:t>
      </w:r>
      <w:r w:rsidR="001D23E8">
        <w:rPr>
          <w:rFonts w:ascii="Times" w:hAnsi="Times" w:cs="Times New Roman"/>
          <w:bCs/>
          <w:noProof/>
          <w:color w:val="000000" w:themeColor="text1"/>
        </w:rPr>
        <w:t xml:space="preserve"> (</w:t>
      </w:r>
      <w:r w:rsidR="00282B85" w:rsidRPr="009B03DE">
        <w:rPr>
          <w:rFonts w:ascii="Times" w:hAnsi="Times" w:cs="Times New Roman"/>
          <w:bCs/>
          <w:noProof/>
          <w:color w:val="000000" w:themeColor="text1"/>
        </w:rPr>
        <w:t>6,08% e 0,05% respectivamente</w:t>
      </w:r>
      <w:r w:rsidR="00D14B2D">
        <w:rPr>
          <w:rFonts w:ascii="Times" w:hAnsi="Times" w:cs="Times New Roman"/>
          <w:bCs/>
          <w:noProof/>
          <w:color w:val="000000" w:themeColor="text1"/>
        </w:rPr>
        <w:t>)</w:t>
      </w:r>
      <w:r w:rsidR="00282B85" w:rsidRPr="009B03DE">
        <w:rPr>
          <w:rFonts w:ascii="Times" w:hAnsi="Times" w:cs="Times New Roman"/>
          <w:bCs/>
          <w:noProof/>
          <w:color w:val="000000" w:themeColor="text1"/>
        </w:rPr>
        <w:t xml:space="preserve"> na Região Sul. No Brasil,  </w:t>
      </w:r>
      <w:r w:rsidR="00D82E94">
        <w:rPr>
          <w:rFonts w:ascii="Times" w:hAnsi="Times" w:cs="Times New Roman"/>
          <w:bCs/>
          <w:noProof/>
          <w:color w:val="000000" w:themeColor="text1"/>
        </w:rPr>
        <w:t>a presença relativa d</w:t>
      </w:r>
      <w:r w:rsidR="00282B85" w:rsidRPr="009B03DE">
        <w:rPr>
          <w:rFonts w:ascii="Times" w:hAnsi="Times" w:cs="Times New Roman"/>
          <w:bCs/>
          <w:noProof/>
          <w:color w:val="000000" w:themeColor="text1"/>
        </w:rPr>
        <w:t xml:space="preserve">o </w:t>
      </w:r>
      <w:r w:rsidR="00282B85" w:rsidRPr="009B03DE">
        <w:rPr>
          <w:rFonts w:ascii="Times" w:hAnsi="Times" w:cs="Times New Roman"/>
          <w:bCs/>
          <w:noProof/>
          <w:color w:val="000000" w:themeColor="text1"/>
        </w:rPr>
        <w:lastRenderedPageBreak/>
        <w:t>trabalho principal caiu -4,37%, as aposentadorias e pensões aumentaram 4,43% e outr</w:t>
      </w:r>
      <w:r w:rsidR="00257D07">
        <w:rPr>
          <w:rFonts w:ascii="Times" w:hAnsi="Times" w:cs="Times New Roman"/>
          <w:bCs/>
          <w:noProof/>
          <w:color w:val="000000" w:themeColor="text1"/>
        </w:rPr>
        <w:t>as rendas</w:t>
      </w:r>
      <w:r w:rsidR="00282B85" w:rsidRPr="009B03DE">
        <w:rPr>
          <w:rFonts w:ascii="Times" w:hAnsi="Times" w:cs="Times New Roman"/>
          <w:bCs/>
          <w:noProof/>
          <w:color w:val="000000" w:themeColor="text1"/>
        </w:rPr>
        <w:t xml:space="preserve"> 0,41%.</w:t>
      </w:r>
      <w:r w:rsidR="00D14B2D">
        <w:rPr>
          <w:rFonts w:ascii="Times" w:hAnsi="Times" w:cs="Times New Roman"/>
          <w:bCs/>
          <w:noProof/>
          <w:color w:val="000000" w:themeColor="text1"/>
        </w:rPr>
        <w:t xml:space="preserve"> </w:t>
      </w:r>
    </w:p>
    <w:p w14:paraId="46DC2C05" w14:textId="4F25A5A0" w:rsidR="00E35163" w:rsidRDefault="00E35163" w:rsidP="000F6EB8">
      <w:pPr>
        <w:widowControl w:val="0"/>
        <w:autoSpaceDE w:val="0"/>
        <w:autoSpaceDN w:val="0"/>
        <w:adjustRightInd w:val="0"/>
        <w:contextualSpacing/>
        <w:jc w:val="both"/>
        <w:outlineLvl w:val="0"/>
        <w:rPr>
          <w:rFonts w:ascii="Times" w:hAnsi="Times" w:cs="Times New Roman"/>
          <w:bCs/>
          <w:noProof/>
        </w:rPr>
      </w:pPr>
    </w:p>
    <w:p w14:paraId="37FF7131" w14:textId="576C03D1" w:rsidR="00D65F8B" w:rsidRPr="001D23E8" w:rsidRDefault="00744DED" w:rsidP="000F6EB8">
      <w:pPr>
        <w:widowControl w:val="0"/>
        <w:autoSpaceDE w:val="0"/>
        <w:autoSpaceDN w:val="0"/>
        <w:adjustRightInd w:val="0"/>
        <w:contextualSpacing/>
        <w:jc w:val="both"/>
        <w:outlineLvl w:val="0"/>
        <w:rPr>
          <w:rFonts w:ascii="Times" w:hAnsi="Times" w:cs="Times New Roman"/>
          <w:bCs/>
          <w:noProof/>
        </w:rPr>
      </w:pPr>
      <w:r w:rsidRPr="008B35C7">
        <w:rPr>
          <w:rFonts w:ascii="Times" w:hAnsi="Times" w:cs="Times New Roman"/>
          <w:bCs/>
          <w:noProof/>
        </w:rPr>
        <w:t xml:space="preserve">Tabela </w:t>
      </w:r>
      <w:r w:rsidR="00C90F2E" w:rsidRPr="008B35C7">
        <w:rPr>
          <w:rFonts w:ascii="Times" w:hAnsi="Times" w:cs="Times New Roman"/>
          <w:bCs/>
          <w:noProof/>
        </w:rPr>
        <w:t>9 -</w:t>
      </w:r>
      <w:r w:rsidRPr="001D23E8">
        <w:rPr>
          <w:rFonts w:ascii="Times" w:hAnsi="Times" w:cs="Times New Roman"/>
          <w:bCs/>
          <w:noProof/>
        </w:rPr>
        <w:t xml:space="preserve"> Participação percentual das fontes de renda dos domicílios da Região Sul e do Brasil,  de</w:t>
      </w:r>
      <w:r w:rsidR="00FC0B25" w:rsidRPr="001D23E8">
        <w:rPr>
          <w:rFonts w:ascii="Times" w:hAnsi="Times" w:cs="Times New Roman"/>
          <w:bCs/>
          <w:noProof/>
        </w:rPr>
        <w:t xml:space="preserve"> 1995</w:t>
      </w:r>
      <w:r w:rsidRPr="001D23E8">
        <w:rPr>
          <w:rFonts w:ascii="Times" w:hAnsi="Times" w:cs="Times New Roman"/>
          <w:bCs/>
          <w:noProof/>
        </w:rPr>
        <w:t xml:space="preserve"> a 20</w:t>
      </w:r>
      <w:r w:rsidR="00E35163">
        <w:rPr>
          <w:rFonts w:ascii="Times" w:hAnsi="Times" w:cs="Times New Roman"/>
          <w:bCs/>
          <w:noProof/>
        </w:rPr>
        <w:t>09</w:t>
      </w:r>
    </w:p>
    <w:tbl>
      <w:tblPr>
        <w:tblStyle w:val="SombreamentoClaro"/>
        <w:tblpPr w:leftFromText="180" w:rightFromText="180" w:vertAnchor="text" w:horzAnchor="page" w:tblpX="1483" w:tblpY="263"/>
        <w:tblW w:w="5235" w:type="pct"/>
        <w:tblLook w:val="06A0" w:firstRow="1" w:lastRow="0" w:firstColumn="1" w:lastColumn="0" w:noHBand="1" w:noVBand="1"/>
      </w:tblPr>
      <w:tblGrid>
        <w:gridCol w:w="1773"/>
        <w:gridCol w:w="1739"/>
        <w:gridCol w:w="981"/>
        <w:gridCol w:w="1000"/>
        <w:gridCol w:w="1002"/>
        <w:gridCol w:w="1000"/>
        <w:gridCol w:w="1000"/>
        <w:gridCol w:w="995"/>
      </w:tblGrid>
      <w:tr w:rsidR="00C93853" w:rsidRPr="00673CDF" w14:paraId="5ECBA6ED" w14:textId="77777777" w:rsidTr="00E35163">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934" w:type="pct"/>
          </w:tcPr>
          <w:p w14:paraId="5DA63426" w14:textId="77777777" w:rsidR="00C93853" w:rsidRPr="00673CDF" w:rsidRDefault="00C93853" w:rsidP="00DE7E1A">
            <w:pPr>
              <w:pStyle w:val="Normaljustificado"/>
              <w:contextualSpacing/>
              <w:rPr>
                <w:rFonts w:ascii="Times" w:hAnsi="Times"/>
                <w:b w:val="0"/>
                <w:szCs w:val="22"/>
              </w:rPr>
            </w:pPr>
          </w:p>
        </w:tc>
        <w:tc>
          <w:tcPr>
            <w:tcW w:w="916" w:type="pct"/>
          </w:tcPr>
          <w:p w14:paraId="4C2B7D5B" w14:textId="77777777" w:rsidR="00C93853" w:rsidRPr="00673CDF" w:rsidRDefault="00C93853" w:rsidP="00DE7E1A">
            <w:pPr>
              <w:pStyle w:val="Normaljustificado"/>
              <w:contextualSpacing/>
              <w:jc w:val="left"/>
              <w:cnfStyle w:val="100000000000" w:firstRow="1" w:lastRow="0" w:firstColumn="0" w:lastColumn="0" w:oddVBand="0" w:evenVBand="0" w:oddHBand="0" w:evenHBand="0" w:firstRowFirstColumn="0" w:firstRowLastColumn="0" w:lastRowFirstColumn="0" w:lastRowLastColumn="0"/>
              <w:rPr>
                <w:rFonts w:ascii="Times" w:hAnsi="Times"/>
                <w:b w:val="0"/>
                <w:szCs w:val="22"/>
              </w:rPr>
            </w:pPr>
            <w:r w:rsidRPr="00673CDF">
              <w:rPr>
                <w:rFonts w:ascii="Times" w:hAnsi="Times"/>
                <w:b w:val="0"/>
                <w:szCs w:val="22"/>
              </w:rPr>
              <w:t>Ano</w:t>
            </w:r>
          </w:p>
        </w:tc>
        <w:tc>
          <w:tcPr>
            <w:tcW w:w="1572" w:type="pct"/>
            <w:gridSpan w:val="3"/>
          </w:tcPr>
          <w:p w14:paraId="3B74E6F2" w14:textId="77777777" w:rsidR="00C93853" w:rsidRPr="00673CDF" w:rsidRDefault="00C93853" w:rsidP="00DE7E1A">
            <w:pPr>
              <w:contextualSpacing/>
              <w:jc w:val="both"/>
              <w:cnfStyle w:val="100000000000" w:firstRow="1" w:lastRow="0" w:firstColumn="0" w:lastColumn="0" w:oddVBand="0" w:evenVBand="0" w:oddHBand="0" w:evenHBand="0" w:firstRowFirstColumn="0" w:firstRowLastColumn="0" w:lastRowFirstColumn="0" w:lastRowLastColumn="0"/>
              <w:rPr>
                <w:rFonts w:ascii="Times" w:hAnsi="Times"/>
                <w:b w:val="0"/>
                <w:sz w:val="22"/>
                <w:szCs w:val="22"/>
              </w:rPr>
            </w:pPr>
            <w:r w:rsidRPr="00673CDF">
              <w:rPr>
                <w:rFonts w:ascii="Times" w:hAnsi="Times"/>
                <w:b w:val="0"/>
                <w:sz w:val="22"/>
                <w:szCs w:val="22"/>
              </w:rPr>
              <w:t>Sul</w:t>
            </w:r>
          </w:p>
        </w:tc>
        <w:tc>
          <w:tcPr>
            <w:tcW w:w="1579" w:type="pct"/>
            <w:gridSpan w:val="3"/>
          </w:tcPr>
          <w:p w14:paraId="0ECCB86B" w14:textId="77777777" w:rsidR="00C93853" w:rsidRPr="00673CDF" w:rsidRDefault="00C93853" w:rsidP="00DE7E1A">
            <w:pPr>
              <w:contextualSpacing/>
              <w:jc w:val="both"/>
              <w:cnfStyle w:val="100000000000" w:firstRow="1" w:lastRow="0" w:firstColumn="0" w:lastColumn="0" w:oddVBand="0" w:evenVBand="0" w:oddHBand="0" w:evenHBand="0" w:firstRowFirstColumn="0" w:firstRowLastColumn="0" w:lastRowFirstColumn="0" w:lastRowLastColumn="0"/>
              <w:rPr>
                <w:rFonts w:ascii="Times" w:hAnsi="Times"/>
                <w:b w:val="0"/>
                <w:sz w:val="22"/>
                <w:szCs w:val="22"/>
              </w:rPr>
            </w:pPr>
            <w:r w:rsidRPr="00673CDF">
              <w:rPr>
                <w:rFonts w:ascii="Times" w:hAnsi="Times"/>
                <w:b w:val="0"/>
                <w:sz w:val="22"/>
                <w:szCs w:val="22"/>
              </w:rPr>
              <w:t>BRASIL</w:t>
            </w:r>
          </w:p>
        </w:tc>
      </w:tr>
      <w:tr w:rsidR="00673CDF" w:rsidRPr="00673CDF" w14:paraId="081BB20A" w14:textId="77777777" w:rsidTr="00E35163">
        <w:trPr>
          <w:trHeight w:val="469"/>
        </w:trPr>
        <w:tc>
          <w:tcPr>
            <w:cnfStyle w:val="001000000000" w:firstRow="0" w:lastRow="0" w:firstColumn="1" w:lastColumn="0" w:oddVBand="0" w:evenVBand="0" w:oddHBand="0" w:evenHBand="0" w:firstRowFirstColumn="0" w:firstRowLastColumn="0" w:lastRowFirstColumn="0" w:lastRowLastColumn="0"/>
            <w:tcW w:w="934" w:type="pct"/>
          </w:tcPr>
          <w:p w14:paraId="45CFCBEE" w14:textId="77777777" w:rsidR="00673CDF" w:rsidRPr="00673CDF" w:rsidRDefault="00673CDF" w:rsidP="00DE7E1A">
            <w:pPr>
              <w:pStyle w:val="Normaljustificado"/>
              <w:contextualSpacing/>
              <w:jc w:val="left"/>
              <w:rPr>
                <w:rFonts w:ascii="Times" w:hAnsi="Times"/>
                <w:b w:val="0"/>
                <w:szCs w:val="22"/>
              </w:rPr>
            </w:pPr>
          </w:p>
        </w:tc>
        <w:tc>
          <w:tcPr>
            <w:tcW w:w="916" w:type="pct"/>
          </w:tcPr>
          <w:p w14:paraId="4FCF50A3" w14:textId="77777777" w:rsidR="00673CDF" w:rsidRPr="00673CDF" w:rsidRDefault="00673CDF" w:rsidP="00DE7E1A">
            <w:pPr>
              <w:pStyle w:val="Normaljustificado"/>
              <w:contextualSpacing/>
              <w:cnfStyle w:val="000000000000" w:firstRow="0" w:lastRow="0" w:firstColumn="0" w:lastColumn="0" w:oddVBand="0" w:evenVBand="0" w:oddHBand="0" w:evenHBand="0" w:firstRowFirstColumn="0" w:firstRowLastColumn="0" w:lastRowFirstColumn="0" w:lastRowLastColumn="0"/>
              <w:rPr>
                <w:rFonts w:ascii="Times" w:hAnsi="Times"/>
                <w:b/>
                <w:szCs w:val="22"/>
              </w:rPr>
            </w:pPr>
          </w:p>
        </w:tc>
        <w:tc>
          <w:tcPr>
            <w:tcW w:w="517" w:type="pct"/>
          </w:tcPr>
          <w:p w14:paraId="5F555B9F" w14:textId="77777777" w:rsidR="00673CDF" w:rsidRPr="00673CDF" w:rsidRDefault="00673CDF"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b/>
                <w:sz w:val="22"/>
                <w:szCs w:val="22"/>
                <w:vertAlign w:val="superscript"/>
              </w:rPr>
            </w:pPr>
            <w:r w:rsidRPr="00673CDF">
              <w:rPr>
                <w:rFonts w:ascii="Times" w:hAnsi="Times"/>
                <w:b/>
                <w:sz w:val="22"/>
                <w:szCs w:val="22"/>
              </w:rPr>
              <w:t>TP</w:t>
            </w:r>
            <w:r w:rsidRPr="00673CDF">
              <w:rPr>
                <w:rFonts w:ascii="Times" w:hAnsi="Times"/>
                <w:b/>
                <w:sz w:val="22"/>
                <w:szCs w:val="22"/>
                <w:vertAlign w:val="superscript"/>
              </w:rPr>
              <w:t>1</w:t>
            </w:r>
          </w:p>
        </w:tc>
        <w:tc>
          <w:tcPr>
            <w:tcW w:w="527" w:type="pct"/>
          </w:tcPr>
          <w:p w14:paraId="68A8DDDE" w14:textId="77777777" w:rsidR="00673CDF" w:rsidRPr="00673CDF" w:rsidRDefault="00673CDF"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b/>
                <w:sz w:val="22"/>
                <w:szCs w:val="22"/>
                <w:vertAlign w:val="superscript"/>
              </w:rPr>
            </w:pPr>
            <w:r w:rsidRPr="00673CDF">
              <w:rPr>
                <w:rFonts w:ascii="Times" w:hAnsi="Times"/>
                <w:b/>
                <w:sz w:val="22"/>
                <w:szCs w:val="22"/>
              </w:rPr>
              <w:t>AP</w:t>
            </w:r>
            <w:r w:rsidRPr="00673CDF">
              <w:rPr>
                <w:rFonts w:ascii="Times" w:hAnsi="Times"/>
                <w:b/>
                <w:sz w:val="22"/>
                <w:szCs w:val="22"/>
                <w:vertAlign w:val="superscript"/>
              </w:rPr>
              <w:t>2</w:t>
            </w:r>
          </w:p>
        </w:tc>
        <w:tc>
          <w:tcPr>
            <w:tcW w:w="528" w:type="pct"/>
          </w:tcPr>
          <w:p w14:paraId="31547833" w14:textId="77777777" w:rsidR="00673CDF" w:rsidRPr="00673CDF" w:rsidRDefault="00673CDF"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b/>
                <w:sz w:val="22"/>
                <w:szCs w:val="22"/>
                <w:vertAlign w:val="superscript"/>
              </w:rPr>
            </w:pPr>
            <w:r w:rsidRPr="00673CDF">
              <w:rPr>
                <w:rFonts w:ascii="Times" w:hAnsi="Times"/>
                <w:b/>
                <w:sz w:val="22"/>
                <w:szCs w:val="22"/>
              </w:rPr>
              <w:t>OR</w:t>
            </w:r>
            <w:r w:rsidRPr="00673CDF">
              <w:rPr>
                <w:rFonts w:ascii="Times" w:hAnsi="Times"/>
                <w:b/>
                <w:sz w:val="22"/>
                <w:szCs w:val="22"/>
                <w:vertAlign w:val="superscript"/>
              </w:rPr>
              <w:t>3</w:t>
            </w:r>
          </w:p>
        </w:tc>
        <w:tc>
          <w:tcPr>
            <w:tcW w:w="527" w:type="pct"/>
          </w:tcPr>
          <w:p w14:paraId="1093FB3F" w14:textId="77777777" w:rsidR="00673CDF" w:rsidRPr="00673CDF" w:rsidRDefault="00673CDF"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b/>
                <w:sz w:val="22"/>
                <w:szCs w:val="22"/>
                <w:vertAlign w:val="superscript"/>
              </w:rPr>
            </w:pPr>
            <w:r w:rsidRPr="00673CDF">
              <w:rPr>
                <w:rFonts w:ascii="Times" w:hAnsi="Times"/>
                <w:b/>
                <w:sz w:val="22"/>
                <w:szCs w:val="22"/>
              </w:rPr>
              <w:t>TP</w:t>
            </w:r>
            <w:r w:rsidRPr="00673CDF">
              <w:rPr>
                <w:rFonts w:ascii="Times" w:hAnsi="Times"/>
                <w:b/>
                <w:sz w:val="22"/>
                <w:szCs w:val="22"/>
                <w:vertAlign w:val="superscript"/>
              </w:rPr>
              <w:t>1</w:t>
            </w:r>
          </w:p>
        </w:tc>
        <w:tc>
          <w:tcPr>
            <w:tcW w:w="527" w:type="pct"/>
          </w:tcPr>
          <w:p w14:paraId="181A54A4" w14:textId="77777777" w:rsidR="00673CDF" w:rsidRPr="00673CDF" w:rsidRDefault="00673CDF"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b/>
                <w:sz w:val="22"/>
                <w:szCs w:val="22"/>
                <w:vertAlign w:val="superscript"/>
              </w:rPr>
            </w:pPr>
            <w:r w:rsidRPr="00673CDF">
              <w:rPr>
                <w:rFonts w:ascii="Times" w:hAnsi="Times"/>
                <w:b/>
                <w:sz w:val="22"/>
                <w:szCs w:val="22"/>
              </w:rPr>
              <w:t>AP</w:t>
            </w:r>
            <w:r w:rsidRPr="00673CDF">
              <w:rPr>
                <w:rFonts w:ascii="Times" w:hAnsi="Times"/>
                <w:b/>
                <w:sz w:val="22"/>
                <w:szCs w:val="22"/>
                <w:vertAlign w:val="superscript"/>
              </w:rPr>
              <w:t>2</w:t>
            </w:r>
          </w:p>
        </w:tc>
        <w:tc>
          <w:tcPr>
            <w:tcW w:w="525" w:type="pct"/>
          </w:tcPr>
          <w:p w14:paraId="452DC642" w14:textId="77777777" w:rsidR="00673CDF" w:rsidRPr="00673CDF" w:rsidRDefault="00673CDF"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b/>
                <w:sz w:val="22"/>
                <w:szCs w:val="22"/>
                <w:vertAlign w:val="superscript"/>
              </w:rPr>
            </w:pPr>
            <w:r w:rsidRPr="00673CDF">
              <w:rPr>
                <w:rFonts w:ascii="Times" w:hAnsi="Times"/>
                <w:b/>
                <w:sz w:val="22"/>
                <w:szCs w:val="22"/>
              </w:rPr>
              <w:t>OR</w:t>
            </w:r>
            <w:r w:rsidRPr="00673CDF">
              <w:rPr>
                <w:rFonts w:ascii="Times" w:hAnsi="Times"/>
                <w:b/>
                <w:sz w:val="22"/>
                <w:szCs w:val="22"/>
                <w:vertAlign w:val="superscript"/>
              </w:rPr>
              <w:t>3</w:t>
            </w:r>
          </w:p>
        </w:tc>
      </w:tr>
      <w:tr w:rsidR="00A07316" w:rsidRPr="00673CDF" w14:paraId="2A4C2855" w14:textId="77777777" w:rsidTr="00E35163">
        <w:trPr>
          <w:trHeight w:val="469"/>
        </w:trPr>
        <w:tc>
          <w:tcPr>
            <w:cnfStyle w:val="001000000000" w:firstRow="0" w:lastRow="0" w:firstColumn="1" w:lastColumn="0" w:oddVBand="0" w:evenVBand="0" w:oddHBand="0" w:evenHBand="0" w:firstRowFirstColumn="0" w:firstRowLastColumn="0" w:lastRowFirstColumn="0" w:lastRowLastColumn="0"/>
            <w:tcW w:w="934" w:type="pct"/>
            <w:vMerge w:val="restart"/>
          </w:tcPr>
          <w:p w14:paraId="2989D7DE" w14:textId="77777777" w:rsidR="00A07316" w:rsidRPr="00A07316" w:rsidRDefault="00A07316" w:rsidP="00DE7E1A">
            <w:pPr>
              <w:pStyle w:val="Normaljustificado"/>
              <w:contextualSpacing/>
              <w:jc w:val="left"/>
              <w:rPr>
                <w:rFonts w:ascii="Times" w:hAnsi="Times"/>
                <w:szCs w:val="22"/>
              </w:rPr>
            </w:pPr>
            <w:r w:rsidRPr="00A07316">
              <w:rPr>
                <w:rFonts w:ascii="Times" w:hAnsi="Times"/>
                <w:szCs w:val="22"/>
              </w:rPr>
              <w:t>FHC</w:t>
            </w:r>
          </w:p>
        </w:tc>
        <w:tc>
          <w:tcPr>
            <w:tcW w:w="916" w:type="pct"/>
          </w:tcPr>
          <w:p w14:paraId="282B15E6" w14:textId="77777777" w:rsidR="00A07316" w:rsidRPr="00673CDF" w:rsidRDefault="00A07316" w:rsidP="00DE7E1A">
            <w:pPr>
              <w:pStyle w:val="Normaljustificado"/>
              <w:contextualSpacing/>
              <w:cnfStyle w:val="000000000000" w:firstRow="0" w:lastRow="0" w:firstColumn="0" w:lastColumn="0" w:oddVBand="0" w:evenVBand="0" w:oddHBand="0" w:evenHBand="0" w:firstRowFirstColumn="0" w:firstRowLastColumn="0" w:lastRowFirstColumn="0" w:lastRowLastColumn="0"/>
              <w:rPr>
                <w:rFonts w:ascii="Times" w:hAnsi="Times"/>
                <w:b/>
                <w:szCs w:val="22"/>
              </w:rPr>
            </w:pPr>
            <w:r w:rsidRPr="00673CDF">
              <w:rPr>
                <w:rFonts w:ascii="Times" w:hAnsi="Times"/>
                <w:szCs w:val="22"/>
              </w:rPr>
              <w:t>1995</w:t>
            </w:r>
          </w:p>
        </w:tc>
        <w:tc>
          <w:tcPr>
            <w:tcW w:w="517" w:type="pct"/>
          </w:tcPr>
          <w:p w14:paraId="17F3DF84" w14:textId="77777777" w:rsidR="00A07316" w:rsidRPr="00673CDF" w:rsidRDefault="00A07316"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79,49</w:t>
            </w:r>
          </w:p>
        </w:tc>
        <w:tc>
          <w:tcPr>
            <w:tcW w:w="527" w:type="pct"/>
          </w:tcPr>
          <w:p w14:paraId="01D27EF5" w14:textId="77777777" w:rsidR="00A07316" w:rsidRPr="00673CDF" w:rsidRDefault="00A07316"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13,02</w:t>
            </w:r>
          </w:p>
        </w:tc>
        <w:tc>
          <w:tcPr>
            <w:tcW w:w="528" w:type="pct"/>
          </w:tcPr>
          <w:p w14:paraId="035D32BB" w14:textId="77777777" w:rsidR="00A07316" w:rsidRPr="00673CDF" w:rsidRDefault="00A07316"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1,04</w:t>
            </w:r>
          </w:p>
        </w:tc>
        <w:tc>
          <w:tcPr>
            <w:tcW w:w="527" w:type="pct"/>
          </w:tcPr>
          <w:p w14:paraId="296FEC7B" w14:textId="77777777" w:rsidR="00A07316" w:rsidRPr="00673CDF" w:rsidRDefault="00A07316"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78,52</w:t>
            </w:r>
          </w:p>
        </w:tc>
        <w:tc>
          <w:tcPr>
            <w:tcW w:w="527" w:type="pct"/>
          </w:tcPr>
          <w:p w14:paraId="45CFEC29" w14:textId="77777777" w:rsidR="00A07316" w:rsidRPr="00673CDF" w:rsidRDefault="00A07316"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14,24</w:t>
            </w:r>
          </w:p>
        </w:tc>
        <w:tc>
          <w:tcPr>
            <w:tcW w:w="525" w:type="pct"/>
          </w:tcPr>
          <w:p w14:paraId="54A3C868" w14:textId="77777777" w:rsidR="00A07316" w:rsidRPr="00673CDF" w:rsidRDefault="00A07316"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0,88</w:t>
            </w:r>
          </w:p>
        </w:tc>
      </w:tr>
      <w:tr w:rsidR="00A07316" w:rsidRPr="00673CDF" w14:paraId="54BAA99C" w14:textId="77777777" w:rsidTr="00E35163">
        <w:trPr>
          <w:trHeight w:val="448"/>
        </w:trPr>
        <w:tc>
          <w:tcPr>
            <w:cnfStyle w:val="001000000000" w:firstRow="0" w:lastRow="0" w:firstColumn="1" w:lastColumn="0" w:oddVBand="0" w:evenVBand="0" w:oddHBand="0" w:evenHBand="0" w:firstRowFirstColumn="0" w:firstRowLastColumn="0" w:lastRowFirstColumn="0" w:lastRowLastColumn="0"/>
            <w:tcW w:w="934" w:type="pct"/>
            <w:vMerge/>
          </w:tcPr>
          <w:p w14:paraId="46B40398" w14:textId="77777777" w:rsidR="00A07316" w:rsidRPr="00A07316" w:rsidRDefault="00A07316" w:rsidP="00DE7E1A">
            <w:pPr>
              <w:pStyle w:val="Normaljustificado"/>
              <w:contextualSpacing/>
              <w:jc w:val="left"/>
              <w:rPr>
                <w:rFonts w:ascii="Times" w:hAnsi="Times"/>
                <w:szCs w:val="22"/>
              </w:rPr>
            </w:pPr>
          </w:p>
        </w:tc>
        <w:tc>
          <w:tcPr>
            <w:tcW w:w="916" w:type="pct"/>
          </w:tcPr>
          <w:p w14:paraId="02FAB956" w14:textId="77777777" w:rsidR="00A07316" w:rsidRPr="00673CDF" w:rsidRDefault="00A07316" w:rsidP="00DE7E1A">
            <w:pPr>
              <w:pStyle w:val="Normaljustificado"/>
              <w:contextualSpacing/>
              <w:cnfStyle w:val="000000000000" w:firstRow="0" w:lastRow="0" w:firstColumn="0" w:lastColumn="0" w:oddVBand="0" w:evenVBand="0" w:oddHBand="0" w:evenHBand="0" w:firstRowFirstColumn="0" w:firstRowLastColumn="0" w:lastRowFirstColumn="0" w:lastRowLastColumn="0"/>
              <w:rPr>
                <w:rFonts w:ascii="Times" w:hAnsi="Times"/>
                <w:b/>
                <w:szCs w:val="22"/>
              </w:rPr>
            </w:pPr>
            <w:r w:rsidRPr="00673CDF">
              <w:rPr>
                <w:rFonts w:ascii="Times" w:hAnsi="Times"/>
                <w:szCs w:val="22"/>
              </w:rPr>
              <w:t>1996</w:t>
            </w:r>
          </w:p>
        </w:tc>
        <w:tc>
          <w:tcPr>
            <w:tcW w:w="517" w:type="pct"/>
          </w:tcPr>
          <w:p w14:paraId="67A4C6EC" w14:textId="77777777" w:rsidR="00A07316" w:rsidRPr="00673CDF" w:rsidRDefault="00A07316"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78,23</w:t>
            </w:r>
          </w:p>
        </w:tc>
        <w:tc>
          <w:tcPr>
            <w:tcW w:w="527" w:type="pct"/>
          </w:tcPr>
          <w:p w14:paraId="37702BCC" w14:textId="77777777" w:rsidR="00A07316" w:rsidRPr="00673CDF" w:rsidRDefault="00A07316"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14,21</w:t>
            </w:r>
          </w:p>
        </w:tc>
        <w:tc>
          <w:tcPr>
            <w:tcW w:w="528" w:type="pct"/>
          </w:tcPr>
          <w:p w14:paraId="654CF657" w14:textId="77777777" w:rsidR="00A07316" w:rsidRPr="00673CDF" w:rsidRDefault="00A07316"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1,05</w:t>
            </w:r>
          </w:p>
        </w:tc>
        <w:tc>
          <w:tcPr>
            <w:tcW w:w="527" w:type="pct"/>
          </w:tcPr>
          <w:p w14:paraId="54936183" w14:textId="77777777" w:rsidR="00A07316" w:rsidRPr="00673CDF" w:rsidRDefault="00A07316"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78,27</w:t>
            </w:r>
          </w:p>
        </w:tc>
        <w:tc>
          <w:tcPr>
            <w:tcW w:w="527" w:type="pct"/>
          </w:tcPr>
          <w:p w14:paraId="3510CCBC" w14:textId="77777777" w:rsidR="00A07316" w:rsidRPr="00673CDF" w:rsidRDefault="00A07316"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14,54</w:t>
            </w:r>
          </w:p>
        </w:tc>
        <w:tc>
          <w:tcPr>
            <w:tcW w:w="525" w:type="pct"/>
          </w:tcPr>
          <w:p w14:paraId="608B2295" w14:textId="77777777" w:rsidR="00A07316" w:rsidRPr="00673CDF" w:rsidRDefault="00A07316"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0,89</w:t>
            </w:r>
          </w:p>
        </w:tc>
      </w:tr>
      <w:tr w:rsidR="00A07316" w:rsidRPr="00673CDF" w14:paraId="3C179A3B" w14:textId="77777777" w:rsidTr="00E35163">
        <w:trPr>
          <w:trHeight w:val="469"/>
        </w:trPr>
        <w:tc>
          <w:tcPr>
            <w:cnfStyle w:val="001000000000" w:firstRow="0" w:lastRow="0" w:firstColumn="1" w:lastColumn="0" w:oddVBand="0" w:evenVBand="0" w:oddHBand="0" w:evenHBand="0" w:firstRowFirstColumn="0" w:firstRowLastColumn="0" w:lastRowFirstColumn="0" w:lastRowLastColumn="0"/>
            <w:tcW w:w="934" w:type="pct"/>
            <w:vMerge/>
          </w:tcPr>
          <w:p w14:paraId="1809ACB3" w14:textId="77777777" w:rsidR="00A07316" w:rsidRPr="00A07316" w:rsidRDefault="00A07316" w:rsidP="00DE7E1A">
            <w:pPr>
              <w:pStyle w:val="Normaljustificado"/>
              <w:contextualSpacing/>
              <w:jc w:val="left"/>
              <w:rPr>
                <w:rFonts w:ascii="Times" w:hAnsi="Times"/>
                <w:szCs w:val="22"/>
              </w:rPr>
            </w:pPr>
          </w:p>
        </w:tc>
        <w:tc>
          <w:tcPr>
            <w:tcW w:w="916" w:type="pct"/>
          </w:tcPr>
          <w:p w14:paraId="46331F80" w14:textId="77777777" w:rsidR="00A07316" w:rsidRPr="00673CDF" w:rsidRDefault="00A07316" w:rsidP="00DE7E1A">
            <w:pPr>
              <w:pStyle w:val="Normaljustificado"/>
              <w:contextualSpacing/>
              <w:cnfStyle w:val="000000000000" w:firstRow="0" w:lastRow="0" w:firstColumn="0" w:lastColumn="0" w:oddVBand="0" w:evenVBand="0" w:oddHBand="0" w:evenHBand="0" w:firstRowFirstColumn="0" w:firstRowLastColumn="0" w:lastRowFirstColumn="0" w:lastRowLastColumn="0"/>
              <w:rPr>
                <w:rFonts w:ascii="Times" w:hAnsi="Times"/>
                <w:b/>
                <w:szCs w:val="22"/>
              </w:rPr>
            </w:pPr>
            <w:r w:rsidRPr="00673CDF">
              <w:rPr>
                <w:rFonts w:ascii="Times" w:hAnsi="Times"/>
                <w:szCs w:val="22"/>
              </w:rPr>
              <w:t>1997</w:t>
            </w:r>
          </w:p>
        </w:tc>
        <w:tc>
          <w:tcPr>
            <w:tcW w:w="517" w:type="pct"/>
          </w:tcPr>
          <w:p w14:paraId="324C4E7D" w14:textId="77777777" w:rsidR="00A07316" w:rsidRPr="00673CDF" w:rsidRDefault="00A07316"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79,05</w:t>
            </w:r>
          </w:p>
        </w:tc>
        <w:tc>
          <w:tcPr>
            <w:tcW w:w="527" w:type="pct"/>
          </w:tcPr>
          <w:p w14:paraId="346BD4D9" w14:textId="77777777" w:rsidR="00A07316" w:rsidRPr="00673CDF" w:rsidRDefault="00A07316"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14,30</w:t>
            </w:r>
          </w:p>
        </w:tc>
        <w:tc>
          <w:tcPr>
            <w:tcW w:w="528" w:type="pct"/>
          </w:tcPr>
          <w:p w14:paraId="27D14E98" w14:textId="77777777" w:rsidR="00A07316" w:rsidRPr="00673CDF" w:rsidRDefault="00A07316"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0,78</w:t>
            </w:r>
          </w:p>
        </w:tc>
        <w:tc>
          <w:tcPr>
            <w:tcW w:w="527" w:type="pct"/>
          </w:tcPr>
          <w:p w14:paraId="23C0D4D1" w14:textId="77777777" w:rsidR="00A07316" w:rsidRPr="00673CDF" w:rsidRDefault="00A07316"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78,16</w:t>
            </w:r>
          </w:p>
        </w:tc>
        <w:tc>
          <w:tcPr>
            <w:tcW w:w="527" w:type="pct"/>
          </w:tcPr>
          <w:p w14:paraId="37B12739" w14:textId="77777777" w:rsidR="00A07316" w:rsidRPr="00673CDF" w:rsidRDefault="00A07316"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15,24</w:t>
            </w:r>
          </w:p>
        </w:tc>
        <w:tc>
          <w:tcPr>
            <w:tcW w:w="525" w:type="pct"/>
          </w:tcPr>
          <w:p w14:paraId="223A929F" w14:textId="77777777" w:rsidR="00A07316" w:rsidRPr="00673CDF" w:rsidRDefault="00A07316"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0,61</w:t>
            </w:r>
          </w:p>
        </w:tc>
      </w:tr>
      <w:tr w:rsidR="00A07316" w:rsidRPr="00673CDF" w14:paraId="0E5AF08A" w14:textId="77777777" w:rsidTr="00E35163">
        <w:trPr>
          <w:trHeight w:val="448"/>
        </w:trPr>
        <w:tc>
          <w:tcPr>
            <w:cnfStyle w:val="001000000000" w:firstRow="0" w:lastRow="0" w:firstColumn="1" w:lastColumn="0" w:oddVBand="0" w:evenVBand="0" w:oddHBand="0" w:evenHBand="0" w:firstRowFirstColumn="0" w:firstRowLastColumn="0" w:lastRowFirstColumn="0" w:lastRowLastColumn="0"/>
            <w:tcW w:w="934" w:type="pct"/>
            <w:vMerge/>
          </w:tcPr>
          <w:p w14:paraId="7084934F" w14:textId="77777777" w:rsidR="00A07316" w:rsidRPr="00A07316" w:rsidRDefault="00A07316" w:rsidP="00DE7E1A">
            <w:pPr>
              <w:pStyle w:val="Normaljustificado"/>
              <w:contextualSpacing/>
              <w:jc w:val="left"/>
              <w:rPr>
                <w:rFonts w:ascii="Times" w:hAnsi="Times"/>
                <w:szCs w:val="22"/>
              </w:rPr>
            </w:pPr>
          </w:p>
        </w:tc>
        <w:tc>
          <w:tcPr>
            <w:tcW w:w="916" w:type="pct"/>
          </w:tcPr>
          <w:p w14:paraId="291441A6" w14:textId="77777777" w:rsidR="00A07316" w:rsidRPr="00673CDF" w:rsidRDefault="00A07316" w:rsidP="00DE7E1A">
            <w:pPr>
              <w:pStyle w:val="Normaljustificado"/>
              <w:contextualSpacing/>
              <w:cnfStyle w:val="000000000000" w:firstRow="0" w:lastRow="0" w:firstColumn="0" w:lastColumn="0" w:oddVBand="0" w:evenVBand="0" w:oddHBand="0" w:evenHBand="0" w:firstRowFirstColumn="0" w:firstRowLastColumn="0" w:lastRowFirstColumn="0" w:lastRowLastColumn="0"/>
              <w:rPr>
                <w:rFonts w:ascii="Times" w:hAnsi="Times"/>
                <w:b/>
                <w:szCs w:val="22"/>
              </w:rPr>
            </w:pPr>
            <w:r w:rsidRPr="00673CDF">
              <w:rPr>
                <w:rFonts w:ascii="Times" w:hAnsi="Times"/>
                <w:szCs w:val="22"/>
              </w:rPr>
              <w:t>1998</w:t>
            </w:r>
          </w:p>
        </w:tc>
        <w:tc>
          <w:tcPr>
            <w:tcW w:w="517" w:type="pct"/>
          </w:tcPr>
          <w:p w14:paraId="09275234" w14:textId="77777777" w:rsidR="00A07316" w:rsidRPr="00673CDF" w:rsidRDefault="00A07316"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76,67</w:t>
            </w:r>
          </w:p>
        </w:tc>
        <w:tc>
          <w:tcPr>
            <w:tcW w:w="527" w:type="pct"/>
          </w:tcPr>
          <w:p w14:paraId="448940A6" w14:textId="77777777" w:rsidR="00A07316" w:rsidRPr="00673CDF" w:rsidRDefault="00A07316"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16,30</w:t>
            </w:r>
          </w:p>
        </w:tc>
        <w:tc>
          <w:tcPr>
            <w:tcW w:w="528" w:type="pct"/>
          </w:tcPr>
          <w:p w14:paraId="6081FD24" w14:textId="77777777" w:rsidR="00A07316" w:rsidRPr="00673CDF" w:rsidRDefault="00A07316"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1,00</w:t>
            </w:r>
          </w:p>
        </w:tc>
        <w:tc>
          <w:tcPr>
            <w:tcW w:w="527" w:type="pct"/>
          </w:tcPr>
          <w:p w14:paraId="75D929F0" w14:textId="77777777" w:rsidR="00A07316" w:rsidRPr="00673CDF" w:rsidRDefault="00A07316"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76,15</w:t>
            </w:r>
          </w:p>
        </w:tc>
        <w:tc>
          <w:tcPr>
            <w:tcW w:w="527" w:type="pct"/>
          </w:tcPr>
          <w:p w14:paraId="272AD08E" w14:textId="77777777" w:rsidR="00A07316" w:rsidRPr="00673CDF" w:rsidRDefault="00A07316"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16,71</w:t>
            </w:r>
          </w:p>
        </w:tc>
        <w:tc>
          <w:tcPr>
            <w:tcW w:w="525" w:type="pct"/>
          </w:tcPr>
          <w:p w14:paraId="308F8E82" w14:textId="77777777" w:rsidR="00A07316" w:rsidRPr="00673CDF" w:rsidRDefault="00A07316"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0,87</w:t>
            </w:r>
          </w:p>
        </w:tc>
      </w:tr>
      <w:tr w:rsidR="00A07316" w:rsidRPr="00673CDF" w14:paraId="153D82AF" w14:textId="77777777" w:rsidTr="00E35163">
        <w:trPr>
          <w:trHeight w:val="469"/>
        </w:trPr>
        <w:tc>
          <w:tcPr>
            <w:cnfStyle w:val="001000000000" w:firstRow="0" w:lastRow="0" w:firstColumn="1" w:lastColumn="0" w:oddVBand="0" w:evenVBand="0" w:oddHBand="0" w:evenHBand="0" w:firstRowFirstColumn="0" w:firstRowLastColumn="0" w:lastRowFirstColumn="0" w:lastRowLastColumn="0"/>
            <w:tcW w:w="934" w:type="pct"/>
            <w:vMerge/>
          </w:tcPr>
          <w:p w14:paraId="51CA9368" w14:textId="77777777" w:rsidR="00A07316" w:rsidRPr="00A07316" w:rsidRDefault="00A07316" w:rsidP="00DE7E1A">
            <w:pPr>
              <w:pStyle w:val="Normaljustificado"/>
              <w:contextualSpacing/>
              <w:jc w:val="left"/>
              <w:rPr>
                <w:rFonts w:ascii="Times" w:hAnsi="Times"/>
                <w:szCs w:val="22"/>
              </w:rPr>
            </w:pPr>
          </w:p>
        </w:tc>
        <w:tc>
          <w:tcPr>
            <w:tcW w:w="916" w:type="pct"/>
          </w:tcPr>
          <w:p w14:paraId="6385DC3D" w14:textId="77777777" w:rsidR="00A07316" w:rsidRPr="00673CDF" w:rsidRDefault="00A07316" w:rsidP="00DE7E1A">
            <w:pPr>
              <w:pStyle w:val="Normaljustificado"/>
              <w:contextualSpacing/>
              <w:cnfStyle w:val="000000000000" w:firstRow="0" w:lastRow="0" w:firstColumn="0" w:lastColumn="0" w:oddVBand="0" w:evenVBand="0" w:oddHBand="0" w:evenHBand="0" w:firstRowFirstColumn="0" w:firstRowLastColumn="0" w:lastRowFirstColumn="0" w:lastRowLastColumn="0"/>
              <w:rPr>
                <w:rFonts w:ascii="Times" w:hAnsi="Times"/>
                <w:b/>
                <w:szCs w:val="22"/>
              </w:rPr>
            </w:pPr>
            <w:r w:rsidRPr="00673CDF">
              <w:rPr>
                <w:rFonts w:ascii="Times" w:hAnsi="Times"/>
                <w:szCs w:val="22"/>
              </w:rPr>
              <w:t>1999</w:t>
            </w:r>
          </w:p>
        </w:tc>
        <w:tc>
          <w:tcPr>
            <w:tcW w:w="517" w:type="pct"/>
          </w:tcPr>
          <w:p w14:paraId="215EF9BC" w14:textId="77777777" w:rsidR="00A07316" w:rsidRPr="00673CDF" w:rsidRDefault="00A07316"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75,58</w:t>
            </w:r>
          </w:p>
        </w:tc>
        <w:tc>
          <w:tcPr>
            <w:tcW w:w="527" w:type="pct"/>
          </w:tcPr>
          <w:p w14:paraId="539F7883" w14:textId="77777777" w:rsidR="00A07316" w:rsidRPr="00673CDF" w:rsidRDefault="00A07316"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16,82</w:t>
            </w:r>
          </w:p>
        </w:tc>
        <w:tc>
          <w:tcPr>
            <w:tcW w:w="528" w:type="pct"/>
          </w:tcPr>
          <w:p w14:paraId="27DF23EA" w14:textId="77777777" w:rsidR="00A07316" w:rsidRPr="00673CDF" w:rsidRDefault="00A07316"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1,02</w:t>
            </w:r>
          </w:p>
        </w:tc>
        <w:tc>
          <w:tcPr>
            <w:tcW w:w="527" w:type="pct"/>
          </w:tcPr>
          <w:p w14:paraId="3671982F" w14:textId="77777777" w:rsidR="00A07316" w:rsidRPr="00673CDF" w:rsidRDefault="00A07316"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75,50</w:t>
            </w:r>
          </w:p>
        </w:tc>
        <w:tc>
          <w:tcPr>
            <w:tcW w:w="527" w:type="pct"/>
          </w:tcPr>
          <w:p w14:paraId="3EE80430" w14:textId="77777777" w:rsidR="00A07316" w:rsidRPr="00673CDF" w:rsidRDefault="00A07316"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17,82</w:t>
            </w:r>
          </w:p>
        </w:tc>
        <w:tc>
          <w:tcPr>
            <w:tcW w:w="525" w:type="pct"/>
          </w:tcPr>
          <w:p w14:paraId="65F5795B" w14:textId="77777777" w:rsidR="00A07316" w:rsidRPr="00673CDF" w:rsidRDefault="00A07316"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0,82</w:t>
            </w:r>
          </w:p>
        </w:tc>
      </w:tr>
      <w:tr w:rsidR="00A07316" w:rsidRPr="00673CDF" w14:paraId="6B892CA0" w14:textId="77777777" w:rsidTr="00E35163">
        <w:trPr>
          <w:trHeight w:val="448"/>
        </w:trPr>
        <w:tc>
          <w:tcPr>
            <w:cnfStyle w:val="001000000000" w:firstRow="0" w:lastRow="0" w:firstColumn="1" w:lastColumn="0" w:oddVBand="0" w:evenVBand="0" w:oddHBand="0" w:evenHBand="0" w:firstRowFirstColumn="0" w:firstRowLastColumn="0" w:lastRowFirstColumn="0" w:lastRowLastColumn="0"/>
            <w:tcW w:w="934" w:type="pct"/>
            <w:vMerge/>
          </w:tcPr>
          <w:p w14:paraId="73CB3941" w14:textId="77777777" w:rsidR="00A07316" w:rsidRPr="00A07316" w:rsidRDefault="00A07316" w:rsidP="00DE7E1A">
            <w:pPr>
              <w:pStyle w:val="Normaljustificado"/>
              <w:contextualSpacing/>
              <w:jc w:val="left"/>
              <w:rPr>
                <w:rFonts w:ascii="Times" w:hAnsi="Times"/>
                <w:szCs w:val="22"/>
              </w:rPr>
            </w:pPr>
          </w:p>
        </w:tc>
        <w:tc>
          <w:tcPr>
            <w:tcW w:w="916" w:type="pct"/>
          </w:tcPr>
          <w:p w14:paraId="56606FF8" w14:textId="77777777" w:rsidR="00A07316" w:rsidRPr="00673CDF" w:rsidRDefault="00A07316" w:rsidP="00DE7E1A">
            <w:pPr>
              <w:pStyle w:val="Normaljustificado"/>
              <w:contextualSpacing/>
              <w:cnfStyle w:val="000000000000" w:firstRow="0" w:lastRow="0" w:firstColumn="0" w:lastColumn="0" w:oddVBand="0" w:evenVBand="0" w:oddHBand="0" w:evenHBand="0" w:firstRowFirstColumn="0" w:firstRowLastColumn="0" w:lastRowFirstColumn="0" w:lastRowLastColumn="0"/>
              <w:rPr>
                <w:rFonts w:ascii="Times" w:hAnsi="Times"/>
                <w:b/>
                <w:szCs w:val="22"/>
              </w:rPr>
            </w:pPr>
            <w:r w:rsidRPr="00673CDF">
              <w:rPr>
                <w:rFonts w:ascii="Times" w:hAnsi="Times"/>
                <w:szCs w:val="22"/>
              </w:rPr>
              <w:t>2001</w:t>
            </w:r>
          </w:p>
        </w:tc>
        <w:tc>
          <w:tcPr>
            <w:tcW w:w="517" w:type="pct"/>
          </w:tcPr>
          <w:p w14:paraId="4CB45296" w14:textId="77777777" w:rsidR="00A07316" w:rsidRPr="00673CDF" w:rsidRDefault="00A07316"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73,51</w:t>
            </w:r>
          </w:p>
        </w:tc>
        <w:tc>
          <w:tcPr>
            <w:tcW w:w="527" w:type="pct"/>
          </w:tcPr>
          <w:p w14:paraId="3CD127FF" w14:textId="77777777" w:rsidR="00A07316" w:rsidRPr="00673CDF" w:rsidRDefault="00A07316"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18,83</w:t>
            </w:r>
          </w:p>
        </w:tc>
        <w:tc>
          <w:tcPr>
            <w:tcW w:w="528" w:type="pct"/>
          </w:tcPr>
          <w:p w14:paraId="3EF843DE" w14:textId="77777777" w:rsidR="00A07316" w:rsidRPr="00673CDF" w:rsidRDefault="00A07316"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1,25</w:t>
            </w:r>
          </w:p>
        </w:tc>
        <w:tc>
          <w:tcPr>
            <w:tcW w:w="527" w:type="pct"/>
          </w:tcPr>
          <w:p w14:paraId="55507A82" w14:textId="77777777" w:rsidR="00A07316" w:rsidRPr="00673CDF" w:rsidRDefault="00A07316"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74,72</w:t>
            </w:r>
          </w:p>
        </w:tc>
        <w:tc>
          <w:tcPr>
            <w:tcW w:w="527" w:type="pct"/>
          </w:tcPr>
          <w:p w14:paraId="0B78A56C" w14:textId="77777777" w:rsidR="00A07316" w:rsidRPr="00673CDF" w:rsidRDefault="00A07316"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18,55</w:t>
            </w:r>
          </w:p>
        </w:tc>
        <w:tc>
          <w:tcPr>
            <w:tcW w:w="525" w:type="pct"/>
          </w:tcPr>
          <w:p w14:paraId="2E6ECBB2" w14:textId="77777777" w:rsidR="00A07316" w:rsidRPr="00673CDF" w:rsidRDefault="00A07316"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0,91</w:t>
            </w:r>
          </w:p>
        </w:tc>
      </w:tr>
      <w:tr w:rsidR="00A07316" w:rsidRPr="00673CDF" w14:paraId="342C2EE5" w14:textId="77777777" w:rsidTr="00E35163">
        <w:trPr>
          <w:trHeight w:val="469"/>
        </w:trPr>
        <w:tc>
          <w:tcPr>
            <w:cnfStyle w:val="001000000000" w:firstRow="0" w:lastRow="0" w:firstColumn="1" w:lastColumn="0" w:oddVBand="0" w:evenVBand="0" w:oddHBand="0" w:evenHBand="0" w:firstRowFirstColumn="0" w:firstRowLastColumn="0" w:lastRowFirstColumn="0" w:lastRowLastColumn="0"/>
            <w:tcW w:w="934" w:type="pct"/>
            <w:vMerge/>
          </w:tcPr>
          <w:p w14:paraId="0881E27A" w14:textId="77777777" w:rsidR="00A07316" w:rsidRPr="00A07316" w:rsidRDefault="00A07316" w:rsidP="00DE7E1A">
            <w:pPr>
              <w:pStyle w:val="Normaljustificado"/>
              <w:contextualSpacing/>
              <w:jc w:val="left"/>
              <w:rPr>
                <w:rFonts w:ascii="Times" w:hAnsi="Times"/>
                <w:szCs w:val="22"/>
              </w:rPr>
            </w:pPr>
          </w:p>
        </w:tc>
        <w:tc>
          <w:tcPr>
            <w:tcW w:w="916" w:type="pct"/>
          </w:tcPr>
          <w:p w14:paraId="79DA089B" w14:textId="77777777" w:rsidR="00A07316" w:rsidRPr="00673CDF" w:rsidRDefault="00A07316" w:rsidP="00DE7E1A">
            <w:pPr>
              <w:pStyle w:val="Normaljustificado"/>
              <w:contextualSpacing/>
              <w:cnfStyle w:val="000000000000" w:firstRow="0" w:lastRow="0" w:firstColumn="0" w:lastColumn="0" w:oddVBand="0" w:evenVBand="0" w:oddHBand="0" w:evenHBand="0" w:firstRowFirstColumn="0" w:firstRowLastColumn="0" w:lastRowFirstColumn="0" w:lastRowLastColumn="0"/>
              <w:rPr>
                <w:rFonts w:ascii="Times" w:hAnsi="Times"/>
                <w:b/>
                <w:szCs w:val="22"/>
              </w:rPr>
            </w:pPr>
            <w:r w:rsidRPr="00673CDF">
              <w:rPr>
                <w:rFonts w:ascii="Times" w:hAnsi="Times"/>
                <w:szCs w:val="22"/>
              </w:rPr>
              <w:t>2002</w:t>
            </w:r>
          </w:p>
        </w:tc>
        <w:tc>
          <w:tcPr>
            <w:tcW w:w="517" w:type="pct"/>
          </w:tcPr>
          <w:p w14:paraId="3C891B8B" w14:textId="77777777" w:rsidR="00A07316" w:rsidRPr="00673CDF" w:rsidRDefault="00A07316"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73,77</w:t>
            </w:r>
          </w:p>
        </w:tc>
        <w:tc>
          <w:tcPr>
            <w:tcW w:w="527" w:type="pct"/>
          </w:tcPr>
          <w:p w14:paraId="72F27970" w14:textId="77777777" w:rsidR="00A07316" w:rsidRPr="00673CDF" w:rsidRDefault="00A07316"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19,10</w:t>
            </w:r>
          </w:p>
        </w:tc>
        <w:tc>
          <w:tcPr>
            <w:tcW w:w="528" w:type="pct"/>
          </w:tcPr>
          <w:p w14:paraId="5B29A4A3" w14:textId="77777777" w:rsidR="00A07316" w:rsidRPr="00673CDF" w:rsidRDefault="00A07316"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0,99</w:t>
            </w:r>
          </w:p>
        </w:tc>
        <w:tc>
          <w:tcPr>
            <w:tcW w:w="527" w:type="pct"/>
          </w:tcPr>
          <w:p w14:paraId="679DF13B" w14:textId="77777777" w:rsidR="00A07316" w:rsidRPr="00673CDF" w:rsidRDefault="00A07316"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74,15</w:t>
            </w:r>
          </w:p>
        </w:tc>
        <w:tc>
          <w:tcPr>
            <w:tcW w:w="527" w:type="pct"/>
          </w:tcPr>
          <w:p w14:paraId="313C537B" w14:textId="77777777" w:rsidR="00A07316" w:rsidRPr="00673CDF" w:rsidRDefault="00A07316"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18,67</w:t>
            </w:r>
          </w:p>
        </w:tc>
        <w:tc>
          <w:tcPr>
            <w:tcW w:w="525" w:type="pct"/>
          </w:tcPr>
          <w:p w14:paraId="725B5080" w14:textId="77777777" w:rsidR="00A07316" w:rsidRPr="00673CDF" w:rsidRDefault="00A07316"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1,29</w:t>
            </w:r>
          </w:p>
        </w:tc>
      </w:tr>
      <w:tr w:rsidR="00C93853" w:rsidRPr="00673CDF" w14:paraId="2B864A42" w14:textId="77777777" w:rsidTr="00E35163">
        <w:trPr>
          <w:trHeight w:val="448"/>
        </w:trPr>
        <w:tc>
          <w:tcPr>
            <w:cnfStyle w:val="001000000000" w:firstRow="0" w:lastRow="0" w:firstColumn="1" w:lastColumn="0" w:oddVBand="0" w:evenVBand="0" w:oddHBand="0" w:evenHBand="0" w:firstRowFirstColumn="0" w:firstRowLastColumn="0" w:lastRowFirstColumn="0" w:lastRowLastColumn="0"/>
            <w:tcW w:w="934" w:type="pct"/>
          </w:tcPr>
          <w:p w14:paraId="1E0FCC5A" w14:textId="77777777" w:rsidR="00C93853" w:rsidRPr="00A07316" w:rsidRDefault="00C93853" w:rsidP="00DE7E1A">
            <w:pPr>
              <w:pStyle w:val="Normaljustificado"/>
              <w:contextualSpacing/>
              <w:jc w:val="left"/>
              <w:rPr>
                <w:rFonts w:ascii="Times" w:hAnsi="Times" w:cs="Times"/>
                <w:szCs w:val="22"/>
              </w:rPr>
            </w:pPr>
          </w:p>
        </w:tc>
        <w:tc>
          <w:tcPr>
            <w:tcW w:w="916" w:type="pct"/>
          </w:tcPr>
          <w:p w14:paraId="5F1F6545" w14:textId="77777777" w:rsidR="00C93853" w:rsidRPr="00673CDF" w:rsidRDefault="00C93853" w:rsidP="00DE7E1A">
            <w:pPr>
              <w:pStyle w:val="Normaljustificado"/>
              <w:contextualSpacing/>
              <w:cnfStyle w:val="000000000000" w:firstRow="0" w:lastRow="0" w:firstColumn="0" w:lastColumn="0" w:oddVBand="0" w:evenVBand="0" w:oddHBand="0" w:evenHBand="0" w:firstRowFirstColumn="0" w:firstRowLastColumn="0" w:lastRowFirstColumn="0" w:lastRowLastColumn="0"/>
              <w:rPr>
                <w:rFonts w:ascii="Times" w:hAnsi="Times"/>
                <w:szCs w:val="22"/>
              </w:rPr>
            </w:pPr>
            <w:r w:rsidRPr="00673CDF">
              <w:rPr>
                <w:rFonts w:ascii="Times" w:hAnsi="Times" w:cs="Times"/>
                <w:szCs w:val="22"/>
              </w:rPr>
              <w:t>Δ p.p.</w:t>
            </w:r>
            <w:r w:rsidRPr="00673CDF">
              <w:rPr>
                <w:rFonts w:ascii="Times" w:hAnsi="Times"/>
                <w:szCs w:val="22"/>
              </w:rPr>
              <w:t>95/02</w:t>
            </w:r>
          </w:p>
        </w:tc>
        <w:tc>
          <w:tcPr>
            <w:tcW w:w="517" w:type="pct"/>
          </w:tcPr>
          <w:p w14:paraId="527CFA55" w14:textId="77777777" w:rsidR="00C93853" w:rsidRPr="00673CDF" w:rsidRDefault="00C93853"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-5,72</w:t>
            </w:r>
          </w:p>
        </w:tc>
        <w:tc>
          <w:tcPr>
            <w:tcW w:w="527" w:type="pct"/>
          </w:tcPr>
          <w:p w14:paraId="1F9C68CC" w14:textId="77777777" w:rsidR="00C93853" w:rsidRPr="00673CDF" w:rsidRDefault="00C93853"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+6,08</w:t>
            </w:r>
          </w:p>
        </w:tc>
        <w:tc>
          <w:tcPr>
            <w:tcW w:w="528" w:type="pct"/>
          </w:tcPr>
          <w:p w14:paraId="4E6D0C63" w14:textId="77777777" w:rsidR="00C93853" w:rsidRPr="00673CDF" w:rsidRDefault="00C93853"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-0,05</w:t>
            </w:r>
          </w:p>
        </w:tc>
        <w:tc>
          <w:tcPr>
            <w:tcW w:w="527" w:type="pct"/>
          </w:tcPr>
          <w:p w14:paraId="4881073C" w14:textId="77777777" w:rsidR="00C93853" w:rsidRPr="00673CDF" w:rsidRDefault="00C93853"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-4,37</w:t>
            </w:r>
          </w:p>
        </w:tc>
        <w:tc>
          <w:tcPr>
            <w:tcW w:w="527" w:type="pct"/>
          </w:tcPr>
          <w:p w14:paraId="18FF5766" w14:textId="77777777" w:rsidR="00C93853" w:rsidRPr="00673CDF" w:rsidRDefault="00C93853"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+4,43</w:t>
            </w:r>
          </w:p>
        </w:tc>
        <w:tc>
          <w:tcPr>
            <w:tcW w:w="525" w:type="pct"/>
          </w:tcPr>
          <w:p w14:paraId="16C8AC4A" w14:textId="77777777" w:rsidR="00C93853" w:rsidRPr="00673CDF" w:rsidRDefault="00C93853"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+0,41</w:t>
            </w:r>
          </w:p>
        </w:tc>
      </w:tr>
      <w:tr w:rsidR="00C93853" w:rsidRPr="00673CDF" w14:paraId="380ED852" w14:textId="77777777" w:rsidTr="00E35163">
        <w:trPr>
          <w:trHeight w:val="469"/>
        </w:trPr>
        <w:tc>
          <w:tcPr>
            <w:cnfStyle w:val="001000000000" w:firstRow="0" w:lastRow="0" w:firstColumn="1" w:lastColumn="0" w:oddVBand="0" w:evenVBand="0" w:oddHBand="0" w:evenHBand="0" w:firstRowFirstColumn="0" w:firstRowLastColumn="0" w:lastRowFirstColumn="0" w:lastRowLastColumn="0"/>
            <w:tcW w:w="934" w:type="pct"/>
            <w:vMerge w:val="restart"/>
          </w:tcPr>
          <w:p w14:paraId="59DB825E" w14:textId="77777777" w:rsidR="00C93853" w:rsidRPr="00A07316" w:rsidRDefault="00C93853" w:rsidP="00DE7E1A">
            <w:pPr>
              <w:pStyle w:val="Normaljustificado"/>
              <w:contextualSpacing/>
              <w:jc w:val="left"/>
              <w:rPr>
                <w:rFonts w:ascii="Times" w:hAnsi="Times"/>
                <w:szCs w:val="22"/>
              </w:rPr>
            </w:pPr>
            <w:r w:rsidRPr="00A07316">
              <w:rPr>
                <w:rFonts w:ascii="Times" w:hAnsi="Times"/>
                <w:szCs w:val="22"/>
              </w:rPr>
              <w:t>LULA</w:t>
            </w:r>
          </w:p>
        </w:tc>
        <w:tc>
          <w:tcPr>
            <w:tcW w:w="916" w:type="pct"/>
          </w:tcPr>
          <w:p w14:paraId="5525396C" w14:textId="77777777" w:rsidR="00C93853" w:rsidRPr="00673CDF" w:rsidRDefault="00C93853" w:rsidP="00DE7E1A">
            <w:pPr>
              <w:pStyle w:val="Normaljustificado"/>
              <w:contextualSpacing/>
              <w:cnfStyle w:val="000000000000" w:firstRow="0" w:lastRow="0" w:firstColumn="0" w:lastColumn="0" w:oddVBand="0" w:evenVBand="0" w:oddHBand="0" w:evenHBand="0" w:firstRowFirstColumn="0" w:firstRowLastColumn="0" w:lastRowFirstColumn="0" w:lastRowLastColumn="0"/>
              <w:rPr>
                <w:rFonts w:ascii="Times" w:hAnsi="Times"/>
                <w:b/>
                <w:szCs w:val="22"/>
              </w:rPr>
            </w:pPr>
            <w:r w:rsidRPr="00673CDF">
              <w:rPr>
                <w:rFonts w:ascii="Times" w:hAnsi="Times"/>
                <w:szCs w:val="22"/>
              </w:rPr>
              <w:t>2003</w:t>
            </w:r>
          </w:p>
        </w:tc>
        <w:tc>
          <w:tcPr>
            <w:tcW w:w="517" w:type="pct"/>
          </w:tcPr>
          <w:p w14:paraId="1018C5F2" w14:textId="77777777" w:rsidR="00C93853" w:rsidRPr="00673CDF" w:rsidRDefault="00C93853"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73,23</w:t>
            </w:r>
          </w:p>
        </w:tc>
        <w:tc>
          <w:tcPr>
            <w:tcW w:w="527" w:type="pct"/>
          </w:tcPr>
          <w:p w14:paraId="216E82FF" w14:textId="77777777" w:rsidR="00C93853" w:rsidRPr="00673CDF" w:rsidRDefault="00C93853"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19,55</w:t>
            </w:r>
          </w:p>
        </w:tc>
        <w:tc>
          <w:tcPr>
            <w:tcW w:w="528" w:type="pct"/>
          </w:tcPr>
          <w:p w14:paraId="27A43F50" w14:textId="77777777" w:rsidR="00C93853" w:rsidRPr="00673CDF" w:rsidRDefault="00C93853"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1,60</w:t>
            </w:r>
          </w:p>
        </w:tc>
        <w:tc>
          <w:tcPr>
            <w:tcW w:w="527" w:type="pct"/>
          </w:tcPr>
          <w:p w14:paraId="631DAF43" w14:textId="77777777" w:rsidR="00C93853" w:rsidRPr="00673CDF" w:rsidRDefault="00C93853"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73,58</w:t>
            </w:r>
          </w:p>
        </w:tc>
        <w:tc>
          <w:tcPr>
            <w:tcW w:w="527" w:type="pct"/>
          </w:tcPr>
          <w:p w14:paraId="04D976F5" w14:textId="77777777" w:rsidR="00C93853" w:rsidRPr="00673CDF" w:rsidRDefault="00C93853"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19,84</w:t>
            </w:r>
          </w:p>
        </w:tc>
        <w:tc>
          <w:tcPr>
            <w:tcW w:w="525" w:type="pct"/>
          </w:tcPr>
          <w:p w14:paraId="25B551C6" w14:textId="77777777" w:rsidR="00C93853" w:rsidRPr="00673CDF" w:rsidRDefault="00C93853"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1,05</w:t>
            </w:r>
          </w:p>
        </w:tc>
      </w:tr>
      <w:tr w:rsidR="00C93853" w:rsidRPr="00673CDF" w14:paraId="4C449D24" w14:textId="77777777" w:rsidTr="00E35163">
        <w:trPr>
          <w:trHeight w:val="448"/>
        </w:trPr>
        <w:tc>
          <w:tcPr>
            <w:cnfStyle w:val="001000000000" w:firstRow="0" w:lastRow="0" w:firstColumn="1" w:lastColumn="0" w:oddVBand="0" w:evenVBand="0" w:oddHBand="0" w:evenHBand="0" w:firstRowFirstColumn="0" w:firstRowLastColumn="0" w:lastRowFirstColumn="0" w:lastRowLastColumn="0"/>
            <w:tcW w:w="934" w:type="pct"/>
            <w:vMerge/>
          </w:tcPr>
          <w:p w14:paraId="2C8D8EE4" w14:textId="77777777" w:rsidR="00C93853" w:rsidRPr="00A07316" w:rsidRDefault="00C93853" w:rsidP="00DE7E1A">
            <w:pPr>
              <w:pStyle w:val="Normaljustificado"/>
              <w:contextualSpacing/>
              <w:jc w:val="left"/>
              <w:rPr>
                <w:rFonts w:ascii="Times" w:hAnsi="Times"/>
                <w:szCs w:val="22"/>
              </w:rPr>
            </w:pPr>
          </w:p>
        </w:tc>
        <w:tc>
          <w:tcPr>
            <w:tcW w:w="916" w:type="pct"/>
          </w:tcPr>
          <w:p w14:paraId="4DAF9725" w14:textId="77777777" w:rsidR="00C93853" w:rsidRPr="00673CDF" w:rsidRDefault="00C93853" w:rsidP="00DE7E1A">
            <w:pPr>
              <w:pStyle w:val="Normaljustificado"/>
              <w:contextualSpacing/>
              <w:cnfStyle w:val="000000000000" w:firstRow="0" w:lastRow="0" w:firstColumn="0" w:lastColumn="0" w:oddVBand="0" w:evenVBand="0" w:oddHBand="0" w:evenHBand="0" w:firstRowFirstColumn="0" w:firstRowLastColumn="0" w:lastRowFirstColumn="0" w:lastRowLastColumn="0"/>
              <w:rPr>
                <w:rFonts w:ascii="Times" w:hAnsi="Times"/>
                <w:b/>
                <w:szCs w:val="22"/>
              </w:rPr>
            </w:pPr>
            <w:r w:rsidRPr="00673CDF">
              <w:rPr>
                <w:rFonts w:ascii="Times" w:hAnsi="Times"/>
                <w:szCs w:val="22"/>
              </w:rPr>
              <w:t>2004</w:t>
            </w:r>
          </w:p>
        </w:tc>
        <w:tc>
          <w:tcPr>
            <w:tcW w:w="517" w:type="pct"/>
          </w:tcPr>
          <w:p w14:paraId="644649DF" w14:textId="77777777" w:rsidR="00C93853" w:rsidRPr="00673CDF" w:rsidRDefault="00C93853"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73,73</w:t>
            </w:r>
          </w:p>
        </w:tc>
        <w:tc>
          <w:tcPr>
            <w:tcW w:w="527" w:type="pct"/>
          </w:tcPr>
          <w:p w14:paraId="778CCB45" w14:textId="77777777" w:rsidR="00C93853" w:rsidRPr="00673CDF" w:rsidRDefault="00C93853"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18,73</w:t>
            </w:r>
          </w:p>
        </w:tc>
        <w:tc>
          <w:tcPr>
            <w:tcW w:w="528" w:type="pct"/>
          </w:tcPr>
          <w:p w14:paraId="6F5F1F68" w14:textId="77777777" w:rsidR="00C93853" w:rsidRPr="00673CDF" w:rsidRDefault="00C93853"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1,61</w:t>
            </w:r>
          </w:p>
        </w:tc>
        <w:tc>
          <w:tcPr>
            <w:tcW w:w="527" w:type="pct"/>
          </w:tcPr>
          <w:p w14:paraId="2F44D709" w14:textId="77777777" w:rsidR="00C93853" w:rsidRPr="00673CDF" w:rsidRDefault="00C93853"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73,29</w:t>
            </w:r>
          </w:p>
        </w:tc>
        <w:tc>
          <w:tcPr>
            <w:tcW w:w="527" w:type="pct"/>
          </w:tcPr>
          <w:p w14:paraId="7EFA50A7" w14:textId="77777777" w:rsidR="00C93853" w:rsidRPr="00673CDF" w:rsidRDefault="00C93853"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19,60</w:t>
            </w:r>
          </w:p>
        </w:tc>
        <w:tc>
          <w:tcPr>
            <w:tcW w:w="525" w:type="pct"/>
          </w:tcPr>
          <w:p w14:paraId="63F51572" w14:textId="77777777" w:rsidR="00C93853" w:rsidRPr="00673CDF" w:rsidRDefault="00C93853"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1,59</w:t>
            </w:r>
          </w:p>
        </w:tc>
      </w:tr>
      <w:tr w:rsidR="00C93853" w:rsidRPr="00673CDF" w14:paraId="6D19521E" w14:textId="77777777" w:rsidTr="00E35163">
        <w:trPr>
          <w:trHeight w:val="469"/>
        </w:trPr>
        <w:tc>
          <w:tcPr>
            <w:cnfStyle w:val="001000000000" w:firstRow="0" w:lastRow="0" w:firstColumn="1" w:lastColumn="0" w:oddVBand="0" w:evenVBand="0" w:oddHBand="0" w:evenHBand="0" w:firstRowFirstColumn="0" w:firstRowLastColumn="0" w:lastRowFirstColumn="0" w:lastRowLastColumn="0"/>
            <w:tcW w:w="934" w:type="pct"/>
            <w:vMerge/>
          </w:tcPr>
          <w:p w14:paraId="7F4D490A" w14:textId="77777777" w:rsidR="00C93853" w:rsidRPr="00A07316" w:rsidRDefault="00C93853" w:rsidP="00DE7E1A">
            <w:pPr>
              <w:pStyle w:val="Normaljustificado"/>
              <w:contextualSpacing/>
              <w:jc w:val="left"/>
              <w:rPr>
                <w:rFonts w:ascii="Times" w:hAnsi="Times"/>
                <w:szCs w:val="22"/>
              </w:rPr>
            </w:pPr>
          </w:p>
        </w:tc>
        <w:tc>
          <w:tcPr>
            <w:tcW w:w="916" w:type="pct"/>
          </w:tcPr>
          <w:p w14:paraId="52F7F21A" w14:textId="77777777" w:rsidR="00C93853" w:rsidRPr="00673CDF" w:rsidRDefault="00C93853" w:rsidP="00DE7E1A">
            <w:pPr>
              <w:pStyle w:val="Normaljustificado"/>
              <w:contextualSpacing/>
              <w:cnfStyle w:val="000000000000" w:firstRow="0" w:lastRow="0" w:firstColumn="0" w:lastColumn="0" w:oddVBand="0" w:evenVBand="0" w:oddHBand="0" w:evenHBand="0" w:firstRowFirstColumn="0" w:firstRowLastColumn="0" w:lastRowFirstColumn="0" w:lastRowLastColumn="0"/>
              <w:rPr>
                <w:rFonts w:ascii="Times" w:hAnsi="Times"/>
                <w:b/>
                <w:szCs w:val="22"/>
              </w:rPr>
            </w:pPr>
            <w:r w:rsidRPr="00673CDF">
              <w:rPr>
                <w:rFonts w:ascii="Times" w:hAnsi="Times"/>
                <w:szCs w:val="22"/>
              </w:rPr>
              <w:t>2005</w:t>
            </w:r>
          </w:p>
        </w:tc>
        <w:tc>
          <w:tcPr>
            <w:tcW w:w="517" w:type="pct"/>
          </w:tcPr>
          <w:p w14:paraId="0D0FB7D3" w14:textId="77777777" w:rsidR="00C93853" w:rsidRPr="00673CDF" w:rsidRDefault="00C93853"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73,23</w:t>
            </w:r>
          </w:p>
        </w:tc>
        <w:tc>
          <w:tcPr>
            <w:tcW w:w="527" w:type="pct"/>
          </w:tcPr>
          <w:p w14:paraId="2F0BCE1A" w14:textId="77777777" w:rsidR="00C93853" w:rsidRPr="00673CDF" w:rsidRDefault="00C93853"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19,55</w:t>
            </w:r>
          </w:p>
        </w:tc>
        <w:tc>
          <w:tcPr>
            <w:tcW w:w="528" w:type="pct"/>
          </w:tcPr>
          <w:p w14:paraId="72EE9AFA" w14:textId="77777777" w:rsidR="00C93853" w:rsidRPr="00673CDF" w:rsidRDefault="00C93853"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1,60</w:t>
            </w:r>
          </w:p>
        </w:tc>
        <w:tc>
          <w:tcPr>
            <w:tcW w:w="527" w:type="pct"/>
          </w:tcPr>
          <w:p w14:paraId="46BC595D" w14:textId="77777777" w:rsidR="00C93853" w:rsidRPr="00673CDF" w:rsidRDefault="00C93853"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72,74</w:t>
            </w:r>
          </w:p>
        </w:tc>
        <w:tc>
          <w:tcPr>
            <w:tcW w:w="527" w:type="pct"/>
          </w:tcPr>
          <w:p w14:paraId="42BD1808" w14:textId="77777777" w:rsidR="00C93853" w:rsidRPr="00673CDF" w:rsidRDefault="00C93853"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19,79</w:t>
            </w:r>
          </w:p>
        </w:tc>
        <w:tc>
          <w:tcPr>
            <w:tcW w:w="525" w:type="pct"/>
          </w:tcPr>
          <w:p w14:paraId="6B4FBD2D" w14:textId="77777777" w:rsidR="00C93853" w:rsidRPr="00673CDF" w:rsidRDefault="00C93853"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1,77</w:t>
            </w:r>
          </w:p>
        </w:tc>
      </w:tr>
      <w:tr w:rsidR="00C93853" w:rsidRPr="00673CDF" w14:paraId="59C65F60" w14:textId="77777777" w:rsidTr="00E35163">
        <w:trPr>
          <w:trHeight w:val="469"/>
        </w:trPr>
        <w:tc>
          <w:tcPr>
            <w:cnfStyle w:val="001000000000" w:firstRow="0" w:lastRow="0" w:firstColumn="1" w:lastColumn="0" w:oddVBand="0" w:evenVBand="0" w:oddHBand="0" w:evenHBand="0" w:firstRowFirstColumn="0" w:firstRowLastColumn="0" w:lastRowFirstColumn="0" w:lastRowLastColumn="0"/>
            <w:tcW w:w="934" w:type="pct"/>
            <w:vMerge/>
          </w:tcPr>
          <w:p w14:paraId="7F7042F4" w14:textId="77777777" w:rsidR="00C93853" w:rsidRPr="00A07316" w:rsidRDefault="00C93853" w:rsidP="00DE7E1A">
            <w:pPr>
              <w:pStyle w:val="Normaljustificado"/>
              <w:contextualSpacing/>
              <w:jc w:val="left"/>
              <w:rPr>
                <w:rFonts w:ascii="Times" w:hAnsi="Times"/>
                <w:szCs w:val="22"/>
              </w:rPr>
            </w:pPr>
          </w:p>
        </w:tc>
        <w:tc>
          <w:tcPr>
            <w:tcW w:w="916" w:type="pct"/>
          </w:tcPr>
          <w:p w14:paraId="10C586CD" w14:textId="77777777" w:rsidR="00C93853" w:rsidRPr="00673CDF" w:rsidRDefault="00C93853" w:rsidP="00DE7E1A">
            <w:pPr>
              <w:pStyle w:val="Normaljustificado"/>
              <w:contextualSpacing/>
              <w:cnfStyle w:val="000000000000" w:firstRow="0" w:lastRow="0" w:firstColumn="0" w:lastColumn="0" w:oddVBand="0" w:evenVBand="0" w:oddHBand="0" w:evenHBand="0" w:firstRowFirstColumn="0" w:firstRowLastColumn="0" w:lastRowFirstColumn="0" w:lastRowLastColumn="0"/>
              <w:rPr>
                <w:rFonts w:ascii="Times" w:hAnsi="Times"/>
                <w:b/>
                <w:szCs w:val="22"/>
              </w:rPr>
            </w:pPr>
            <w:r w:rsidRPr="00673CDF">
              <w:rPr>
                <w:rFonts w:ascii="Times" w:hAnsi="Times"/>
                <w:szCs w:val="22"/>
              </w:rPr>
              <w:t>2006</w:t>
            </w:r>
          </w:p>
        </w:tc>
        <w:tc>
          <w:tcPr>
            <w:tcW w:w="517" w:type="pct"/>
          </w:tcPr>
          <w:p w14:paraId="04D11934" w14:textId="77777777" w:rsidR="00C93853" w:rsidRPr="00673CDF" w:rsidRDefault="00C93853"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72,69</w:t>
            </w:r>
          </w:p>
        </w:tc>
        <w:tc>
          <w:tcPr>
            <w:tcW w:w="527" w:type="pct"/>
          </w:tcPr>
          <w:p w14:paraId="64C0923E" w14:textId="77777777" w:rsidR="00C93853" w:rsidRPr="00673CDF" w:rsidRDefault="00C93853"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19,24</w:t>
            </w:r>
          </w:p>
        </w:tc>
        <w:tc>
          <w:tcPr>
            <w:tcW w:w="528" w:type="pct"/>
          </w:tcPr>
          <w:p w14:paraId="4AB730C3" w14:textId="77777777" w:rsidR="00C93853" w:rsidRPr="00673CDF" w:rsidRDefault="00C93853"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2,05</w:t>
            </w:r>
          </w:p>
        </w:tc>
        <w:tc>
          <w:tcPr>
            <w:tcW w:w="527" w:type="pct"/>
          </w:tcPr>
          <w:p w14:paraId="70D67351" w14:textId="77777777" w:rsidR="00C93853" w:rsidRPr="00673CDF" w:rsidRDefault="00C93853"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72,76</w:t>
            </w:r>
          </w:p>
        </w:tc>
        <w:tc>
          <w:tcPr>
            <w:tcW w:w="527" w:type="pct"/>
          </w:tcPr>
          <w:p w14:paraId="6E12D964" w14:textId="77777777" w:rsidR="00C93853" w:rsidRPr="00673CDF" w:rsidRDefault="00C93853"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19,50</w:t>
            </w:r>
          </w:p>
        </w:tc>
        <w:tc>
          <w:tcPr>
            <w:tcW w:w="525" w:type="pct"/>
          </w:tcPr>
          <w:p w14:paraId="642AD1FA" w14:textId="77777777" w:rsidR="00C93853" w:rsidRPr="00673CDF" w:rsidRDefault="00C93853"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2,15</w:t>
            </w:r>
          </w:p>
        </w:tc>
      </w:tr>
      <w:tr w:rsidR="00C93853" w:rsidRPr="00673CDF" w14:paraId="3F832527" w14:textId="77777777" w:rsidTr="00E35163">
        <w:trPr>
          <w:trHeight w:val="469"/>
        </w:trPr>
        <w:tc>
          <w:tcPr>
            <w:cnfStyle w:val="001000000000" w:firstRow="0" w:lastRow="0" w:firstColumn="1" w:lastColumn="0" w:oddVBand="0" w:evenVBand="0" w:oddHBand="0" w:evenHBand="0" w:firstRowFirstColumn="0" w:firstRowLastColumn="0" w:lastRowFirstColumn="0" w:lastRowLastColumn="0"/>
            <w:tcW w:w="934" w:type="pct"/>
            <w:vMerge/>
          </w:tcPr>
          <w:p w14:paraId="2A45D3DF" w14:textId="77777777" w:rsidR="00C93853" w:rsidRPr="00A07316" w:rsidRDefault="00C93853" w:rsidP="00DE7E1A">
            <w:pPr>
              <w:pStyle w:val="Normaljustificado"/>
              <w:contextualSpacing/>
              <w:jc w:val="left"/>
              <w:rPr>
                <w:rFonts w:ascii="Times" w:hAnsi="Times"/>
                <w:szCs w:val="22"/>
              </w:rPr>
            </w:pPr>
          </w:p>
        </w:tc>
        <w:tc>
          <w:tcPr>
            <w:tcW w:w="916" w:type="pct"/>
          </w:tcPr>
          <w:p w14:paraId="53DDDE5D" w14:textId="77777777" w:rsidR="00C93853" w:rsidRPr="00673CDF" w:rsidRDefault="00C93853" w:rsidP="00DE7E1A">
            <w:pPr>
              <w:pStyle w:val="Normaljustificado"/>
              <w:contextualSpacing/>
              <w:cnfStyle w:val="000000000000" w:firstRow="0" w:lastRow="0" w:firstColumn="0" w:lastColumn="0" w:oddVBand="0" w:evenVBand="0" w:oddHBand="0" w:evenHBand="0" w:firstRowFirstColumn="0" w:firstRowLastColumn="0" w:lastRowFirstColumn="0" w:lastRowLastColumn="0"/>
              <w:rPr>
                <w:rFonts w:ascii="Times" w:hAnsi="Times"/>
                <w:b/>
                <w:szCs w:val="22"/>
              </w:rPr>
            </w:pPr>
            <w:r w:rsidRPr="00673CDF">
              <w:rPr>
                <w:rFonts w:ascii="Times" w:hAnsi="Times"/>
                <w:szCs w:val="22"/>
              </w:rPr>
              <w:t>2007</w:t>
            </w:r>
          </w:p>
        </w:tc>
        <w:tc>
          <w:tcPr>
            <w:tcW w:w="517" w:type="pct"/>
          </w:tcPr>
          <w:p w14:paraId="01A87326" w14:textId="77777777" w:rsidR="00C93853" w:rsidRPr="00673CDF" w:rsidRDefault="00C93853"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73,58</w:t>
            </w:r>
          </w:p>
        </w:tc>
        <w:tc>
          <w:tcPr>
            <w:tcW w:w="527" w:type="pct"/>
          </w:tcPr>
          <w:p w14:paraId="365638B8" w14:textId="77777777" w:rsidR="00C93853" w:rsidRPr="00673CDF" w:rsidRDefault="00C93853"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19,20</w:t>
            </w:r>
          </w:p>
        </w:tc>
        <w:tc>
          <w:tcPr>
            <w:tcW w:w="528" w:type="pct"/>
          </w:tcPr>
          <w:p w14:paraId="24CAC25D" w14:textId="77777777" w:rsidR="00C93853" w:rsidRPr="00673CDF" w:rsidRDefault="00C93853"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1,64</w:t>
            </w:r>
          </w:p>
        </w:tc>
        <w:tc>
          <w:tcPr>
            <w:tcW w:w="527" w:type="pct"/>
          </w:tcPr>
          <w:p w14:paraId="118F2EB9" w14:textId="77777777" w:rsidR="00C93853" w:rsidRPr="00673CDF" w:rsidRDefault="00C93853"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73,80</w:t>
            </w:r>
          </w:p>
        </w:tc>
        <w:tc>
          <w:tcPr>
            <w:tcW w:w="527" w:type="pct"/>
          </w:tcPr>
          <w:p w14:paraId="3D0026E1" w14:textId="77777777" w:rsidR="00C93853" w:rsidRPr="00673CDF" w:rsidRDefault="00C93853"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19,38</w:t>
            </w:r>
          </w:p>
        </w:tc>
        <w:tc>
          <w:tcPr>
            <w:tcW w:w="525" w:type="pct"/>
          </w:tcPr>
          <w:p w14:paraId="49E05E01" w14:textId="77777777" w:rsidR="00C93853" w:rsidRPr="00673CDF" w:rsidRDefault="00C93853"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1,72</w:t>
            </w:r>
          </w:p>
        </w:tc>
      </w:tr>
      <w:tr w:rsidR="00C93853" w:rsidRPr="00673CDF" w14:paraId="79136D26" w14:textId="77777777" w:rsidTr="00E35163">
        <w:trPr>
          <w:trHeight w:val="469"/>
        </w:trPr>
        <w:tc>
          <w:tcPr>
            <w:cnfStyle w:val="001000000000" w:firstRow="0" w:lastRow="0" w:firstColumn="1" w:lastColumn="0" w:oddVBand="0" w:evenVBand="0" w:oddHBand="0" w:evenHBand="0" w:firstRowFirstColumn="0" w:firstRowLastColumn="0" w:lastRowFirstColumn="0" w:lastRowLastColumn="0"/>
            <w:tcW w:w="934" w:type="pct"/>
            <w:vMerge/>
          </w:tcPr>
          <w:p w14:paraId="25352C60" w14:textId="77777777" w:rsidR="00C93853" w:rsidRPr="00A07316" w:rsidRDefault="00C93853" w:rsidP="00DE7E1A">
            <w:pPr>
              <w:pStyle w:val="Normaljustificado"/>
              <w:contextualSpacing/>
              <w:jc w:val="left"/>
              <w:rPr>
                <w:rFonts w:ascii="Times" w:hAnsi="Times"/>
                <w:szCs w:val="22"/>
              </w:rPr>
            </w:pPr>
          </w:p>
        </w:tc>
        <w:tc>
          <w:tcPr>
            <w:tcW w:w="916" w:type="pct"/>
          </w:tcPr>
          <w:p w14:paraId="03F4253D" w14:textId="77777777" w:rsidR="00C93853" w:rsidRPr="00673CDF" w:rsidRDefault="00C93853" w:rsidP="00DE7E1A">
            <w:pPr>
              <w:pStyle w:val="Normaljustificado"/>
              <w:contextualSpacing/>
              <w:cnfStyle w:val="000000000000" w:firstRow="0" w:lastRow="0" w:firstColumn="0" w:lastColumn="0" w:oddVBand="0" w:evenVBand="0" w:oddHBand="0" w:evenHBand="0" w:firstRowFirstColumn="0" w:firstRowLastColumn="0" w:lastRowFirstColumn="0" w:lastRowLastColumn="0"/>
              <w:rPr>
                <w:rFonts w:ascii="Times" w:hAnsi="Times"/>
                <w:b/>
                <w:szCs w:val="22"/>
              </w:rPr>
            </w:pPr>
            <w:r w:rsidRPr="00673CDF">
              <w:rPr>
                <w:rFonts w:ascii="Times" w:hAnsi="Times"/>
                <w:szCs w:val="22"/>
              </w:rPr>
              <w:t>2008</w:t>
            </w:r>
          </w:p>
        </w:tc>
        <w:tc>
          <w:tcPr>
            <w:tcW w:w="517" w:type="pct"/>
          </w:tcPr>
          <w:p w14:paraId="484537C7" w14:textId="77777777" w:rsidR="00C93853" w:rsidRPr="00673CDF" w:rsidRDefault="00C93853"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73,37</w:t>
            </w:r>
          </w:p>
        </w:tc>
        <w:tc>
          <w:tcPr>
            <w:tcW w:w="527" w:type="pct"/>
          </w:tcPr>
          <w:p w14:paraId="2279A3FD" w14:textId="77777777" w:rsidR="00C93853" w:rsidRPr="00673CDF" w:rsidRDefault="00C93853"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19,51</w:t>
            </w:r>
          </w:p>
        </w:tc>
        <w:tc>
          <w:tcPr>
            <w:tcW w:w="528" w:type="pct"/>
          </w:tcPr>
          <w:p w14:paraId="2F94DA75" w14:textId="77777777" w:rsidR="00C93853" w:rsidRPr="00673CDF" w:rsidRDefault="00C93853"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1,80</w:t>
            </w:r>
          </w:p>
        </w:tc>
        <w:tc>
          <w:tcPr>
            <w:tcW w:w="527" w:type="pct"/>
          </w:tcPr>
          <w:p w14:paraId="7C8D8128" w14:textId="77777777" w:rsidR="00C93853" w:rsidRPr="00673CDF" w:rsidRDefault="00C93853"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73,18</w:t>
            </w:r>
          </w:p>
        </w:tc>
        <w:tc>
          <w:tcPr>
            <w:tcW w:w="527" w:type="pct"/>
          </w:tcPr>
          <w:p w14:paraId="5BA0E6BF" w14:textId="77777777" w:rsidR="00C93853" w:rsidRPr="00673CDF" w:rsidRDefault="00C93853"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19,44</w:t>
            </w:r>
          </w:p>
        </w:tc>
        <w:tc>
          <w:tcPr>
            <w:tcW w:w="525" w:type="pct"/>
          </w:tcPr>
          <w:p w14:paraId="46C11A1C" w14:textId="77777777" w:rsidR="00C93853" w:rsidRPr="00673CDF" w:rsidRDefault="00C93853"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2,17</w:t>
            </w:r>
          </w:p>
        </w:tc>
      </w:tr>
      <w:tr w:rsidR="00C93853" w:rsidRPr="00673CDF" w14:paraId="6F7AE6EB" w14:textId="77777777" w:rsidTr="00E35163">
        <w:trPr>
          <w:trHeight w:val="469"/>
        </w:trPr>
        <w:tc>
          <w:tcPr>
            <w:cnfStyle w:val="001000000000" w:firstRow="0" w:lastRow="0" w:firstColumn="1" w:lastColumn="0" w:oddVBand="0" w:evenVBand="0" w:oddHBand="0" w:evenHBand="0" w:firstRowFirstColumn="0" w:firstRowLastColumn="0" w:lastRowFirstColumn="0" w:lastRowLastColumn="0"/>
            <w:tcW w:w="934" w:type="pct"/>
            <w:vMerge/>
          </w:tcPr>
          <w:p w14:paraId="794F47DB" w14:textId="77777777" w:rsidR="00C93853" w:rsidRPr="00A07316" w:rsidRDefault="00C93853" w:rsidP="00DE7E1A">
            <w:pPr>
              <w:pStyle w:val="Normaljustificado"/>
              <w:contextualSpacing/>
              <w:jc w:val="left"/>
              <w:rPr>
                <w:rFonts w:ascii="Times" w:hAnsi="Times"/>
                <w:szCs w:val="22"/>
              </w:rPr>
            </w:pPr>
          </w:p>
        </w:tc>
        <w:tc>
          <w:tcPr>
            <w:tcW w:w="916" w:type="pct"/>
          </w:tcPr>
          <w:p w14:paraId="7184A2E7" w14:textId="77777777" w:rsidR="00C93853" w:rsidRPr="00673CDF" w:rsidRDefault="00C93853" w:rsidP="00DE7E1A">
            <w:pPr>
              <w:pStyle w:val="Normaljustificado"/>
              <w:contextualSpacing/>
              <w:cnfStyle w:val="000000000000" w:firstRow="0" w:lastRow="0" w:firstColumn="0" w:lastColumn="0" w:oddVBand="0" w:evenVBand="0" w:oddHBand="0" w:evenHBand="0" w:firstRowFirstColumn="0" w:firstRowLastColumn="0" w:lastRowFirstColumn="0" w:lastRowLastColumn="0"/>
              <w:rPr>
                <w:rFonts w:ascii="Times" w:hAnsi="Times"/>
                <w:b/>
                <w:szCs w:val="22"/>
              </w:rPr>
            </w:pPr>
            <w:r w:rsidRPr="00673CDF">
              <w:rPr>
                <w:rFonts w:ascii="Times" w:hAnsi="Times"/>
                <w:szCs w:val="22"/>
              </w:rPr>
              <w:t>2009</w:t>
            </w:r>
          </w:p>
        </w:tc>
        <w:tc>
          <w:tcPr>
            <w:tcW w:w="517" w:type="pct"/>
          </w:tcPr>
          <w:p w14:paraId="086A6BFC" w14:textId="77777777" w:rsidR="00C93853" w:rsidRPr="00673CDF" w:rsidRDefault="00C93853"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73,75</w:t>
            </w:r>
          </w:p>
        </w:tc>
        <w:tc>
          <w:tcPr>
            <w:tcW w:w="527" w:type="pct"/>
          </w:tcPr>
          <w:p w14:paraId="75BD63F5" w14:textId="77777777" w:rsidR="00C93853" w:rsidRPr="00673CDF" w:rsidRDefault="00C93853"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19,77</w:t>
            </w:r>
          </w:p>
        </w:tc>
        <w:tc>
          <w:tcPr>
            <w:tcW w:w="528" w:type="pct"/>
          </w:tcPr>
          <w:p w14:paraId="7DB09DCB" w14:textId="77777777" w:rsidR="00C93853" w:rsidRPr="00673CDF" w:rsidRDefault="00C93853"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1,17</w:t>
            </w:r>
          </w:p>
        </w:tc>
        <w:tc>
          <w:tcPr>
            <w:tcW w:w="527" w:type="pct"/>
          </w:tcPr>
          <w:p w14:paraId="7BA2753F" w14:textId="77777777" w:rsidR="00C93853" w:rsidRPr="00673CDF" w:rsidRDefault="00C93853"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72,99</w:t>
            </w:r>
          </w:p>
        </w:tc>
        <w:tc>
          <w:tcPr>
            <w:tcW w:w="527" w:type="pct"/>
          </w:tcPr>
          <w:p w14:paraId="2278DF82" w14:textId="77777777" w:rsidR="00C93853" w:rsidRPr="00673CDF" w:rsidRDefault="00C93853"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20,13</w:t>
            </w:r>
          </w:p>
        </w:tc>
        <w:tc>
          <w:tcPr>
            <w:tcW w:w="525" w:type="pct"/>
          </w:tcPr>
          <w:p w14:paraId="12234E2E" w14:textId="77777777" w:rsidR="00C93853" w:rsidRPr="00673CDF" w:rsidRDefault="00C93853"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673CDF">
              <w:rPr>
                <w:rFonts w:ascii="Times" w:hAnsi="Times"/>
                <w:sz w:val="22"/>
                <w:szCs w:val="22"/>
              </w:rPr>
              <w:t>1,69</w:t>
            </w:r>
          </w:p>
        </w:tc>
      </w:tr>
      <w:tr w:rsidR="00C93853" w:rsidRPr="00673CDF" w14:paraId="62DACD37" w14:textId="77777777" w:rsidTr="00E35163">
        <w:trPr>
          <w:trHeight w:val="469"/>
        </w:trPr>
        <w:tc>
          <w:tcPr>
            <w:cnfStyle w:val="001000000000" w:firstRow="0" w:lastRow="0" w:firstColumn="1" w:lastColumn="0" w:oddVBand="0" w:evenVBand="0" w:oddHBand="0" w:evenHBand="0" w:firstRowFirstColumn="0" w:firstRowLastColumn="0" w:lastRowFirstColumn="0" w:lastRowLastColumn="0"/>
            <w:tcW w:w="934" w:type="pct"/>
          </w:tcPr>
          <w:p w14:paraId="58F9A5A7" w14:textId="77777777" w:rsidR="00C93853" w:rsidRPr="00A07316" w:rsidRDefault="00C93853" w:rsidP="00DE7E1A">
            <w:pPr>
              <w:pStyle w:val="Normaljustificado"/>
              <w:contextualSpacing/>
              <w:jc w:val="left"/>
              <w:rPr>
                <w:rFonts w:ascii="Times" w:hAnsi="Times" w:cs="Times"/>
                <w:szCs w:val="22"/>
              </w:rPr>
            </w:pPr>
          </w:p>
        </w:tc>
        <w:tc>
          <w:tcPr>
            <w:tcW w:w="916" w:type="pct"/>
          </w:tcPr>
          <w:p w14:paraId="7C54E13D" w14:textId="77777777" w:rsidR="00C93853" w:rsidRPr="00673CDF" w:rsidRDefault="00C93853" w:rsidP="00DE7E1A">
            <w:pPr>
              <w:pStyle w:val="Normaljustificado"/>
              <w:contextualSpacing/>
              <w:cnfStyle w:val="000000000000" w:firstRow="0" w:lastRow="0" w:firstColumn="0" w:lastColumn="0" w:oddVBand="0" w:evenVBand="0" w:oddHBand="0" w:evenHBand="0" w:firstRowFirstColumn="0" w:firstRowLastColumn="0" w:lastRowFirstColumn="0" w:lastRowLastColumn="0"/>
              <w:rPr>
                <w:rFonts w:ascii="Times" w:hAnsi="Times"/>
                <w:szCs w:val="22"/>
              </w:rPr>
            </w:pPr>
            <w:r w:rsidRPr="00673CDF">
              <w:rPr>
                <w:rFonts w:ascii="Times" w:hAnsi="Times" w:cs="Times"/>
                <w:szCs w:val="22"/>
              </w:rPr>
              <w:t>Δ</w:t>
            </w:r>
            <w:r w:rsidRPr="00673CDF">
              <w:rPr>
                <w:rFonts w:ascii="Times" w:hAnsi="Times"/>
                <w:szCs w:val="22"/>
              </w:rPr>
              <w:t xml:space="preserve"> p.p03/09  </w:t>
            </w:r>
          </w:p>
        </w:tc>
        <w:tc>
          <w:tcPr>
            <w:tcW w:w="517" w:type="pct"/>
          </w:tcPr>
          <w:p w14:paraId="5F51DEBD" w14:textId="77777777" w:rsidR="00C93853" w:rsidRPr="00673CDF" w:rsidRDefault="00E34605"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Pr>
                <w:rFonts w:ascii="Times" w:hAnsi="Times"/>
                <w:sz w:val="22"/>
                <w:szCs w:val="22"/>
              </w:rPr>
              <w:t>+</w:t>
            </w:r>
            <w:r w:rsidR="00C93853" w:rsidRPr="00673CDF">
              <w:rPr>
                <w:rFonts w:ascii="Times" w:hAnsi="Times"/>
                <w:sz w:val="22"/>
                <w:szCs w:val="22"/>
              </w:rPr>
              <w:t>0,52</w:t>
            </w:r>
          </w:p>
        </w:tc>
        <w:tc>
          <w:tcPr>
            <w:tcW w:w="527" w:type="pct"/>
          </w:tcPr>
          <w:p w14:paraId="62DAE2FB" w14:textId="77777777" w:rsidR="00C93853" w:rsidRPr="00673CDF" w:rsidRDefault="00E34605"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Pr>
                <w:rFonts w:ascii="Times" w:hAnsi="Times"/>
                <w:sz w:val="22"/>
                <w:szCs w:val="22"/>
              </w:rPr>
              <w:t>+</w:t>
            </w:r>
            <w:r w:rsidR="00C93853" w:rsidRPr="00673CDF">
              <w:rPr>
                <w:rFonts w:ascii="Times" w:hAnsi="Times"/>
                <w:sz w:val="22"/>
                <w:szCs w:val="22"/>
              </w:rPr>
              <w:t>0,22</w:t>
            </w:r>
          </w:p>
        </w:tc>
        <w:tc>
          <w:tcPr>
            <w:tcW w:w="528" w:type="pct"/>
          </w:tcPr>
          <w:p w14:paraId="0242ADB9" w14:textId="77777777" w:rsidR="00C93853" w:rsidRPr="00673CDF" w:rsidRDefault="00E34605"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Pr>
                <w:rFonts w:ascii="Times" w:hAnsi="Times"/>
                <w:sz w:val="22"/>
                <w:szCs w:val="22"/>
              </w:rPr>
              <w:t>-</w:t>
            </w:r>
            <w:r w:rsidR="00C93853" w:rsidRPr="00673CDF">
              <w:rPr>
                <w:rFonts w:ascii="Times" w:hAnsi="Times"/>
                <w:sz w:val="22"/>
                <w:szCs w:val="22"/>
              </w:rPr>
              <w:t>0.43</w:t>
            </w:r>
          </w:p>
        </w:tc>
        <w:tc>
          <w:tcPr>
            <w:tcW w:w="527" w:type="pct"/>
          </w:tcPr>
          <w:p w14:paraId="530F5352" w14:textId="77777777" w:rsidR="00C93853" w:rsidRPr="00673CDF" w:rsidRDefault="00E34605"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Pr>
                <w:rFonts w:ascii="Times" w:hAnsi="Times"/>
                <w:sz w:val="22"/>
                <w:szCs w:val="22"/>
              </w:rPr>
              <w:t>-</w:t>
            </w:r>
            <w:r w:rsidR="00C93853" w:rsidRPr="00673CDF">
              <w:rPr>
                <w:rFonts w:ascii="Times" w:hAnsi="Times"/>
                <w:sz w:val="22"/>
                <w:szCs w:val="22"/>
              </w:rPr>
              <w:t>0,59</w:t>
            </w:r>
          </w:p>
        </w:tc>
        <w:tc>
          <w:tcPr>
            <w:tcW w:w="527" w:type="pct"/>
          </w:tcPr>
          <w:p w14:paraId="0DFC44B7" w14:textId="77777777" w:rsidR="00C93853" w:rsidRPr="00673CDF" w:rsidRDefault="00E34605"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Pr>
                <w:rFonts w:ascii="Times" w:hAnsi="Times"/>
                <w:sz w:val="22"/>
                <w:szCs w:val="22"/>
              </w:rPr>
              <w:t>+</w:t>
            </w:r>
            <w:r w:rsidR="00C93853" w:rsidRPr="00673CDF">
              <w:rPr>
                <w:rFonts w:ascii="Times" w:hAnsi="Times"/>
                <w:sz w:val="22"/>
                <w:szCs w:val="22"/>
              </w:rPr>
              <w:t>0,29</w:t>
            </w:r>
          </w:p>
        </w:tc>
        <w:tc>
          <w:tcPr>
            <w:tcW w:w="525" w:type="pct"/>
          </w:tcPr>
          <w:p w14:paraId="21E4D562" w14:textId="77777777" w:rsidR="00C93853" w:rsidRPr="00673CDF" w:rsidRDefault="00E34605" w:rsidP="00DE7E1A">
            <w:pPr>
              <w:contextualSpacing/>
              <w:jc w:val="both"/>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Pr>
                <w:rFonts w:ascii="Times" w:hAnsi="Times"/>
                <w:sz w:val="22"/>
                <w:szCs w:val="22"/>
              </w:rPr>
              <w:t>+</w:t>
            </w:r>
            <w:r w:rsidR="00C93853" w:rsidRPr="00673CDF">
              <w:rPr>
                <w:rFonts w:ascii="Times" w:hAnsi="Times"/>
                <w:sz w:val="22"/>
                <w:szCs w:val="22"/>
              </w:rPr>
              <w:t>0,64</w:t>
            </w:r>
          </w:p>
        </w:tc>
      </w:tr>
    </w:tbl>
    <w:p w14:paraId="4885B915" w14:textId="77777777" w:rsidR="00AC6918" w:rsidRDefault="00AC6918" w:rsidP="008A633C">
      <w:pPr>
        <w:jc w:val="both"/>
        <w:rPr>
          <w:rFonts w:asciiTheme="majorHAnsi" w:hAnsiTheme="majorHAnsi"/>
          <w:sz w:val="18"/>
          <w:szCs w:val="18"/>
        </w:rPr>
      </w:pPr>
    </w:p>
    <w:p w14:paraId="4D1A47F3" w14:textId="2380C8D4" w:rsidR="00AC6918" w:rsidRDefault="00AC6918" w:rsidP="008A633C">
      <w:pPr>
        <w:rPr>
          <w:rFonts w:asciiTheme="majorHAnsi" w:hAnsiTheme="majorHAnsi"/>
          <w:sz w:val="18"/>
          <w:szCs w:val="18"/>
        </w:rPr>
      </w:pPr>
      <w:r w:rsidRPr="00673CDF">
        <w:rPr>
          <w:rFonts w:asciiTheme="majorHAnsi" w:hAnsiTheme="majorHAnsi"/>
          <w:sz w:val="18"/>
          <w:szCs w:val="18"/>
        </w:rPr>
        <w:t>Fonte:</w:t>
      </w:r>
      <w:r w:rsidR="00E35163">
        <w:rPr>
          <w:rFonts w:asciiTheme="majorHAnsi" w:hAnsiTheme="majorHAnsi"/>
          <w:sz w:val="18"/>
          <w:szCs w:val="18"/>
        </w:rPr>
        <w:t xml:space="preserve"> Elaborada pelos autores a partir das</w:t>
      </w:r>
      <w:r w:rsidRPr="00673CDF">
        <w:rPr>
          <w:rFonts w:asciiTheme="majorHAnsi" w:hAnsiTheme="majorHAnsi"/>
          <w:sz w:val="18"/>
          <w:szCs w:val="18"/>
        </w:rPr>
        <w:t xml:space="preserve"> PNADs de 19</w:t>
      </w:r>
      <w:r w:rsidR="00E35163">
        <w:rPr>
          <w:rFonts w:asciiTheme="majorHAnsi" w:hAnsiTheme="majorHAnsi"/>
          <w:sz w:val="18"/>
          <w:szCs w:val="18"/>
        </w:rPr>
        <w:t>95 a 2009</w:t>
      </w:r>
    </w:p>
    <w:p w14:paraId="04470FA5" w14:textId="77777777" w:rsidR="00865295" w:rsidRPr="00673CDF" w:rsidRDefault="00865295" w:rsidP="00AC6918">
      <w:pPr>
        <w:rPr>
          <w:rFonts w:asciiTheme="majorHAnsi" w:hAnsiTheme="majorHAnsi"/>
          <w:sz w:val="18"/>
          <w:szCs w:val="18"/>
        </w:rPr>
      </w:pPr>
      <w:r w:rsidRPr="00673CDF">
        <w:rPr>
          <w:rFonts w:asciiTheme="majorHAnsi" w:hAnsiTheme="majorHAnsi"/>
          <w:sz w:val="18"/>
          <w:szCs w:val="18"/>
          <w:vertAlign w:val="superscript"/>
        </w:rPr>
        <w:t>1</w:t>
      </w:r>
      <w:r w:rsidRPr="00673CDF">
        <w:rPr>
          <w:rFonts w:asciiTheme="majorHAnsi" w:hAnsiTheme="majorHAnsi"/>
          <w:sz w:val="18"/>
          <w:szCs w:val="18"/>
        </w:rPr>
        <w:t xml:space="preserve"> Trabalho Principal        </w:t>
      </w:r>
      <w:r w:rsidRPr="00673CDF">
        <w:rPr>
          <w:rFonts w:asciiTheme="majorHAnsi" w:hAnsiTheme="majorHAnsi"/>
          <w:sz w:val="18"/>
          <w:szCs w:val="18"/>
          <w:vertAlign w:val="superscript"/>
        </w:rPr>
        <w:t>2</w:t>
      </w:r>
      <w:r w:rsidRPr="00673CDF">
        <w:rPr>
          <w:rFonts w:asciiTheme="majorHAnsi" w:hAnsiTheme="majorHAnsi"/>
          <w:sz w:val="18"/>
          <w:szCs w:val="18"/>
        </w:rPr>
        <w:t xml:space="preserve"> Aposentadorias e pensões    </w:t>
      </w:r>
      <w:r w:rsidRPr="00673CDF">
        <w:rPr>
          <w:rFonts w:asciiTheme="majorHAnsi" w:hAnsiTheme="majorHAnsi"/>
          <w:sz w:val="18"/>
          <w:szCs w:val="18"/>
          <w:vertAlign w:val="superscript"/>
        </w:rPr>
        <w:t>3</w:t>
      </w:r>
      <w:r w:rsidRPr="00673CDF">
        <w:rPr>
          <w:rFonts w:asciiTheme="majorHAnsi" w:hAnsiTheme="majorHAnsi"/>
          <w:sz w:val="18"/>
          <w:szCs w:val="18"/>
        </w:rPr>
        <w:t xml:space="preserve"> Outros Ren</w:t>
      </w:r>
      <w:r w:rsidR="008A633C">
        <w:rPr>
          <w:rFonts w:asciiTheme="majorHAnsi" w:hAnsiTheme="majorHAnsi"/>
          <w:sz w:val="18"/>
          <w:szCs w:val="18"/>
        </w:rPr>
        <w:t>das</w:t>
      </w:r>
      <w:r w:rsidRPr="00673CDF">
        <w:rPr>
          <w:rFonts w:asciiTheme="majorHAnsi" w:hAnsiTheme="majorHAnsi"/>
          <w:sz w:val="18"/>
          <w:szCs w:val="18"/>
        </w:rPr>
        <w:t xml:space="preserve">        </w:t>
      </w:r>
      <w:r w:rsidRPr="00673CDF">
        <w:rPr>
          <w:rFonts w:asciiTheme="majorHAnsi" w:hAnsiTheme="majorHAnsi"/>
          <w:sz w:val="18"/>
          <w:szCs w:val="18"/>
          <w:vertAlign w:val="superscript"/>
        </w:rPr>
        <w:t xml:space="preserve">4 </w:t>
      </w:r>
      <w:r w:rsidRPr="00673CDF">
        <w:rPr>
          <w:rFonts w:asciiTheme="majorHAnsi" w:hAnsiTheme="majorHAnsi"/>
          <w:sz w:val="18"/>
          <w:szCs w:val="18"/>
        </w:rPr>
        <w:t>Gini Total Brasil</w:t>
      </w:r>
    </w:p>
    <w:p w14:paraId="1021B094" w14:textId="4EA9D052" w:rsidR="00E35163" w:rsidRDefault="00E35163" w:rsidP="00347B57">
      <w:pPr>
        <w:widowControl w:val="0"/>
        <w:autoSpaceDE w:val="0"/>
        <w:autoSpaceDN w:val="0"/>
        <w:adjustRightInd w:val="0"/>
        <w:spacing w:line="360" w:lineRule="auto"/>
        <w:ind w:firstLine="720"/>
        <w:contextualSpacing/>
        <w:jc w:val="both"/>
        <w:outlineLvl w:val="0"/>
        <w:rPr>
          <w:rFonts w:ascii="Times" w:hAnsi="Times" w:cs="Times New Roman"/>
          <w:bCs/>
          <w:noProof/>
          <w:color w:val="000000" w:themeColor="text1"/>
        </w:rPr>
      </w:pPr>
    </w:p>
    <w:p w14:paraId="66B1DDB0" w14:textId="77777777" w:rsidR="00426384" w:rsidRDefault="00426384" w:rsidP="00426384">
      <w:pPr>
        <w:widowControl w:val="0"/>
        <w:autoSpaceDE w:val="0"/>
        <w:autoSpaceDN w:val="0"/>
        <w:adjustRightInd w:val="0"/>
        <w:spacing w:line="360" w:lineRule="auto"/>
        <w:ind w:firstLine="720"/>
        <w:contextualSpacing/>
        <w:jc w:val="both"/>
        <w:outlineLvl w:val="0"/>
        <w:rPr>
          <w:rFonts w:ascii="Times" w:hAnsi="Times" w:cs="Times New Roman"/>
          <w:bCs/>
          <w:noProof/>
          <w:color w:val="000000" w:themeColor="text1"/>
        </w:rPr>
      </w:pPr>
      <w:r>
        <w:rPr>
          <w:rFonts w:ascii="Times" w:hAnsi="Times" w:cs="Times New Roman"/>
          <w:bCs/>
          <w:noProof/>
          <w:color w:val="000000" w:themeColor="text1"/>
        </w:rPr>
        <w:t>Isso mostra a reação mais pronunciada e negativa do mercado de trabalho na região sul quando comparada aos dados do Brasil em seu conjunto. Apesar da estabilização dos preços pós Plano Real, a conjuntura internacional desfavorável especialmente no final dos anos 1990, e as políticas macroeconômicas nacionais repercutiram no mercado de trabalho interno, com maior intensidade na região sul, tradicionalmente de maior desenvolvimento e mais integrada à economia internacional e doméstica.</w:t>
      </w:r>
    </w:p>
    <w:p w14:paraId="5092A398" w14:textId="77777777" w:rsidR="00426384" w:rsidRDefault="00426384" w:rsidP="00426384">
      <w:pPr>
        <w:widowControl w:val="0"/>
        <w:autoSpaceDE w:val="0"/>
        <w:autoSpaceDN w:val="0"/>
        <w:adjustRightInd w:val="0"/>
        <w:spacing w:line="360" w:lineRule="auto"/>
        <w:ind w:firstLine="720"/>
        <w:contextualSpacing/>
        <w:jc w:val="both"/>
        <w:outlineLvl w:val="0"/>
        <w:rPr>
          <w:rFonts w:ascii="Times" w:hAnsi="Times" w:cs="Times New Roman"/>
          <w:bCs/>
          <w:noProof/>
          <w:color w:val="000000" w:themeColor="text1"/>
        </w:rPr>
      </w:pPr>
      <w:r>
        <w:rPr>
          <w:rFonts w:ascii="Times" w:hAnsi="Times" w:cs="Times New Roman"/>
          <w:bCs/>
          <w:noProof/>
          <w:color w:val="000000" w:themeColor="text1"/>
        </w:rPr>
        <w:t xml:space="preserve">Por outro lado, as rendas que advém das aposentadorias e pensões revelam crescimento </w:t>
      </w:r>
      <w:r>
        <w:rPr>
          <w:rFonts w:ascii="Times" w:hAnsi="Times" w:cs="Times New Roman"/>
          <w:bCs/>
          <w:noProof/>
          <w:color w:val="000000" w:themeColor="text1"/>
        </w:rPr>
        <w:lastRenderedPageBreak/>
        <w:t>na participação da renda domiciliar mais fortemente na região sul, no período em que o país esteve governado por FHC. Abre-se a possibilidade de associação entre estes resultados e os bons indicadores sociais na região, particularmente os de escolaridade e saúde.</w:t>
      </w:r>
    </w:p>
    <w:p w14:paraId="249AE552" w14:textId="77777777" w:rsidR="00426384" w:rsidRDefault="00426384" w:rsidP="00426384">
      <w:pPr>
        <w:widowControl w:val="0"/>
        <w:autoSpaceDE w:val="0"/>
        <w:autoSpaceDN w:val="0"/>
        <w:adjustRightInd w:val="0"/>
        <w:spacing w:line="360" w:lineRule="auto"/>
        <w:ind w:firstLine="720"/>
        <w:contextualSpacing/>
        <w:jc w:val="both"/>
        <w:outlineLvl w:val="0"/>
        <w:rPr>
          <w:rFonts w:ascii="Times" w:hAnsi="Times" w:cs="Times New Roman"/>
          <w:bCs/>
          <w:noProof/>
          <w:color w:val="000000" w:themeColor="text1"/>
        </w:rPr>
      </w:pPr>
      <w:r w:rsidRPr="009B03DE">
        <w:rPr>
          <w:rFonts w:ascii="Times" w:hAnsi="Times" w:cs="Times New Roman"/>
          <w:bCs/>
          <w:noProof/>
          <w:color w:val="000000" w:themeColor="text1"/>
        </w:rPr>
        <w:t xml:space="preserve">No período 2003-2009, </w:t>
      </w:r>
      <w:r>
        <w:rPr>
          <w:rFonts w:ascii="Times" w:hAnsi="Times" w:cs="Times New Roman"/>
          <w:bCs/>
          <w:noProof/>
          <w:color w:val="000000" w:themeColor="text1"/>
        </w:rPr>
        <w:t>governos Lula, a participação d</w:t>
      </w:r>
      <w:r w:rsidRPr="009B03DE">
        <w:rPr>
          <w:rFonts w:ascii="Times" w:hAnsi="Times" w:cs="Times New Roman"/>
          <w:bCs/>
          <w:noProof/>
          <w:color w:val="000000" w:themeColor="text1"/>
        </w:rPr>
        <w:t xml:space="preserve">o trabalho e as aposentadorias e pensões </w:t>
      </w:r>
      <w:r>
        <w:rPr>
          <w:rFonts w:ascii="Times" w:hAnsi="Times" w:cs="Times New Roman"/>
          <w:bCs/>
          <w:noProof/>
          <w:color w:val="000000" w:themeColor="text1"/>
        </w:rPr>
        <w:t xml:space="preserve">aumentaram 0,52% e </w:t>
      </w:r>
      <w:r w:rsidRPr="009B03DE">
        <w:rPr>
          <w:rFonts w:ascii="Times" w:hAnsi="Times" w:cs="Times New Roman"/>
          <w:bCs/>
          <w:noProof/>
          <w:color w:val="000000" w:themeColor="text1"/>
        </w:rPr>
        <w:t>0,22%, respectivamente</w:t>
      </w:r>
      <w:r>
        <w:rPr>
          <w:rFonts w:ascii="Times" w:hAnsi="Times" w:cs="Times New Roman"/>
          <w:bCs/>
          <w:noProof/>
          <w:color w:val="000000" w:themeColor="text1"/>
        </w:rPr>
        <w:t xml:space="preserve"> na região sul</w:t>
      </w:r>
      <w:r w:rsidRPr="009B03DE">
        <w:rPr>
          <w:rFonts w:ascii="Times" w:hAnsi="Times" w:cs="Times New Roman"/>
          <w:bCs/>
          <w:noProof/>
          <w:color w:val="000000" w:themeColor="text1"/>
        </w:rPr>
        <w:t xml:space="preserve">, enquanto </w:t>
      </w:r>
      <w:r>
        <w:rPr>
          <w:rFonts w:ascii="Times" w:hAnsi="Times" w:cs="Times New Roman"/>
          <w:bCs/>
          <w:noProof/>
          <w:color w:val="000000" w:themeColor="text1"/>
        </w:rPr>
        <w:t>as</w:t>
      </w:r>
      <w:r w:rsidRPr="009B03DE">
        <w:rPr>
          <w:rFonts w:ascii="Times" w:hAnsi="Times" w:cs="Times New Roman"/>
          <w:bCs/>
          <w:noProof/>
          <w:color w:val="000000" w:themeColor="text1"/>
        </w:rPr>
        <w:t xml:space="preserve"> outr</w:t>
      </w:r>
      <w:r>
        <w:rPr>
          <w:rFonts w:ascii="Times" w:hAnsi="Times" w:cs="Times New Roman"/>
          <w:bCs/>
          <w:noProof/>
          <w:color w:val="000000" w:themeColor="text1"/>
        </w:rPr>
        <w:t>as</w:t>
      </w:r>
      <w:r w:rsidRPr="009B03DE">
        <w:rPr>
          <w:rFonts w:ascii="Times" w:hAnsi="Times" w:cs="Times New Roman"/>
          <w:bCs/>
          <w:noProof/>
          <w:color w:val="000000" w:themeColor="text1"/>
        </w:rPr>
        <w:t xml:space="preserve"> rend</w:t>
      </w:r>
      <w:r>
        <w:rPr>
          <w:rFonts w:ascii="Times" w:hAnsi="Times" w:cs="Times New Roman"/>
          <w:bCs/>
          <w:noProof/>
          <w:color w:val="000000" w:themeColor="text1"/>
        </w:rPr>
        <w:t>as</w:t>
      </w:r>
      <w:r w:rsidRPr="009B03DE">
        <w:rPr>
          <w:rFonts w:ascii="Times" w:hAnsi="Times" w:cs="Times New Roman"/>
          <w:bCs/>
          <w:noProof/>
          <w:color w:val="000000" w:themeColor="text1"/>
        </w:rPr>
        <w:t xml:space="preserve"> </w:t>
      </w:r>
      <w:r>
        <w:rPr>
          <w:rFonts w:ascii="Times" w:hAnsi="Times" w:cs="Times New Roman"/>
          <w:bCs/>
          <w:noProof/>
          <w:color w:val="000000" w:themeColor="text1"/>
        </w:rPr>
        <w:t>diminuíram -</w:t>
      </w:r>
      <w:r w:rsidRPr="009B03DE">
        <w:rPr>
          <w:rFonts w:ascii="Times" w:hAnsi="Times" w:cs="Times New Roman"/>
          <w:bCs/>
          <w:noProof/>
          <w:color w:val="000000" w:themeColor="text1"/>
        </w:rPr>
        <w:t>0,43</w:t>
      </w:r>
      <w:r>
        <w:rPr>
          <w:rFonts w:ascii="Times" w:hAnsi="Times" w:cs="Times New Roman"/>
          <w:bCs/>
          <w:noProof/>
          <w:color w:val="000000" w:themeColor="text1"/>
        </w:rPr>
        <w:t xml:space="preserve">%. A participação do rendimento do trabalho na renda domiciliar aumentou em </w:t>
      </w:r>
      <w:r w:rsidRPr="009B03DE">
        <w:rPr>
          <w:rFonts w:ascii="Times" w:hAnsi="Times" w:cs="Times New Roman"/>
          <w:bCs/>
          <w:noProof/>
          <w:color w:val="000000" w:themeColor="text1"/>
        </w:rPr>
        <w:t>0,59%, enquanto as aposentadorias e pensões e os outros rendimentos</w:t>
      </w:r>
      <w:r>
        <w:rPr>
          <w:rFonts w:ascii="Times" w:hAnsi="Times" w:cs="Times New Roman"/>
          <w:bCs/>
          <w:noProof/>
          <w:color w:val="000000" w:themeColor="text1"/>
        </w:rPr>
        <w:t xml:space="preserve"> aumentaram, 0,29% e </w:t>
      </w:r>
      <w:r w:rsidRPr="009B03DE">
        <w:rPr>
          <w:rFonts w:ascii="Times" w:hAnsi="Times" w:cs="Times New Roman"/>
          <w:bCs/>
          <w:noProof/>
          <w:color w:val="000000" w:themeColor="text1"/>
        </w:rPr>
        <w:t xml:space="preserve">0,64%, respectivamente no país. </w:t>
      </w:r>
    </w:p>
    <w:p w14:paraId="655C523A" w14:textId="77777777" w:rsidR="00426384" w:rsidRDefault="00426384" w:rsidP="00426384">
      <w:pPr>
        <w:widowControl w:val="0"/>
        <w:autoSpaceDE w:val="0"/>
        <w:autoSpaceDN w:val="0"/>
        <w:adjustRightInd w:val="0"/>
        <w:spacing w:line="360" w:lineRule="auto"/>
        <w:ind w:firstLine="720"/>
        <w:contextualSpacing/>
        <w:jc w:val="both"/>
        <w:outlineLvl w:val="0"/>
        <w:rPr>
          <w:rFonts w:ascii="Times" w:hAnsi="Times" w:cs="Times New Roman"/>
          <w:bCs/>
          <w:noProof/>
        </w:rPr>
      </w:pPr>
      <w:r w:rsidRPr="009B03DE">
        <w:rPr>
          <w:rFonts w:ascii="Times" w:hAnsi="Times" w:cs="Times New Roman"/>
          <w:bCs/>
          <w:noProof/>
          <w:color w:val="000000" w:themeColor="text1"/>
        </w:rPr>
        <w:t>Sublinha-se a mudança de padrão das fontes de renda: no período FHC as rendas do trabalho são preteridas e em Lula é recuperada.</w:t>
      </w:r>
      <w:r>
        <w:rPr>
          <w:rFonts w:ascii="Times" w:hAnsi="Times" w:cs="Times New Roman"/>
          <w:bCs/>
          <w:noProof/>
          <w:color w:val="000000" w:themeColor="text1"/>
        </w:rPr>
        <w:t xml:space="preserve"> Como em 2010 não teve a PNAD por causa da realização do Censo, os dados de 2009 confirmam o percurso favorável da renda do trabalho e da desaceleração do aumento da participação das rendas das aposentadorias no periodo Lula, especialmente na região sul do país.</w:t>
      </w:r>
    </w:p>
    <w:p w14:paraId="1525ABAC" w14:textId="3E5324A2" w:rsidR="00DE7E1A" w:rsidRDefault="00DE7E1A" w:rsidP="00DE7E1A">
      <w:pPr>
        <w:widowControl w:val="0"/>
        <w:autoSpaceDE w:val="0"/>
        <w:autoSpaceDN w:val="0"/>
        <w:adjustRightInd w:val="0"/>
        <w:spacing w:line="360" w:lineRule="auto"/>
        <w:ind w:firstLine="720"/>
        <w:contextualSpacing/>
        <w:jc w:val="both"/>
        <w:outlineLvl w:val="0"/>
        <w:rPr>
          <w:rFonts w:ascii="Times" w:hAnsi="Times" w:cs="Times New Roman"/>
          <w:bCs/>
          <w:noProof/>
        </w:rPr>
      </w:pPr>
      <w:r>
        <w:rPr>
          <w:rFonts w:ascii="Times" w:hAnsi="Times" w:cs="Times New Roman"/>
          <w:bCs/>
          <w:noProof/>
        </w:rPr>
        <w:t xml:space="preserve">Nos </w:t>
      </w:r>
      <w:r w:rsidRPr="006119A1">
        <w:rPr>
          <w:rFonts w:ascii="Times" w:hAnsi="Times" w:cs="Times New Roman"/>
          <w:bCs/>
          <w:noProof/>
        </w:rPr>
        <w:t xml:space="preserve">anos </w:t>
      </w:r>
      <w:r>
        <w:rPr>
          <w:rFonts w:ascii="Times" w:hAnsi="Times" w:cs="Times New Roman"/>
          <w:bCs/>
          <w:noProof/>
        </w:rPr>
        <w:t>19</w:t>
      </w:r>
      <w:r w:rsidRPr="006119A1">
        <w:rPr>
          <w:rFonts w:ascii="Times" w:hAnsi="Times" w:cs="Times New Roman"/>
          <w:bCs/>
          <w:noProof/>
        </w:rPr>
        <w:t xml:space="preserve">90, a participação do rendimento do trabalho na Região Sul foi </w:t>
      </w:r>
      <w:r>
        <w:rPr>
          <w:rFonts w:ascii="Times" w:hAnsi="Times" w:cs="Times New Roman"/>
          <w:bCs/>
          <w:noProof/>
        </w:rPr>
        <w:t xml:space="preserve">de </w:t>
      </w:r>
      <w:r w:rsidRPr="006119A1">
        <w:rPr>
          <w:rFonts w:ascii="Times" w:hAnsi="Times" w:cs="Times New Roman"/>
          <w:bCs/>
          <w:noProof/>
        </w:rPr>
        <w:t>78,86%, aposentadorias e pensões, 13,74%, e outros rendimentos, 1,53%. No Brasil, os índices foram 78,2%, 14,68% e 1,33%, respectivamente.</w:t>
      </w:r>
    </w:p>
    <w:p w14:paraId="24E34428" w14:textId="68248F31" w:rsidR="00426384" w:rsidRDefault="00426384" w:rsidP="00426384">
      <w:pPr>
        <w:widowControl w:val="0"/>
        <w:autoSpaceDE w:val="0"/>
        <w:autoSpaceDN w:val="0"/>
        <w:adjustRightInd w:val="0"/>
        <w:spacing w:line="360" w:lineRule="auto"/>
        <w:ind w:firstLine="720"/>
        <w:contextualSpacing/>
        <w:jc w:val="both"/>
        <w:outlineLvl w:val="0"/>
        <w:rPr>
          <w:rFonts w:ascii="Times" w:hAnsi="Times" w:cs="Times New Roman"/>
          <w:bCs/>
          <w:noProof/>
        </w:rPr>
      </w:pPr>
      <w:r w:rsidRPr="006119A1">
        <w:rPr>
          <w:rFonts w:ascii="Times" w:hAnsi="Times" w:cs="Times New Roman"/>
          <w:bCs/>
          <w:noProof/>
        </w:rPr>
        <w:t>A trajetória dos dados calculados</w:t>
      </w:r>
      <w:r>
        <w:rPr>
          <w:rFonts w:ascii="Times" w:hAnsi="Times" w:cs="Times New Roman"/>
          <w:bCs/>
          <w:noProof/>
        </w:rPr>
        <w:t xml:space="preserve"> anteriormente</w:t>
      </w:r>
      <w:r w:rsidRPr="006119A1">
        <w:rPr>
          <w:rFonts w:ascii="Times" w:hAnsi="Times" w:cs="Times New Roman"/>
          <w:bCs/>
          <w:noProof/>
        </w:rPr>
        <w:t xml:space="preserve"> por Ferreira e Souza (2013) revela que durante a década de 1980, na Região Sul, o rendimento do trabalho foi em média 82,9% da renda dos domícilios, enquanto aposentadorias e pensões representaram 9,28% e outros rendimentos, 2,48%. No Brasil, a participação média da década fo</w:t>
      </w:r>
      <w:r>
        <w:rPr>
          <w:rFonts w:ascii="Times" w:hAnsi="Times" w:cs="Times New Roman"/>
          <w:bCs/>
          <w:noProof/>
        </w:rPr>
        <w:t>i constituída por</w:t>
      </w:r>
      <w:r w:rsidRPr="006119A1">
        <w:rPr>
          <w:rFonts w:ascii="Times" w:hAnsi="Times" w:cs="Times New Roman"/>
          <w:bCs/>
          <w:noProof/>
        </w:rPr>
        <w:t xml:space="preserve">  82,61%, 9,56% e 2,34%, respectivamente  (ver </w:t>
      </w:r>
      <w:r w:rsidRPr="00465932">
        <w:rPr>
          <w:rFonts w:ascii="Times" w:hAnsi="Times" w:cs="Times New Roman"/>
          <w:bCs/>
          <w:noProof/>
        </w:rPr>
        <w:t>Gráfico 3).</w:t>
      </w:r>
    </w:p>
    <w:p w14:paraId="76CA0BB1" w14:textId="77777777" w:rsidR="00860063" w:rsidRPr="00E01536" w:rsidRDefault="00860063" w:rsidP="00860063">
      <w:pPr>
        <w:widowControl w:val="0"/>
        <w:autoSpaceDE w:val="0"/>
        <w:autoSpaceDN w:val="0"/>
        <w:adjustRightInd w:val="0"/>
        <w:spacing w:line="360" w:lineRule="auto"/>
        <w:ind w:firstLine="720"/>
        <w:contextualSpacing/>
        <w:jc w:val="both"/>
        <w:outlineLvl w:val="0"/>
        <w:rPr>
          <w:rFonts w:ascii="Times" w:hAnsi="Times" w:cs="Times New Roman"/>
          <w:bCs/>
          <w:noProof/>
        </w:rPr>
      </w:pPr>
      <w:r>
        <w:rPr>
          <w:rFonts w:ascii="Times" w:hAnsi="Times" w:cs="Times New Roman"/>
          <w:bCs/>
          <w:noProof/>
        </w:rPr>
        <w:t>Em síntese, d</w:t>
      </w:r>
      <w:r w:rsidRPr="00E01536">
        <w:rPr>
          <w:rFonts w:ascii="Times" w:hAnsi="Times" w:cs="Times New Roman"/>
          <w:bCs/>
          <w:noProof/>
        </w:rPr>
        <w:t xml:space="preserve">urante os governos FHC, de 1995 a 2002, as principais causas </w:t>
      </w:r>
      <w:r>
        <w:rPr>
          <w:rFonts w:ascii="Times" w:hAnsi="Times" w:cs="Times New Roman"/>
          <w:bCs/>
          <w:noProof/>
        </w:rPr>
        <w:t>da queda da participação do trabalho na renda dos domicílios estiveram relacionadas às ações de política econômica direcionadas à</w:t>
      </w:r>
      <w:r w:rsidRPr="00E01536">
        <w:rPr>
          <w:rFonts w:ascii="Times" w:hAnsi="Times" w:cs="Times New Roman"/>
          <w:bCs/>
          <w:noProof/>
        </w:rPr>
        <w:t xml:space="preserve"> </w:t>
      </w:r>
      <w:r>
        <w:rPr>
          <w:rFonts w:ascii="Times" w:hAnsi="Times" w:cs="Times New Roman"/>
          <w:bCs/>
          <w:noProof/>
        </w:rPr>
        <w:t>estabilização de preços</w:t>
      </w:r>
      <w:r w:rsidRPr="00E01536">
        <w:rPr>
          <w:rFonts w:ascii="Times" w:hAnsi="Times" w:cs="Times New Roman"/>
          <w:bCs/>
          <w:noProof/>
        </w:rPr>
        <w:t xml:space="preserve"> e a</w:t>
      </w:r>
      <w:r>
        <w:rPr>
          <w:rFonts w:ascii="Times" w:hAnsi="Times" w:cs="Times New Roman"/>
          <w:bCs/>
          <w:noProof/>
        </w:rPr>
        <w:t>os efeitos em termos da elevação do desemprego e da informalidade, aliadas às orientações mundiais de flexibilização do mercado de trabalho e às crises internacionais</w:t>
      </w:r>
      <w:r w:rsidRPr="00E01536">
        <w:rPr>
          <w:rFonts w:ascii="Times" w:hAnsi="Times" w:cs="Times New Roman"/>
          <w:bCs/>
          <w:noProof/>
        </w:rPr>
        <w:t xml:space="preserve">. Por sua vez, </w:t>
      </w:r>
      <w:r>
        <w:rPr>
          <w:rFonts w:ascii="Times" w:hAnsi="Times" w:cs="Times New Roman"/>
          <w:bCs/>
          <w:noProof/>
        </w:rPr>
        <w:t xml:space="preserve">o ganho de espaço na renda das famílias pelas </w:t>
      </w:r>
      <w:r w:rsidRPr="00E01536">
        <w:rPr>
          <w:rFonts w:ascii="Times" w:hAnsi="Times" w:cs="Times New Roman"/>
          <w:bCs/>
          <w:noProof/>
        </w:rPr>
        <w:t xml:space="preserve">aposentadorias e pensões </w:t>
      </w:r>
      <w:r>
        <w:rPr>
          <w:rFonts w:ascii="Times" w:hAnsi="Times" w:cs="Times New Roman"/>
          <w:bCs/>
          <w:noProof/>
        </w:rPr>
        <w:t>foi devido em grande parte pela</w:t>
      </w:r>
      <w:r w:rsidRPr="00E01536">
        <w:rPr>
          <w:rFonts w:ascii="Times" w:hAnsi="Times" w:cs="Times New Roman"/>
          <w:bCs/>
          <w:noProof/>
        </w:rPr>
        <w:t xml:space="preserve"> Constituição de 1988. </w:t>
      </w:r>
    </w:p>
    <w:p w14:paraId="5D9649F4" w14:textId="402F8641" w:rsidR="00860063" w:rsidRPr="00465932" w:rsidRDefault="00860063" w:rsidP="00860063">
      <w:pPr>
        <w:widowControl w:val="0"/>
        <w:autoSpaceDE w:val="0"/>
        <w:autoSpaceDN w:val="0"/>
        <w:adjustRightInd w:val="0"/>
        <w:spacing w:line="360" w:lineRule="auto"/>
        <w:ind w:firstLine="720"/>
        <w:contextualSpacing/>
        <w:jc w:val="both"/>
        <w:outlineLvl w:val="0"/>
        <w:rPr>
          <w:rFonts w:ascii="Times" w:hAnsi="Times" w:cs="Times New Roman"/>
          <w:bCs/>
          <w:noProof/>
        </w:rPr>
      </w:pPr>
      <w:r w:rsidRPr="00E01536">
        <w:rPr>
          <w:rFonts w:ascii="Times" w:hAnsi="Times" w:cs="Times New Roman"/>
          <w:bCs/>
          <w:noProof/>
        </w:rPr>
        <w:t xml:space="preserve">De 2003 a 2009, nos governos Lula, a participação do trabalho na renda domiciliar manteve-se em 73% aproximadamente, </w:t>
      </w:r>
      <w:r>
        <w:rPr>
          <w:rFonts w:ascii="Times" w:hAnsi="Times" w:cs="Times New Roman"/>
          <w:bCs/>
          <w:noProof/>
        </w:rPr>
        <w:t>revelando</w:t>
      </w:r>
      <w:r w:rsidRPr="00E01536">
        <w:rPr>
          <w:rFonts w:ascii="Times" w:hAnsi="Times" w:cs="Times New Roman"/>
          <w:bCs/>
          <w:noProof/>
        </w:rPr>
        <w:t xml:space="preserve"> a centrali</w:t>
      </w:r>
      <w:r>
        <w:rPr>
          <w:rFonts w:ascii="Times" w:hAnsi="Times" w:cs="Times New Roman"/>
          <w:bCs/>
          <w:noProof/>
        </w:rPr>
        <w:t>dade política</w:t>
      </w:r>
      <w:r w:rsidRPr="00E01536">
        <w:rPr>
          <w:rFonts w:ascii="Times" w:hAnsi="Times" w:cs="Times New Roman"/>
          <w:bCs/>
          <w:noProof/>
        </w:rPr>
        <w:t xml:space="preserve"> do trabalho</w:t>
      </w:r>
      <w:r>
        <w:rPr>
          <w:rFonts w:ascii="Times" w:hAnsi="Times" w:cs="Times New Roman"/>
          <w:bCs/>
          <w:noProof/>
        </w:rPr>
        <w:t>.</w:t>
      </w:r>
      <w:r w:rsidRPr="00E01536">
        <w:rPr>
          <w:rFonts w:ascii="Times" w:hAnsi="Times" w:cs="Times New Roman"/>
          <w:bCs/>
          <w:noProof/>
        </w:rPr>
        <w:t xml:space="preserve"> </w:t>
      </w:r>
      <w:r>
        <w:rPr>
          <w:rFonts w:ascii="Times" w:hAnsi="Times" w:cs="Times New Roman"/>
          <w:bCs/>
          <w:noProof/>
        </w:rPr>
        <w:t>Para isso colaboraram a recuperação da formalização do trabalho, envolvida com maiores gastos sociais em educação e saúde, maior alcance das instituições públicas do trabalho como a valorização do salário mínimo, maior atuação da Justiça do trabalho e do Ministério público do trabalho, além das ações do sistema público de emprego, como seguro-desemprego e abono salarial.</w:t>
      </w:r>
    </w:p>
    <w:p w14:paraId="16B13152" w14:textId="77777777" w:rsidR="00426384" w:rsidRPr="00E01536" w:rsidRDefault="00426384" w:rsidP="00DE7E1A">
      <w:pPr>
        <w:widowControl w:val="0"/>
        <w:autoSpaceDE w:val="0"/>
        <w:autoSpaceDN w:val="0"/>
        <w:adjustRightInd w:val="0"/>
        <w:spacing w:line="360" w:lineRule="auto"/>
        <w:ind w:firstLine="720"/>
        <w:contextualSpacing/>
        <w:jc w:val="both"/>
        <w:outlineLvl w:val="0"/>
        <w:rPr>
          <w:rFonts w:ascii="Times" w:hAnsi="Times" w:cs="Times New Roman"/>
          <w:bCs/>
          <w:noProof/>
        </w:rPr>
      </w:pPr>
    </w:p>
    <w:p w14:paraId="064794F9" w14:textId="7502D3DF" w:rsidR="00BA771D" w:rsidRDefault="00E35163" w:rsidP="00E35163">
      <w:pPr>
        <w:widowControl w:val="0"/>
        <w:tabs>
          <w:tab w:val="left" w:pos="1110"/>
        </w:tabs>
        <w:autoSpaceDE w:val="0"/>
        <w:autoSpaceDN w:val="0"/>
        <w:adjustRightInd w:val="0"/>
        <w:spacing w:line="360" w:lineRule="auto"/>
        <w:ind w:firstLine="720"/>
        <w:contextualSpacing/>
        <w:jc w:val="both"/>
        <w:outlineLvl w:val="0"/>
        <w:rPr>
          <w:rFonts w:ascii="Times" w:hAnsi="Times" w:cs="Times New Roman"/>
          <w:bCs/>
          <w:noProof/>
        </w:rPr>
      </w:pPr>
      <w:r>
        <w:rPr>
          <w:rFonts w:ascii="Times" w:hAnsi="Times" w:cs="Times New Roman"/>
          <w:bCs/>
          <w:noProof/>
        </w:rPr>
        <w:lastRenderedPageBreak/>
        <w:tab/>
      </w:r>
    </w:p>
    <w:p w14:paraId="616ED01F" w14:textId="30984A86" w:rsidR="00E56E1B" w:rsidRDefault="00E56E1B" w:rsidP="00E56E1B">
      <w:pPr>
        <w:widowControl w:val="0"/>
        <w:autoSpaceDE w:val="0"/>
        <w:autoSpaceDN w:val="0"/>
        <w:adjustRightInd w:val="0"/>
        <w:contextualSpacing/>
        <w:jc w:val="both"/>
        <w:outlineLvl w:val="0"/>
        <w:rPr>
          <w:rFonts w:ascii="Times" w:hAnsi="Times" w:cs="Times New Roman"/>
        </w:rPr>
      </w:pPr>
      <w:r w:rsidRPr="00C90F2E">
        <w:rPr>
          <w:rFonts w:ascii="Times" w:hAnsi="Times" w:cs="Times New Roman"/>
          <w:bCs/>
          <w:noProof/>
        </w:rPr>
        <w:t xml:space="preserve">Gráfico </w:t>
      </w:r>
      <w:r w:rsidR="00D82E94" w:rsidRPr="00C90F2E">
        <w:rPr>
          <w:rFonts w:ascii="Times" w:hAnsi="Times" w:cs="Times New Roman"/>
          <w:bCs/>
          <w:noProof/>
        </w:rPr>
        <w:t>3</w:t>
      </w:r>
      <w:r w:rsidR="00C90F2E">
        <w:rPr>
          <w:rFonts w:ascii="Times" w:hAnsi="Times" w:cs="Times New Roman"/>
          <w:bCs/>
          <w:noProof/>
        </w:rPr>
        <w:t xml:space="preserve"> -</w:t>
      </w:r>
      <w:r w:rsidRPr="006119A1">
        <w:rPr>
          <w:rFonts w:ascii="Times" w:hAnsi="Times" w:cs="Times New Roman"/>
          <w:b/>
          <w:bCs/>
          <w:noProof/>
        </w:rPr>
        <w:t xml:space="preserve"> </w:t>
      </w:r>
      <w:r w:rsidRPr="006119A1">
        <w:rPr>
          <w:rFonts w:ascii="Times" w:hAnsi="Times" w:cs="Times New Roman"/>
        </w:rPr>
        <w:t xml:space="preserve">Decomposição do valor médio das parcelas do rendimento domiciliar </w:t>
      </w:r>
      <w:r w:rsidRPr="006119A1">
        <w:rPr>
          <w:rFonts w:ascii="Times" w:hAnsi="Times" w:cs="Times"/>
          <w:i/>
        </w:rPr>
        <w:t>per capita</w:t>
      </w:r>
      <w:r w:rsidRPr="006119A1">
        <w:rPr>
          <w:rFonts w:ascii="Times" w:hAnsi="Times" w:cs="Times"/>
        </w:rPr>
        <w:t xml:space="preserve"> </w:t>
      </w:r>
      <w:r w:rsidRPr="006119A1">
        <w:rPr>
          <w:rFonts w:ascii="Times" w:hAnsi="Times" w:cs="Times New Roman"/>
        </w:rPr>
        <w:t>em Trabalho Principal (TP), Aposentadorias e Pensões (AP), e Outras Rendas (OR), em participação percentual (%). Sul e Brasil de 1981-2011</w:t>
      </w:r>
    </w:p>
    <w:p w14:paraId="73332341" w14:textId="77777777" w:rsidR="00E56E1B" w:rsidRDefault="00E56E1B" w:rsidP="00E56E1B">
      <w:pPr>
        <w:widowControl w:val="0"/>
        <w:autoSpaceDE w:val="0"/>
        <w:autoSpaceDN w:val="0"/>
        <w:adjustRightInd w:val="0"/>
        <w:contextualSpacing/>
        <w:jc w:val="both"/>
        <w:outlineLvl w:val="0"/>
        <w:rPr>
          <w:rFonts w:ascii="Times" w:hAnsi="Times" w:cs="Times New Roman"/>
        </w:rPr>
      </w:pPr>
    </w:p>
    <w:p w14:paraId="0BDC6755" w14:textId="32673093" w:rsidR="00E56E1B" w:rsidRPr="006119A1" w:rsidRDefault="00E56E1B" w:rsidP="00E56E1B">
      <w:pPr>
        <w:widowControl w:val="0"/>
        <w:autoSpaceDE w:val="0"/>
        <w:autoSpaceDN w:val="0"/>
        <w:adjustRightInd w:val="0"/>
        <w:contextualSpacing/>
        <w:jc w:val="both"/>
        <w:outlineLvl w:val="0"/>
        <w:rPr>
          <w:rFonts w:ascii="Times" w:hAnsi="Times" w:cs="Times New Roman"/>
        </w:rPr>
      </w:pPr>
      <w:r>
        <w:rPr>
          <w:noProof/>
          <w:lang w:eastAsia="pt-BR"/>
        </w:rPr>
        <w:drawing>
          <wp:inline distT="0" distB="0" distL="0" distR="0" wp14:anchorId="1577704A" wp14:editId="221B7C02">
            <wp:extent cx="5727940" cy="2887525"/>
            <wp:effectExtent l="19050" t="0" r="25160" b="8075"/>
            <wp:docPr id="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r w:rsidRPr="006119A1">
        <w:rPr>
          <w:rFonts w:ascii="Times" w:hAnsi="Times" w:cs="Times New Roman"/>
        </w:rPr>
        <w:t xml:space="preserve"> </w:t>
      </w:r>
      <w:r w:rsidRPr="005C551A">
        <w:rPr>
          <w:rFonts w:ascii="Times" w:hAnsi="Times" w:cs="Times New Roman"/>
          <w:sz w:val="20"/>
          <w:szCs w:val="20"/>
        </w:rPr>
        <w:t>Fonte: Elaboração própria a partir de Ferreira e Souza (2013) - PNADs de 1981 a 2011.</w:t>
      </w:r>
    </w:p>
    <w:p w14:paraId="2A903237" w14:textId="0E45045D" w:rsidR="008B35C7" w:rsidRPr="00E01536" w:rsidRDefault="008B35C7" w:rsidP="00DE7E1A">
      <w:pPr>
        <w:widowControl w:val="0"/>
        <w:autoSpaceDE w:val="0"/>
        <w:autoSpaceDN w:val="0"/>
        <w:adjustRightInd w:val="0"/>
        <w:spacing w:line="360" w:lineRule="auto"/>
        <w:contextualSpacing/>
        <w:jc w:val="both"/>
        <w:outlineLvl w:val="0"/>
        <w:rPr>
          <w:rFonts w:ascii="Times" w:hAnsi="Times" w:cs="Times New Roman"/>
          <w:bCs/>
          <w:noProof/>
        </w:rPr>
      </w:pPr>
    </w:p>
    <w:p w14:paraId="7724A61B" w14:textId="189B2D4A" w:rsidR="003026B6" w:rsidRDefault="005C18D7" w:rsidP="00347B57">
      <w:pPr>
        <w:widowControl w:val="0"/>
        <w:autoSpaceDE w:val="0"/>
        <w:autoSpaceDN w:val="0"/>
        <w:adjustRightInd w:val="0"/>
        <w:spacing w:line="360" w:lineRule="auto"/>
        <w:ind w:firstLine="720"/>
        <w:contextualSpacing/>
        <w:jc w:val="both"/>
        <w:outlineLvl w:val="0"/>
        <w:rPr>
          <w:rFonts w:ascii="Times" w:hAnsi="Times" w:cs="Times New Roman"/>
          <w:bCs/>
          <w:noProof/>
        </w:rPr>
      </w:pPr>
      <w:r>
        <w:rPr>
          <w:rFonts w:ascii="Times" w:hAnsi="Times" w:cs="Times New Roman"/>
          <w:bCs/>
          <w:noProof/>
        </w:rPr>
        <w:t xml:space="preserve"> </w:t>
      </w:r>
      <w:r w:rsidR="00275B1F" w:rsidRPr="00E01536">
        <w:rPr>
          <w:rFonts w:ascii="Times" w:hAnsi="Times" w:cs="Times New Roman"/>
          <w:bCs/>
          <w:noProof/>
        </w:rPr>
        <w:t>A</w:t>
      </w:r>
      <w:r w:rsidR="003026B6" w:rsidRPr="00E01536">
        <w:rPr>
          <w:rFonts w:ascii="Times" w:hAnsi="Times" w:cs="Times New Roman"/>
          <w:bCs/>
          <w:noProof/>
        </w:rPr>
        <w:t xml:space="preserve">s aposentadorias e pensões </w:t>
      </w:r>
      <w:r w:rsidR="00275B1F" w:rsidRPr="00E01536">
        <w:rPr>
          <w:rFonts w:ascii="Times" w:hAnsi="Times" w:cs="Times New Roman"/>
          <w:bCs/>
          <w:noProof/>
        </w:rPr>
        <w:t>se estab</w:t>
      </w:r>
      <w:r w:rsidR="009764BC" w:rsidRPr="00E01536">
        <w:rPr>
          <w:rFonts w:ascii="Times" w:hAnsi="Times" w:cs="Times New Roman"/>
          <w:bCs/>
          <w:noProof/>
        </w:rPr>
        <w:t>i</w:t>
      </w:r>
      <w:r w:rsidR="00275B1F" w:rsidRPr="00E01536">
        <w:rPr>
          <w:rFonts w:ascii="Times" w:hAnsi="Times" w:cs="Times New Roman"/>
          <w:bCs/>
          <w:noProof/>
        </w:rPr>
        <w:t xml:space="preserve">lizaram </w:t>
      </w:r>
      <w:r w:rsidR="003026B6" w:rsidRPr="00E01536">
        <w:rPr>
          <w:rFonts w:ascii="Times" w:hAnsi="Times" w:cs="Times New Roman"/>
          <w:bCs/>
          <w:noProof/>
        </w:rPr>
        <w:t>em torno de 19%</w:t>
      </w:r>
      <w:r w:rsidR="00D82E94">
        <w:rPr>
          <w:rFonts w:ascii="Times" w:hAnsi="Times" w:cs="Times New Roman"/>
          <w:bCs/>
          <w:noProof/>
        </w:rPr>
        <w:t xml:space="preserve"> e os </w:t>
      </w:r>
      <w:r w:rsidR="00275B1F" w:rsidRPr="00E01536">
        <w:rPr>
          <w:rFonts w:ascii="Times" w:hAnsi="Times" w:cs="Times New Roman"/>
          <w:bCs/>
          <w:noProof/>
        </w:rPr>
        <w:t xml:space="preserve">outros rendimentos </w:t>
      </w:r>
      <w:r w:rsidR="00160768">
        <w:rPr>
          <w:rFonts w:ascii="Times" w:hAnsi="Times" w:cs="Times New Roman"/>
          <w:bCs/>
          <w:noProof/>
        </w:rPr>
        <w:t xml:space="preserve">relacionados à renda do capital e dos programas sociais </w:t>
      </w:r>
      <w:r w:rsidR="009764BC" w:rsidRPr="00E01536">
        <w:rPr>
          <w:rFonts w:ascii="Times" w:hAnsi="Times" w:cs="Times New Roman"/>
          <w:bCs/>
          <w:noProof/>
        </w:rPr>
        <w:t>ficaram</w:t>
      </w:r>
      <w:r w:rsidR="00275B1F" w:rsidRPr="00E01536">
        <w:rPr>
          <w:rFonts w:ascii="Times" w:hAnsi="Times" w:cs="Times New Roman"/>
          <w:bCs/>
          <w:noProof/>
        </w:rPr>
        <w:t xml:space="preserve"> entre 1% e 2%, </w:t>
      </w:r>
      <w:r w:rsidR="003026B6" w:rsidRPr="00E01536">
        <w:rPr>
          <w:rFonts w:ascii="Times" w:hAnsi="Times" w:cs="Times New Roman"/>
          <w:bCs/>
          <w:noProof/>
        </w:rPr>
        <w:t xml:space="preserve">como evidencia o </w:t>
      </w:r>
      <w:r w:rsidR="00F602F0" w:rsidRPr="00E01536">
        <w:rPr>
          <w:rFonts w:ascii="Times" w:hAnsi="Times" w:cs="Times New Roman"/>
          <w:bCs/>
          <w:noProof/>
        </w:rPr>
        <w:t>G</w:t>
      </w:r>
      <w:r w:rsidR="003026B6" w:rsidRPr="00E01536">
        <w:rPr>
          <w:rFonts w:ascii="Times" w:hAnsi="Times" w:cs="Times New Roman"/>
          <w:bCs/>
          <w:noProof/>
        </w:rPr>
        <w:t>ráfico</w:t>
      </w:r>
      <w:r w:rsidR="00DE7E1A">
        <w:rPr>
          <w:rFonts w:ascii="Times" w:hAnsi="Times" w:cs="Times New Roman"/>
          <w:bCs/>
          <w:noProof/>
        </w:rPr>
        <w:t xml:space="preserve"> 3</w:t>
      </w:r>
      <w:r w:rsidR="00160768">
        <w:rPr>
          <w:rFonts w:ascii="Times" w:hAnsi="Times" w:cs="Times New Roman"/>
          <w:bCs/>
          <w:noProof/>
        </w:rPr>
        <w:t>, no país e na região sul</w:t>
      </w:r>
      <w:r w:rsidR="003026B6" w:rsidRPr="00E01536">
        <w:rPr>
          <w:rFonts w:ascii="Times" w:hAnsi="Times" w:cs="Times New Roman"/>
          <w:bCs/>
          <w:noProof/>
        </w:rPr>
        <w:t>.</w:t>
      </w:r>
      <w:r w:rsidR="000012E4">
        <w:rPr>
          <w:rFonts w:ascii="Times" w:hAnsi="Times" w:cs="Times New Roman"/>
          <w:bCs/>
          <w:noProof/>
        </w:rPr>
        <w:t xml:space="preserve"> </w:t>
      </w:r>
      <w:r w:rsidR="00160768">
        <w:rPr>
          <w:rFonts w:ascii="Times" w:hAnsi="Times" w:cs="Times New Roman"/>
          <w:bCs/>
          <w:noProof/>
        </w:rPr>
        <w:t>Apesar da pequena participação dessa última parcela na renda domiciliar, elas cresceram no período de 2003 a 2008, como parte de um programa maior do governo Lula, cujo objetivo era o do crescimento econômico com atuação de programas sociais, amplamente divulgado na sociedade brasileira.</w:t>
      </w:r>
    </w:p>
    <w:p w14:paraId="376A1833" w14:textId="77777777" w:rsidR="00320318" w:rsidRPr="006119A1" w:rsidRDefault="00320318" w:rsidP="00347B57">
      <w:pPr>
        <w:widowControl w:val="0"/>
        <w:autoSpaceDE w:val="0"/>
        <w:autoSpaceDN w:val="0"/>
        <w:adjustRightInd w:val="0"/>
        <w:spacing w:line="360" w:lineRule="auto"/>
        <w:ind w:firstLine="720"/>
        <w:contextualSpacing/>
        <w:jc w:val="both"/>
        <w:outlineLvl w:val="0"/>
        <w:rPr>
          <w:rFonts w:ascii="Times" w:hAnsi="Times" w:cs="Times New Roman"/>
          <w:bCs/>
          <w:noProof/>
        </w:rPr>
      </w:pPr>
    </w:p>
    <w:p w14:paraId="540562B4" w14:textId="77777777" w:rsidR="00D65F8B" w:rsidRPr="008A0C57" w:rsidRDefault="006A7CAC" w:rsidP="00347B57">
      <w:pPr>
        <w:widowControl w:val="0"/>
        <w:autoSpaceDE w:val="0"/>
        <w:autoSpaceDN w:val="0"/>
        <w:adjustRightInd w:val="0"/>
        <w:spacing w:line="360" w:lineRule="auto"/>
        <w:contextualSpacing/>
        <w:jc w:val="both"/>
        <w:outlineLvl w:val="0"/>
        <w:rPr>
          <w:rFonts w:ascii="Times" w:hAnsi="Times" w:cs="Times New Roman"/>
          <w:b/>
          <w:bCs/>
          <w:noProof/>
        </w:rPr>
      </w:pPr>
      <w:r>
        <w:rPr>
          <w:rFonts w:ascii="Times" w:hAnsi="Times" w:cs="Times New Roman"/>
          <w:b/>
          <w:bCs/>
          <w:noProof/>
        </w:rPr>
        <w:t>4</w:t>
      </w:r>
      <w:r w:rsidR="006E3888" w:rsidRPr="006119A1">
        <w:rPr>
          <w:rFonts w:ascii="Times" w:hAnsi="Times" w:cs="Times New Roman"/>
          <w:b/>
          <w:bCs/>
          <w:noProof/>
        </w:rPr>
        <w:t xml:space="preserve">.2  </w:t>
      </w:r>
      <w:r w:rsidR="00F4601F" w:rsidRPr="006119A1">
        <w:rPr>
          <w:rFonts w:ascii="Times" w:hAnsi="Times" w:cs="Times New Roman"/>
          <w:b/>
          <w:bCs/>
          <w:noProof/>
        </w:rPr>
        <w:t>C</w:t>
      </w:r>
      <w:r w:rsidR="006E3888" w:rsidRPr="006119A1">
        <w:rPr>
          <w:rFonts w:ascii="Times" w:hAnsi="Times" w:cs="Times New Roman"/>
          <w:b/>
          <w:bCs/>
          <w:noProof/>
        </w:rPr>
        <w:t xml:space="preserve">oncentração </w:t>
      </w:r>
      <w:r w:rsidR="00F4601F" w:rsidRPr="006119A1">
        <w:rPr>
          <w:rFonts w:ascii="Times" w:hAnsi="Times" w:cs="Times New Roman"/>
          <w:b/>
          <w:bCs/>
          <w:noProof/>
        </w:rPr>
        <w:t>de renda pela</w:t>
      </w:r>
      <w:r w:rsidR="006E3888" w:rsidRPr="006119A1">
        <w:rPr>
          <w:rFonts w:ascii="Times" w:hAnsi="Times" w:cs="Times New Roman"/>
          <w:b/>
          <w:bCs/>
          <w:noProof/>
        </w:rPr>
        <w:t xml:space="preserve"> decomposição do rendimento domiciliar </w:t>
      </w:r>
      <w:r w:rsidR="006E3888" w:rsidRPr="006119A1">
        <w:rPr>
          <w:rFonts w:ascii="Times" w:hAnsi="Times" w:cs="Times New Roman"/>
          <w:b/>
          <w:bCs/>
          <w:i/>
          <w:noProof/>
        </w:rPr>
        <w:t>per capita</w:t>
      </w:r>
      <w:r w:rsidR="006E3888" w:rsidRPr="006119A1">
        <w:rPr>
          <w:rFonts w:ascii="Times" w:hAnsi="Times" w:cs="Times New Roman"/>
          <w:b/>
          <w:bCs/>
          <w:noProof/>
        </w:rPr>
        <w:t xml:space="preserve"> no</w:t>
      </w:r>
      <w:r w:rsidR="00393C85" w:rsidRPr="006119A1">
        <w:rPr>
          <w:rFonts w:ascii="Times" w:hAnsi="Times" w:cs="Times New Roman"/>
          <w:b/>
          <w:bCs/>
          <w:noProof/>
        </w:rPr>
        <w:t xml:space="preserve"> Sul e no Brasil</w:t>
      </w:r>
      <w:r w:rsidR="00272368">
        <w:rPr>
          <w:rFonts w:ascii="Times" w:hAnsi="Times" w:cs="Times New Roman"/>
          <w:b/>
          <w:bCs/>
          <w:noProof/>
          <w:color w:val="FF0000"/>
        </w:rPr>
        <w:t xml:space="preserve"> </w:t>
      </w:r>
    </w:p>
    <w:p w14:paraId="70A44B6A" w14:textId="3361FF1B" w:rsidR="007216EF" w:rsidRDefault="008C063E" w:rsidP="00347B57">
      <w:pPr>
        <w:widowControl w:val="0"/>
        <w:autoSpaceDE w:val="0"/>
        <w:autoSpaceDN w:val="0"/>
        <w:adjustRightInd w:val="0"/>
        <w:spacing w:line="360" w:lineRule="auto"/>
        <w:ind w:firstLine="720"/>
        <w:contextualSpacing/>
        <w:jc w:val="both"/>
        <w:outlineLvl w:val="0"/>
        <w:rPr>
          <w:rFonts w:ascii="Times" w:hAnsi="Times" w:cs="Times New Roman"/>
          <w:bCs/>
          <w:noProof/>
        </w:rPr>
      </w:pPr>
      <w:r w:rsidRPr="006119A1">
        <w:rPr>
          <w:rFonts w:ascii="Times" w:hAnsi="Times" w:cs="Times New Roman"/>
          <w:bCs/>
          <w:noProof/>
        </w:rPr>
        <w:t>As informações de outras pesquisas realizadas por Ferreira</w:t>
      </w:r>
      <w:r w:rsidR="001B4936">
        <w:rPr>
          <w:rFonts w:ascii="Times" w:hAnsi="Times" w:cs="Times New Roman"/>
          <w:bCs/>
          <w:noProof/>
        </w:rPr>
        <w:t xml:space="preserve"> e </w:t>
      </w:r>
      <w:r w:rsidRPr="006119A1">
        <w:rPr>
          <w:rFonts w:ascii="Times" w:hAnsi="Times" w:cs="Times New Roman"/>
          <w:bCs/>
          <w:noProof/>
        </w:rPr>
        <w:t>Souza(</w:t>
      </w:r>
      <w:r w:rsidR="008A0234">
        <w:rPr>
          <w:rFonts w:ascii="Times" w:hAnsi="Times" w:cs="Times New Roman"/>
          <w:bCs/>
          <w:noProof/>
        </w:rPr>
        <w:t>2013</w:t>
      </w:r>
      <w:r w:rsidRPr="006119A1">
        <w:rPr>
          <w:rFonts w:ascii="Times" w:hAnsi="Times" w:cs="Times New Roman"/>
          <w:bCs/>
          <w:noProof/>
        </w:rPr>
        <w:t>)</w:t>
      </w:r>
      <w:r w:rsidR="00DE7E1A">
        <w:rPr>
          <w:rFonts w:ascii="Times" w:hAnsi="Times" w:cs="Times New Roman"/>
          <w:bCs/>
          <w:noProof/>
        </w:rPr>
        <w:t xml:space="preserve"> </w:t>
      </w:r>
      <w:r w:rsidRPr="006119A1">
        <w:rPr>
          <w:rFonts w:ascii="Times" w:hAnsi="Times" w:cs="Times New Roman"/>
          <w:bCs/>
          <w:noProof/>
        </w:rPr>
        <w:t>são as de que</w:t>
      </w:r>
      <w:r w:rsidR="00EA5F99">
        <w:rPr>
          <w:rFonts w:ascii="Times" w:hAnsi="Times" w:cs="Times New Roman"/>
          <w:bCs/>
          <w:noProof/>
        </w:rPr>
        <w:t xml:space="preserve"> no geral</w:t>
      </w:r>
      <w:r w:rsidR="001B4936">
        <w:rPr>
          <w:rFonts w:ascii="Times" w:hAnsi="Times" w:cs="Times New Roman"/>
          <w:bCs/>
          <w:noProof/>
        </w:rPr>
        <w:t>,</w:t>
      </w:r>
      <w:r w:rsidRPr="006119A1">
        <w:rPr>
          <w:rFonts w:ascii="Times" w:hAnsi="Times" w:cs="Times New Roman"/>
          <w:bCs/>
          <w:noProof/>
        </w:rPr>
        <w:t xml:space="preserve"> nos</w:t>
      </w:r>
      <w:r w:rsidR="00395128" w:rsidRPr="006119A1">
        <w:rPr>
          <w:rFonts w:ascii="Times" w:hAnsi="Times" w:cs="Times New Roman"/>
          <w:bCs/>
          <w:noProof/>
        </w:rPr>
        <w:t xml:space="preserve"> anos </w:t>
      </w:r>
      <w:r w:rsidR="001B4936">
        <w:rPr>
          <w:rFonts w:ascii="Times" w:hAnsi="Times" w:cs="Times New Roman"/>
          <w:bCs/>
          <w:noProof/>
        </w:rPr>
        <w:t>19</w:t>
      </w:r>
      <w:r w:rsidR="00395128" w:rsidRPr="006119A1">
        <w:rPr>
          <w:rFonts w:ascii="Times" w:hAnsi="Times" w:cs="Times New Roman"/>
          <w:bCs/>
          <w:noProof/>
        </w:rPr>
        <w:t>80</w:t>
      </w:r>
      <w:r w:rsidR="00BE1E6F">
        <w:rPr>
          <w:rFonts w:ascii="Times" w:hAnsi="Times" w:cs="Times New Roman"/>
          <w:bCs/>
          <w:noProof/>
        </w:rPr>
        <w:t xml:space="preserve"> e </w:t>
      </w:r>
      <w:r w:rsidR="00E35163">
        <w:rPr>
          <w:rFonts w:ascii="Times" w:hAnsi="Times" w:cs="Times New Roman"/>
          <w:bCs/>
          <w:noProof/>
        </w:rPr>
        <w:t xml:space="preserve">início dos anos </w:t>
      </w:r>
      <w:r w:rsidR="00BE1E6F">
        <w:rPr>
          <w:rFonts w:ascii="Times" w:hAnsi="Times" w:cs="Times New Roman"/>
          <w:bCs/>
          <w:noProof/>
        </w:rPr>
        <w:t>1990</w:t>
      </w:r>
      <w:r w:rsidR="001B4936">
        <w:rPr>
          <w:rFonts w:ascii="Times" w:hAnsi="Times" w:cs="Times New Roman"/>
          <w:bCs/>
          <w:noProof/>
        </w:rPr>
        <w:t>,</w:t>
      </w:r>
      <w:r w:rsidR="00395128" w:rsidRPr="006119A1">
        <w:rPr>
          <w:rFonts w:ascii="Times" w:hAnsi="Times" w:cs="Times New Roman"/>
          <w:bCs/>
          <w:noProof/>
        </w:rPr>
        <w:t xml:space="preserve"> o </w:t>
      </w:r>
      <w:r w:rsidR="008D1485" w:rsidRPr="006119A1">
        <w:rPr>
          <w:rFonts w:ascii="Times" w:hAnsi="Times" w:cs="Times New Roman"/>
          <w:bCs/>
          <w:noProof/>
        </w:rPr>
        <w:t xml:space="preserve">rendimento do </w:t>
      </w:r>
      <w:r w:rsidR="00395128" w:rsidRPr="006119A1">
        <w:rPr>
          <w:rFonts w:ascii="Times" w:hAnsi="Times" w:cs="Times New Roman"/>
          <w:bCs/>
          <w:noProof/>
        </w:rPr>
        <w:t>trabalho</w:t>
      </w:r>
      <w:r w:rsidR="00C371FD">
        <w:rPr>
          <w:rFonts w:ascii="Times" w:hAnsi="Times" w:cs="Times New Roman"/>
          <w:bCs/>
          <w:noProof/>
        </w:rPr>
        <w:t xml:space="preserve"> e das aposentadorias</w:t>
      </w:r>
      <w:r w:rsidR="009B16A7" w:rsidRPr="006119A1">
        <w:rPr>
          <w:rFonts w:ascii="Times" w:hAnsi="Times" w:cs="Times New Roman"/>
          <w:bCs/>
          <w:noProof/>
        </w:rPr>
        <w:t xml:space="preserve"> </w:t>
      </w:r>
      <w:r w:rsidR="005C406F" w:rsidRPr="006119A1">
        <w:rPr>
          <w:rFonts w:ascii="Times" w:hAnsi="Times" w:cs="Times New Roman"/>
          <w:bCs/>
          <w:noProof/>
        </w:rPr>
        <w:t>não concentr</w:t>
      </w:r>
      <w:r w:rsidR="00C371FD">
        <w:rPr>
          <w:rFonts w:ascii="Times" w:hAnsi="Times" w:cs="Times New Roman"/>
          <w:bCs/>
          <w:noProof/>
        </w:rPr>
        <w:t>aram</w:t>
      </w:r>
      <w:r w:rsidR="007216EF" w:rsidRPr="006119A1">
        <w:rPr>
          <w:rFonts w:ascii="Times" w:hAnsi="Times" w:cs="Times New Roman"/>
          <w:bCs/>
          <w:noProof/>
        </w:rPr>
        <w:t xml:space="preserve"> renda no país</w:t>
      </w:r>
      <w:r w:rsidR="00C371FD">
        <w:rPr>
          <w:rFonts w:ascii="Times" w:hAnsi="Times" w:cs="Times New Roman"/>
          <w:bCs/>
          <w:noProof/>
        </w:rPr>
        <w:t xml:space="preserve"> (apenas em </w:t>
      </w:r>
      <w:r w:rsidR="00BE1E6F">
        <w:rPr>
          <w:rFonts w:ascii="Times" w:hAnsi="Times" w:cs="Times New Roman"/>
          <w:bCs/>
          <w:noProof/>
        </w:rPr>
        <w:t>alguns</w:t>
      </w:r>
      <w:r w:rsidR="00C371FD">
        <w:rPr>
          <w:rFonts w:ascii="Times" w:hAnsi="Times" w:cs="Times New Roman"/>
          <w:bCs/>
          <w:noProof/>
        </w:rPr>
        <w:t xml:space="preserve"> anos no Brasil)</w:t>
      </w:r>
      <w:r w:rsidR="004724AC" w:rsidRPr="006119A1">
        <w:rPr>
          <w:rFonts w:ascii="Times" w:hAnsi="Times" w:cs="Times New Roman"/>
          <w:bCs/>
          <w:noProof/>
        </w:rPr>
        <w:t>;</w:t>
      </w:r>
      <w:r w:rsidR="00395128" w:rsidRPr="006119A1">
        <w:rPr>
          <w:rFonts w:ascii="Times" w:hAnsi="Times" w:cs="Times New Roman"/>
          <w:bCs/>
          <w:noProof/>
        </w:rPr>
        <w:t xml:space="preserve"> </w:t>
      </w:r>
      <w:r w:rsidR="00BE1E6F">
        <w:rPr>
          <w:rFonts w:ascii="Times" w:hAnsi="Times" w:cs="Times New Roman"/>
          <w:bCs/>
          <w:noProof/>
        </w:rPr>
        <w:t>o</w:t>
      </w:r>
      <w:r w:rsidR="00EA5F99">
        <w:rPr>
          <w:rFonts w:ascii="Times" w:hAnsi="Times" w:cs="Times New Roman"/>
          <w:bCs/>
          <w:noProof/>
        </w:rPr>
        <w:t>s</w:t>
      </w:r>
      <w:r w:rsidR="00395128" w:rsidRPr="006119A1">
        <w:rPr>
          <w:rFonts w:ascii="Times" w:hAnsi="Times" w:cs="Times New Roman"/>
          <w:bCs/>
          <w:noProof/>
        </w:rPr>
        <w:t xml:space="preserve"> outros rendimentos concentraram renda </w:t>
      </w:r>
      <w:r w:rsidR="00BE1E6F">
        <w:rPr>
          <w:rFonts w:ascii="Times" w:hAnsi="Times" w:cs="Times New Roman"/>
          <w:bCs/>
          <w:noProof/>
        </w:rPr>
        <w:t>em</w:t>
      </w:r>
      <w:r w:rsidR="00395128" w:rsidRPr="006119A1">
        <w:rPr>
          <w:rFonts w:ascii="Times" w:hAnsi="Times" w:cs="Times New Roman"/>
          <w:bCs/>
          <w:noProof/>
        </w:rPr>
        <w:t xml:space="preserve"> t</w:t>
      </w:r>
      <w:r w:rsidR="009B16A7" w:rsidRPr="006119A1">
        <w:rPr>
          <w:rFonts w:ascii="Times" w:hAnsi="Times" w:cs="Times New Roman"/>
          <w:bCs/>
          <w:noProof/>
        </w:rPr>
        <w:t>odos os anos</w:t>
      </w:r>
      <w:r w:rsidR="004724AC" w:rsidRPr="006119A1">
        <w:rPr>
          <w:rFonts w:ascii="Times" w:hAnsi="Times" w:cs="Times New Roman"/>
          <w:bCs/>
          <w:noProof/>
        </w:rPr>
        <w:t>,</w:t>
      </w:r>
      <w:r w:rsidR="009B16A7" w:rsidRPr="006119A1">
        <w:rPr>
          <w:rFonts w:ascii="Times" w:hAnsi="Times" w:cs="Times New Roman"/>
          <w:bCs/>
          <w:noProof/>
        </w:rPr>
        <w:t xml:space="preserve"> </w:t>
      </w:r>
      <w:r w:rsidR="00EA5F99">
        <w:rPr>
          <w:rFonts w:ascii="Times" w:hAnsi="Times" w:cs="Times New Roman"/>
          <w:bCs/>
          <w:noProof/>
        </w:rPr>
        <w:t>com alguns anos</w:t>
      </w:r>
      <w:r w:rsidR="00BE1E6F">
        <w:rPr>
          <w:rFonts w:ascii="Times" w:hAnsi="Times" w:cs="Times New Roman"/>
          <w:bCs/>
          <w:noProof/>
        </w:rPr>
        <w:t xml:space="preserve"> </w:t>
      </w:r>
      <w:r w:rsidR="00EA5F99">
        <w:rPr>
          <w:rFonts w:ascii="Times" w:hAnsi="Times" w:cs="Times New Roman"/>
          <w:bCs/>
          <w:noProof/>
        </w:rPr>
        <w:t>de exceção</w:t>
      </w:r>
      <w:r w:rsidR="00BE1E6F">
        <w:rPr>
          <w:rFonts w:ascii="Times" w:hAnsi="Times" w:cs="Times New Roman"/>
          <w:bCs/>
          <w:noProof/>
        </w:rPr>
        <w:t>.</w:t>
      </w:r>
      <w:r w:rsidR="001B4936">
        <w:rPr>
          <w:rFonts w:ascii="Times" w:hAnsi="Times" w:cs="Times New Roman"/>
          <w:bCs/>
          <w:noProof/>
        </w:rPr>
        <w:t xml:space="preserve"> </w:t>
      </w:r>
      <w:r w:rsidR="00E35163">
        <w:rPr>
          <w:rFonts w:ascii="Times" w:hAnsi="Times" w:cs="Times New Roman"/>
          <w:bCs/>
          <w:noProof/>
        </w:rPr>
        <w:t>Nesta pesquisa, na</w:t>
      </w:r>
      <w:r w:rsidR="00067416">
        <w:rPr>
          <w:rFonts w:ascii="Times" w:hAnsi="Times" w:cs="Times New Roman"/>
          <w:bCs/>
          <w:noProof/>
        </w:rPr>
        <w:t xml:space="preserve"> década de 2000</w:t>
      </w:r>
      <w:r w:rsidR="007216EF" w:rsidRPr="006119A1">
        <w:rPr>
          <w:rFonts w:ascii="Times" w:hAnsi="Times" w:cs="Times New Roman"/>
          <w:bCs/>
          <w:noProof/>
        </w:rPr>
        <w:t xml:space="preserve">, </w:t>
      </w:r>
      <w:r w:rsidR="00E35163">
        <w:rPr>
          <w:rFonts w:ascii="Times" w:hAnsi="Times" w:cs="Times New Roman"/>
          <w:bCs/>
          <w:noProof/>
        </w:rPr>
        <w:t xml:space="preserve">os rendimentos do </w:t>
      </w:r>
      <w:r w:rsidR="009B16A7" w:rsidRPr="006119A1">
        <w:rPr>
          <w:rFonts w:ascii="Times" w:hAnsi="Times" w:cs="Times New Roman"/>
          <w:bCs/>
          <w:noProof/>
        </w:rPr>
        <w:t>trabalho e outr</w:t>
      </w:r>
      <w:r w:rsidR="00E5273F">
        <w:rPr>
          <w:rFonts w:ascii="Times" w:hAnsi="Times" w:cs="Times New Roman"/>
          <w:bCs/>
          <w:noProof/>
        </w:rPr>
        <w:t>as rendas</w:t>
      </w:r>
      <w:r w:rsidR="00E35163">
        <w:rPr>
          <w:rFonts w:ascii="Times" w:hAnsi="Times" w:cs="Times New Roman"/>
          <w:bCs/>
          <w:noProof/>
        </w:rPr>
        <w:t>(incluem renda do capital e de programas sociais)</w:t>
      </w:r>
      <w:r w:rsidR="009B16A7" w:rsidRPr="006119A1">
        <w:rPr>
          <w:rFonts w:ascii="Times" w:hAnsi="Times" w:cs="Times New Roman"/>
          <w:bCs/>
          <w:noProof/>
        </w:rPr>
        <w:t xml:space="preserve"> não concentraram renda</w:t>
      </w:r>
      <w:r w:rsidR="004724AC" w:rsidRPr="006119A1">
        <w:rPr>
          <w:rFonts w:ascii="Times" w:hAnsi="Times" w:cs="Times New Roman"/>
          <w:bCs/>
          <w:noProof/>
        </w:rPr>
        <w:t xml:space="preserve">, </w:t>
      </w:r>
      <w:r w:rsidR="009B16A7" w:rsidRPr="006119A1">
        <w:rPr>
          <w:rFonts w:ascii="Times" w:hAnsi="Times" w:cs="Times New Roman"/>
          <w:bCs/>
          <w:noProof/>
        </w:rPr>
        <w:t xml:space="preserve">enquanto aposentadorias e pensões </w:t>
      </w:r>
      <w:r w:rsidR="004724AC" w:rsidRPr="006119A1">
        <w:rPr>
          <w:rFonts w:ascii="Times" w:hAnsi="Times" w:cs="Times New Roman"/>
          <w:bCs/>
          <w:noProof/>
        </w:rPr>
        <w:t>auxiliaram n</w:t>
      </w:r>
      <w:r w:rsidR="00E35163">
        <w:rPr>
          <w:rFonts w:ascii="Times" w:hAnsi="Times" w:cs="Times New Roman"/>
          <w:bCs/>
          <w:noProof/>
        </w:rPr>
        <w:t>ess</w:t>
      </w:r>
      <w:r w:rsidR="004724AC" w:rsidRPr="006119A1">
        <w:rPr>
          <w:rFonts w:ascii="Times" w:hAnsi="Times" w:cs="Times New Roman"/>
          <w:bCs/>
          <w:noProof/>
        </w:rPr>
        <w:t>a</w:t>
      </w:r>
      <w:r w:rsidR="009B16A7" w:rsidRPr="006119A1">
        <w:rPr>
          <w:rFonts w:ascii="Times" w:hAnsi="Times" w:cs="Times New Roman"/>
          <w:bCs/>
          <w:noProof/>
        </w:rPr>
        <w:t xml:space="preserve"> concentração</w:t>
      </w:r>
      <w:r w:rsidR="00067416">
        <w:rPr>
          <w:rFonts w:ascii="Times" w:hAnsi="Times" w:cs="Times New Roman"/>
          <w:bCs/>
          <w:noProof/>
        </w:rPr>
        <w:t>.</w:t>
      </w:r>
      <w:r w:rsidR="00C94172" w:rsidRPr="006119A1">
        <w:rPr>
          <w:rFonts w:ascii="Times" w:hAnsi="Times" w:cs="Times New Roman"/>
          <w:bCs/>
          <w:noProof/>
        </w:rPr>
        <w:t xml:space="preserve"> </w:t>
      </w:r>
    </w:p>
    <w:p w14:paraId="1864114D" w14:textId="77777777" w:rsidR="00E35163" w:rsidRDefault="00E35163" w:rsidP="00E35163">
      <w:pPr>
        <w:widowControl w:val="0"/>
        <w:tabs>
          <w:tab w:val="left" w:pos="2340"/>
        </w:tabs>
        <w:autoSpaceDE w:val="0"/>
        <w:autoSpaceDN w:val="0"/>
        <w:adjustRightInd w:val="0"/>
        <w:spacing w:line="360" w:lineRule="auto"/>
        <w:ind w:firstLine="709"/>
        <w:contextualSpacing/>
        <w:jc w:val="both"/>
        <w:outlineLvl w:val="0"/>
        <w:rPr>
          <w:rFonts w:ascii="Times" w:hAnsi="Times" w:cs="Times New Roman"/>
          <w:bCs/>
          <w:noProof/>
        </w:rPr>
      </w:pPr>
    </w:p>
    <w:p w14:paraId="36FB59F3" w14:textId="0674F7A2" w:rsidR="00E56E1B" w:rsidRPr="00067416" w:rsidRDefault="00E56E1B" w:rsidP="0010228C">
      <w:pPr>
        <w:widowControl w:val="0"/>
        <w:tabs>
          <w:tab w:val="left" w:pos="2340"/>
        </w:tabs>
        <w:autoSpaceDE w:val="0"/>
        <w:autoSpaceDN w:val="0"/>
        <w:adjustRightInd w:val="0"/>
        <w:spacing w:line="360" w:lineRule="auto"/>
        <w:contextualSpacing/>
        <w:jc w:val="both"/>
        <w:outlineLvl w:val="0"/>
        <w:rPr>
          <w:rFonts w:ascii="Times" w:hAnsi="Times" w:cs="Times New Roman"/>
          <w:lang w:val="en-US"/>
        </w:rPr>
      </w:pPr>
      <w:r w:rsidRPr="00C90F2E">
        <w:rPr>
          <w:rFonts w:ascii="Times" w:hAnsi="Times" w:cs="Times New Roman"/>
          <w:bCs/>
          <w:noProof/>
        </w:rPr>
        <w:lastRenderedPageBreak/>
        <w:t>Tabela 1</w:t>
      </w:r>
      <w:r w:rsidR="00067416" w:rsidRPr="00C90F2E">
        <w:rPr>
          <w:rFonts w:ascii="Times" w:hAnsi="Times" w:cs="Times New Roman"/>
          <w:bCs/>
          <w:noProof/>
        </w:rPr>
        <w:t>0</w:t>
      </w:r>
      <w:r w:rsidR="00C90F2E">
        <w:rPr>
          <w:rFonts w:ascii="Times" w:hAnsi="Times" w:cs="Times New Roman"/>
          <w:bCs/>
          <w:noProof/>
        </w:rPr>
        <w:t xml:space="preserve"> -</w:t>
      </w:r>
      <w:r w:rsidRPr="00067416">
        <w:rPr>
          <w:rFonts w:ascii="Times" w:hAnsi="Times" w:cs="Times New Roman"/>
          <w:b/>
          <w:bCs/>
          <w:noProof/>
        </w:rPr>
        <w:t xml:space="preserve"> </w:t>
      </w:r>
      <w:r w:rsidRPr="00067416">
        <w:rPr>
          <w:rFonts w:ascii="Times" w:hAnsi="Times" w:cs="Times New Roman"/>
        </w:rPr>
        <w:t xml:space="preserve">Razão de Concentração na decomposição do Índice de Gini do rendimento domiciliar </w:t>
      </w:r>
      <w:r w:rsidRPr="00067416">
        <w:rPr>
          <w:rFonts w:ascii="Times" w:hAnsi="Times" w:cs="Times"/>
          <w:i/>
        </w:rPr>
        <w:t>per capita</w:t>
      </w:r>
      <w:r w:rsidRPr="00067416">
        <w:rPr>
          <w:rFonts w:ascii="Times" w:hAnsi="Times" w:cs="Times"/>
        </w:rPr>
        <w:t xml:space="preserve">. </w:t>
      </w:r>
      <w:r w:rsidR="001C520E" w:rsidRPr="00067416">
        <w:rPr>
          <w:rFonts w:ascii="Times" w:hAnsi="Times" w:cs="Times New Roman"/>
          <w:lang w:val="en-US"/>
        </w:rPr>
        <w:t>Região Sul e Brasil, de 1995-</w:t>
      </w:r>
      <w:r w:rsidR="00355951">
        <w:rPr>
          <w:rFonts w:ascii="Times" w:hAnsi="Times" w:cs="Times New Roman"/>
          <w:lang w:val="en-US"/>
        </w:rPr>
        <w:t>2009</w:t>
      </w:r>
    </w:p>
    <w:tbl>
      <w:tblPr>
        <w:tblStyle w:val="SombreamentoClaro"/>
        <w:tblW w:w="0" w:type="auto"/>
        <w:tblLook w:val="06A0" w:firstRow="1" w:lastRow="0" w:firstColumn="1" w:lastColumn="0" w:noHBand="1" w:noVBand="1"/>
      </w:tblPr>
      <w:tblGrid>
        <w:gridCol w:w="1043"/>
        <w:gridCol w:w="865"/>
        <w:gridCol w:w="970"/>
        <w:gridCol w:w="969"/>
        <w:gridCol w:w="970"/>
        <w:gridCol w:w="969"/>
        <w:gridCol w:w="969"/>
        <w:gridCol w:w="969"/>
        <w:gridCol w:w="978"/>
      </w:tblGrid>
      <w:tr w:rsidR="00E56E1B" w:rsidRPr="00673CDF" w14:paraId="03A6D8DE" w14:textId="77777777" w:rsidTr="001D23E8">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043" w:type="dxa"/>
          </w:tcPr>
          <w:p w14:paraId="63B6A1CE" w14:textId="77777777" w:rsidR="00E56E1B" w:rsidRPr="00673CDF" w:rsidRDefault="00E56E1B" w:rsidP="007C5F6F">
            <w:pPr>
              <w:pStyle w:val="Normaljustificado"/>
              <w:spacing w:line="360" w:lineRule="auto"/>
              <w:rPr>
                <w:rFonts w:ascii="Times" w:hAnsi="Times"/>
                <w:color w:val="auto"/>
                <w:sz w:val="24"/>
                <w:szCs w:val="24"/>
              </w:rPr>
            </w:pPr>
          </w:p>
        </w:tc>
        <w:tc>
          <w:tcPr>
            <w:tcW w:w="865" w:type="dxa"/>
          </w:tcPr>
          <w:p w14:paraId="706A5691" w14:textId="77777777" w:rsidR="00E56E1B" w:rsidRPr="00673CDF" w:rsidRDefault="00E56E1B" w:rsidP="007C5F6F">
            <w:pPr>
              <w:pStyle w:val="Normaljustificado"/>
              <w:spacing w:line="360" w:lineRule="auto"/>
              <w:cnfStyle w:val="100000000000" w:firstRow="1" w:lastRow="0" w:firstColumn="0" w:lastColumn="0" w:oddVBand="0" w:evenVBand="0" w:oddHBand="0" w:evenHBand="0" w:firstRowFirstColumn="0" w:firstRowLastColumn="0" w:lastRowFirstColumn="0" w:lastRowLastColumn="0"/>
              <w:rPr>
                <w:rFonts w:ascii="Times" w:hAnsi="Times"/>
                <w:color w:val="auto"/>
                <w:sz w:val="24"/>
                <w:szCs w:val="24"/>
              </w:rPr>
            </w:pPr>
            <w:r w:rsidRPr="00673CDF">
              <w:rPr>
                <w:rFonts w:ascii="Times" w:hAnsi="Times"/>
                <w:color w:val="auto"/>
                <w:sz w:val="24"/>
                <w:szCs w:val="24"/>
              </w:rPr>
              <w:t>Ano</w:t>
            </w:r>
          </w:p>
        </w:tc>
        <w:tc>
          <w:tcPr>
            <w:tcW w:w="2909" w:type="dxa"/>
            <w:gridSpan w:val="3"/>
          </w:tcPr>
          <w:p w14:paraId="3A87E6BF" w14:textId="466AF3D8" w:rsidR="00E56E1B" w:rsidRPr="00673CDF" w:rsidRDefault="00D14B2D" w:rsidP="007C5F6F">
            <w:pPr>
              <w:pStyle w:val="Normaljustificado"/>
              <w:spacing w:line="360" w:lineRule="auto"/>
              <w:cnfStyle w:val="100000000000" w:firstRow="1" w:lastRow="0" w:firstColumn="0" w:lastColumn="0" w:oddVBand="0" w:evenVBand="0" w:oddHBand="0" w:evenHBand="0" w:firstRowFirstColumn="0" w:firstRowLastColumn="0" w:lastRowFirstColumn="0" w:lastRowLastColumn="0"/>
              <w:rPr>
                <w:rFonts w:ascii="Times" w:hAnsi="Times"/>
                <w:color w:val="auto"/>
                <w:sz w:val="24"/>
                <w:szCs w:val="24"/>
              </w:rPr>
            </w:pPr>
            <w:r>
              <w:rPr>
                <w:rFonts w:ascii="Times" w:hAnsi="Times"/>
                <w:color w:val="auto"/>
                <w:sz w:val="24"/>
                <w:szCs w:val="24"/>
              </w:rPr>
              <w:t xml:space="preserve">Região </w:t>
            </w:r>
            <w:r w:rsidR="00E56E1B" w:rsidRPr="00673CDF">
              <w:rPr>
                <w:rFonts w:ascii="Times" w:hAnsi="Times"/>
                <w:color w:val="auto"/>
                <w:sz w:val="24"/>
                <w:szCs w:val="24"/>
              </w:rPr>
              <w:t>Sul</w:t>
            </w:r>
          </w:p>
        </w:tc>
        <w:tc>
          <w:tcPr>
            <w:tcW w:w="3885" w:type="dxa"/>
            <w:gridSpan w:val="4"/>
          </w:tcPr>
          <w:p w14:paraId="0AAC00C9" w14:textId="77777777" w:rsidR="00E56E1B" w:rsidRPr="00673CDF" w:rsidRDefault="00E56E1B" w:rsidP="007C5F6F">
            <w:pPr>
              <w:pStyle w:val="Normaljustificado"/>
              <w:spacing w:line="360" w:lineRule="auto"/>
              <w:cnfStyle w:val="100000000000" w:firstRow="1" w:lastRow="0" w:firstColumn="0" w:lastColumn="0" w:oddVBand="0" w:evenVBand="0" w:oddHBand="0" w:evenHBand="0" w:firstRowFirstColumn="0" w:firstRowLastColumn="0" w:lastRowFirstColumn="0" w:lastRowLastColumn="0"/>
              <w:rPr>
                <w:rFonts w:ascii="Times" w:hAnsi="Times"/>
                <w:color w:val="auto"/>
                <w:sz w:val="24"/>
                <w:szCs w:val="24"/>
              </w:rPr>
            </w:pPr>
            <w:r w:rsidRPr="00673CDF">
              <w:rPr>
                <w:rFonts w:ascii="Times" w:hAnsi="Times"/>
                <w:color w:val="auto"/>
                <w:sz w:val="24"/>
                <w:szCs w:val="24"/>
              </w:rPr>
              <w:t>Brasil</w:t>
            </w:r>
          </w:p>
        </w:tc>
      </w:tr>
      <w:tr w:rsidR="00E56E1B" w:rsidRPr="00673CDF" w14:paraId="50F4F7BA" w14:textId="77777777" w:rsidTr="001D23E8">
        <w:trPr>
          <w:trHeight w:val="151"/>
        </w:trPr>
        <w:tc>
          <w:tcPr>
            <w:cnfStyle w:val="001000000000" w:firstRow="0" w:lastRow="0" w:firstColumn="1" w:lastColumn="0" w:oddVBand="0" w:evenVBand="0" w:oddHBand="0" w:evenHBand="0" w:firstRowFirstColumn="0" w:firstRowLastColumn="0" w:lastRowFirstColumn="0" w:lastRowLastColumn="0"/>
            <w:tcW w:w="1043" w:type="dxa"/>
          </w:tcPr>
          <w:p w14:paraId="32DA78D1" w14:textId="77777777" w:rsidR="00E56E1B" w:rsidRPr="00673CDF" w:rsidRDefault="00E56E1B" w:rsidP="007C5F6F">
            <w:pPr>
              <w:pStyle w:val="Normaljustificado"/>
              <w:spacing w:line="360" w:lineRule="auto"/>
              <w:jc w:val="center"/>
              <w:rPr>
                <w:rFonts w:ascii="Times" w:hAnsi="Times"/>
                <w:color w:val="auto"/>
                <w:sz w:val="24"/>
                <w:szCs w:val="24"/>
              </w:rPr>
            </w:pPr>
          </w:p>
        </w:tc>
        <w:tc>
          <w:tcPr>
            <w:tcW w:w="865" w:type="dxa"/>
          </w:tcPr>
          <w:p w14:paraId="0259BE4D" w14:textId="77777777" w:rsidR="00E56E1B" w:rsidRPr="00673CDF" w:rsidRDefault="00E56E1B" w:rsidP="007C5F6F">
            <w:pPr>
              <w:pStyle w:val="Normaljustificado"/>
              <w:spacing w:line="360" w:lineRule="auto"/>
              <w:cnfStyle w:val="000000000000" w:firstRow="0" w:lastRow="0" w:firstColumn="0" w:lastColumn="0" w:oddVBand="0" w:evenVBand="0" w:oddHBand="0" w:evenHBand="0" w:firstRowFirstColumn="0" w:firstRowLastColumn="0" w:lastRowFirstColumn="0" w:lastRowLastColumn="0"/>
              <w:rPr>
                <w:rFonts w:ascii="Times" w:hAnsi="Times"/>
                <w:color w:val="auto"/>
                <w:sz w:val="24"/>
                <w:szCs w:val="24"/>
              </w:rPr>
            </w:pPr>
          </w:p>
        </w:tc>
        <w:tc>
          <w:tcPr>
            <w:tcW w:w="970" w:type="dxa"/>
          </w:tcPr>
          <w:p w14:paraId="47E63151" w14:textId="77777777" w:rsidR="00E56E1B" w:rsidRPr="00673CDF" w:rsidRDefault="00E56E1B" w:rsidP="007C5F6F">
            <w:pPr>
              <w:pStyle w:val="Normaljustificado"/>
              <w:spacing w:line="360" w:lineRule="auto"/>
              <w:cnfStyle w:val="000000000000" w:firstRow="0" w:lastRow="0" w:firstColumn="0" w:lastColumn="0" w:oddVBand="0" w:evenVBand="0" w:oddHBand="0" w:evenHBand="0" w:firstRowFirstColumn="0" w:firstRowLastColumn="0" w:lastRowFirstColumn="0" w:lastRowLastColumn="0"/>
              <w:rPr>
                <w:rFonts w:ascii="Times" w:hAnsi="Times"/>
                <w:b/>
                <w:color w:val="auto"/>
                <w:sz w:val="24"/>
                <w:szCs w:val="24"/>
                <w:vertAlign w:val="superscript"/>
              </w:rPr>
            </w:pPr>
            <w:r w:rsidRPr="00673CDF">
              <w:rPr>
                <w:rFonts w:ascii="Times" w:hAnsi="Times"/>
                <w:b/>
                <w:color w:val="auto"/>
                <w:sz w:val="24"/>
                <w:szCs w:val="24"/>
              </w:rPr>
              <w:t>TP</w:t>
            </w:r>
            <w:r w:rsidRPr="00673CDF">
              <w:rPr>
                <w:rFonts w:ascii="Times" w:hAnsi="Times"/>
                <w:b/>
                <w:color w:val="auto"/>
                <w:sz w:val="24"/>
                <w:szCs w:val="24"/>
                <w:vertAlign w:val="superscript"/>
              </w:rPr>
              <w:t>1</w:t>
            </w:r>
          </w:p>
        </w:tc>
        <w:tc>
          <w:tcPr>
            <w:tcW w:w="969" w:type="dxa"/>
          </w:tcPr>
          <w:p w14:paraId="64FEC3BF" w14:textId="77777777" w:rsidR="00E56E1B" w:rsidRPr="00673CDF" w:rsidRDefault="00E56E1B" w:rsidP="007C5F6F">
            <w:pPr>
              <w:pStyle w:val="Normaljustificado"/>
              <w:spacing w:line="360" w:lineRule="auto"/>
              <w:cnfStyle w:val="000000000000" w:firstRow="0" w:lastRow="0" w:firstColumn="0" w:lastColumn="0" w:oddVBand="0" w:evenVBand="0" w:oddHBand="0" w:evenHBand="0" w:firstRowFirstColumn="0" w:firstRowLastColumn="0" w:lastRowFirstColumn="0" w:lastRowLastColumn="0"/>
              <w:rPr>
                <w:rFonts w:ascii="Times" w:hAnsi="Times"/>
                <w:b/>
                <w:color w:val="auto"/>
                <w:sz w:val="24"/>
                <w:szCs w:val="24"/>
              </w:rPr>
            </w:pPr>
            <w:r w:rsidRPr="00673CDF">
              <w:rPr>
                <w:rFonts w:ascii="Times" w:hAnsi="Times"/>
                <w:b/>
                <w:color w:val="auto"/>
                <w:sz w:val="24"/>
                <w:szCs w:val="24"/>
              </w:rPr>
              <w:t>AP</w:t>
            </w:r>
            <w:r w:rsidRPr="00673CDF">
              <w:rPr>
                <w:rFonts w:ascii="Times" w:hAnsi="Times"/>
                <w:b/>
                <w:color w:val="auto"/>
                <w:sz w:val="24"/>
                <w:szCs w:val="24"/>
                <w:vertAlign w:val="superscript"/>
              </w:rPr>
              <w:t>2</w:t>
            </w:r>
          </w:p>
        </w:tc>
        <w:tc>
          <w:tcPr>
            <w:tcW w:w="970" w:type="dxa"/>
          </w:tcPr>
          <w:p w14:paraId="1CA866A2" w14:textId="77777777" w:rsidR="00E56E1B" w:rsidRPr="00673CDF" w:rsidRDefault="00E56E1B" w:rsidP="007C5F6F">
            <w:pPr>
              <w:pStyle w:val="Normaljustificado"/>
              <w:spacing w:line="360" w:lineRule="auto"/>
              <w:cnfStyle w:val="000000000000" w:firstRow="0" w:lastRow="0" w:firstColumn="0" w:lastColumn="0" w:oddVBand="0" w:evenVBand="0" w:oddHBand="0" w:evenHBand="0" w:firstRowFirstColumn="0" w:firstRowLastColumn="0" w:lastRowFirstColumn="0" w:lastRowLastColumn="0"/>
              <w:rPr>
                <w:rFonts w:ascii="Times" w:hAnsi="Times"/>
                <w:b/>
                <w:color w:val="auto"/>
                <w:sz w:val="24"/>
                <w:szCs w:val="24"/>
                <w:vertAlign w:val="superscript"/>
              </w:rPr>
            </w:pPr>
            <w:r w:rsidRPr="00673CDF">
              <w:rPr>
                <w:rFonts w:ascii="Times" w:hAnsi="Times"/>
                <w:b/>
                <w:color w:val="auto"/>
                <w:sz w:val="24"/>
                <w:szCs w:val="24"/>
              </w:rPr>
              <w:t>OR</w:t>
            </w:r>
            <w:r w:rsidRPr="00673CDF">
              <w:rPr>
                <w:rFonts w:ascii="Times" w:hAnsi="Times"/>
                <w:b/>
                <w:color w:val="auto"/>
                <w:sz w:val="24"/>
                <w:szCs w:val="24"/>
                <w:vertAlign w:val="superscript"/>
              </w:rPr>
              <w:t>3</w:t>
            </w:r>
          </w:p>
        </w:tc>
        <w:tc>
          <w:tcPr>
            <w:tcW w:w="969" w:type="dxa"/>
          </w:tcPr>
          <w:p w14:paraId="03760C14" w14:textId="77777777" w:rsidR="00E56E1B" w:rsidRPr="00673CDF" w:rsidRDefault="00E56E1B" w:rsidP="007C5F6F">
            <w:pPr>
              <w:pStyle w:val="Normaljustificado"/>
              <w:spacing w:line="360" w:lineRule="auto"/>
              <w:cnfStyle w:val="000000000000" w:firstRow="0" w:lastRow="0" w:firstColumn="0" w:lastColumn="0" w:oddVBand="0" w:evenVBand="0" w:oddHBand="0" w:evenHBand="0" w:firstRowFirstColumn="0" w:firstRowLastColumn="0" w:lastRowFirstColumn="0" w:lastRowLastColumn="0"/>
              <w:rPr>
                <w:rFonts w:ascii="Times" w:hAnsi="Times"/>
                <w:b/>
                <w:color w:val="auto"/>
                <w:sz w:val="24"/>
                <w:szCs w:val="24"/>
                <w:vertAlign w:val="superscript"/>
              </w:rPr>
            </w:pPr>
            <w:r w:rsidRPr="00673CDF">
              <w:rPr>
                <w:rFonts w:ascii="Times" w:hAnsi="Times"/>
                <w:b/>
                <w:color w:val="auto"/>
                <w:sz w:val="24"/>
                <w:szCs w:val="24"/>
              </w:rPr>
              <w:t>TP</w:t>
            </w:r>
            <w:r w:rsidRPr="00673CDF">
              <w:rPr>
                <w:rFonts w:ascii="Times" w:hAnsi="Times"/>
                <w:b/>
                <w:color w:val="auto"/>
                <w:sz w:val="24"/>
                <w:szCs w:val="24"/>
                <w:vertAlign w:val="superscript"/>
              </w:rPr>
              <w:t>1</w:t>
            </w:r>
          </w:p>
        </w:tc>
        <w:tc>
          <w:tcPr>
            <w:tcW w:w="969" w:type="dxa"/>
          </w:tcPr>
          <w:p w14:paraId="62BA09B8" w14:textId="77777777" w:rsidR="00E56E1B" w:rsidRPr="00673CDF" w:rsidRDefault="00E56E1B" w:rsidP="007C5F6F">
            <w:pPr>
              <w:pStyle w:val="Normaljustificado"/>
              <w:spacing w:line="360" w:lineRule="auto"/>
              <w:cnfStyle w:val="000000000000" w:firstRow="0" w:lastRow="0" w:firstColumn="0" w:lastColumn="0" w:oddVBand="0" w:evenVBand="0" w:oddHBand="0" w:evenHBand="0" w:firstRowFirstColumn="0" w:firstRowLastColumn="0" w:lastRowFirstColumn="0" w:lastRowLastColumn="0"/>
              <w:rPr>
                <w:rFonts w:ascii="Times" w:hAnsi="Times"/>
                <w:b/>
                <w:color w:val="auto"/>
                <w:sz w:val="24"/>
                <w:szCs w:val="24"/>
                <w:vertAlign w:val="superscript"/>
              </w:rPr>
            </w:pPr>
            <w:r w:rsidRPr="00673CDF">
              <w:rPr>
                <w:rFonts w:ascii="Times" w:hAnsi="Times"/>
                <w:b/>
                <w:color w:val="auto"/>
                <w:sz w:val="24"/>
                <w:szCs w:val="24"/>
              </w:rPr>
              <w:t>AP</w:t>
            </w:r>
            <w:r w:rsidRPr="00673CDF">
              <w:rPr>
                <w:rFonts w:ascii="Times" w:hAnsi="Times"/>
                <w:b/>
                <w:color w:val="auto"/>
                <w:sz w:val="24"/>
                <w:szCs w:val="24"/>
                <w:vertAlign w:val="superscript"/>
              </w:rPr>
              <w:t>2</w:t>
            </w:r>
          </w:p>
        </w:tc>
        <w:tc>
          <w:tcPr>
            <w:tcW w:w="969" w:type="dxa"/>
          </w:tcPr>
          <w:p w14:paraId="1613C95D" w14:textId="77777777" w:rsidR="00E56E1B" w:rsidRPr="00673CDF" w:rsidRDefault="00E56E1B" w:rsidP="007C5F6F">
            <w:pPr>
              <w:pStyle w:val="Normaljustificado"/>
              <w:spacing w:line="360" w:lineRule="auto"/>
              <w:cnfStyle w:val="000000000000" w:firstRow="0" w:lastRow="0" w:firstColumn="0" w:lastColumn="0" w:oddVBand="0" w:evenVBand="0" w:oddHBand="0" w:evenHBand="0" w:firstRowFirstColumn="0" w:firstRowLastColumn="0" w:lastRowFirstColumn="0" w:lastRowLastColumn="0"/>
              <w:rPr>
                <w:rFonts w:ascii="Times" w:hAnsi="Times"/>
                <w:b/>
                <w:color w:val="auto"/>
                <w:sz w:val="24"/>
                <w:szCs w:val="24"/>
                <w:vertAlign w:val="superscript"/>
              </w:rPr>
            </w:pPr>
            <w:r w:rsidRPr="00673CDF">
              <w:rPr>
                <w:rFonts w:ascii="Times" w:hAnsi="Times"/>
                <w:b/>
                <w:color w:val="auto"/>
                <w:sz w:val="24"/>
                <w:szCs w:val="24"/>
              </w:rPr>
              <w:t>OR</w:t>
            </w:r>
            <w:r w:rsidRPr="00673CDF">
              <w:rPr>
                <w:rFonts w:ascii="Times" w:hAnsi="Times"/>
                <w:b/>
                <w:color w:val="auto"/>
                <w:sz w:val="24"/>
                <w:szCs w:val="24"/>
                <w:vertAlign w:val="superscript"/>
              </w:rPr>
              <w:t>3</w:t>
            </w:r>
          </w:p>
        </w:tc>
        <w:tc>
          <w:tcPr>
            <w:tcW w:w="978" w:type="dxa"/>
          </w:tcPr>
          <w:p w14:paraId="1020AF62" w14:textId="77777777" w:rsidR="00E56E1B" w:rsidRPr="00673CDF" w:rsidRDefault="00E56E1B" w:rsidP="007C5F6F">
            <w:pPr>
              <w:pStyle w:val="Normaljustificado"/>
              <w:spacing w:line="360" w:lineRule="auto"/>
              <w:cnfStyle w:val="000000000000" w:firstRow="0" w:lastRow="0" w:firstColumn="0" w:lastColumn="0" w:oddVBand="0" w:evenVBand="0" w:oddHBand="0" w:evenHBand="0" w:firstRowFirstColumn="0" w:firstRowLastColumn="0" w:lastRowFirstColumn="0" w:lastRowLastColumn="0"/>
              <w:rPr>
                <w:rFonts w:ascii="Times" w:hAnsi="Times"/>
                <w:b/>
                <w:color w:val="auto"/>
                <w:sz w:val="24"/>
                <w:szCs w:val="24"/>
                <w:vertAlign w:val="superscript"/>
              </w:rPr>
            </w:pPr>
            <w:r w:rsidRPr="00673CDF">
              <w:rPr>
                <w:rFonts w:ascii="Times" w:hAnsi="Times"/>
                <w:b/>
                <w:color w:val="auto"/>
                <w:sz w:val="24"/>
                <w:szCs w:val="24"/>
              </w:rPr>
              <w:t>GT</w:t>
            </w:r>
            <w:r w:rsidRPr="00673CDF">
              <w:rPr>
                <w:rFonts w:ascii="Times" w:hAnsi="Times"/>
                <w:b/>
                <w:color w:val="auto"/>
                <w:sz w:val="24"/>
                <w:szCs w:val="24"/>
                <w:vertAlign w:val="superscript"/>
              </w:rPr>
              <w:t>4</w:t>
            </w:r>
          </w:p>
        </w:tc>
      </w:tr>
      <w:tr w:rsidR="00E56E1B" w:rsidRPr="00673CDF" w14:paraId="3987AEF5" w14:textId="77777777" w:rsidTr="001D23E8">
        <w:trPr>
          <w:trHeight w:val="219"/>
        </w:trPr>
        <w:tc>
          <w:tcPr>
            <w:cnfStyle w:val="001000000000" w:firstRow="0" w:lastRow="0" w:firstColumn="1" w:lastColumn="0" w:oddVBand="0" w:evenVBand="0" w:oddHBand="0" w:evenHBand="0" w:firstRowFirstColumn="0" w:firstRowLastColumn="0" w:lastRowFirstColumn="0" w:lastRowLastColumn="0"/>
            <w:tcW w:w="1043" w:type="dxa"/>
            <w:vMerge w:val="restart"/>
          </w:tcPr>
          <w:p w14:paraId="60D06C17" w14:textId="77777777" w:rsidR="00E56E1B" w:rsidRPr="00673CDF" w:rsidRDefault="00E56E1B" w:rsidP="00673CDF">
            <w:pPr>
              <w:pStyle w:val="Normaljustificado"/>
              <w:spacing w:line="360" w:lineRule="auto"/>
              <w:jc w:val="left"/>
              <w:rPr>
                <w:rFonts w:ascii="Times" w:hAnsi="Times"/>
                <w:color w:val="auto"/>
                <w:sz w:val="24"/>
                <w:szCs w:val="24"/>
              </w:rPr>
            </w:pPr>
            <w:r w:rsidRPr="00673CDF">
              <w:rPr>
                <w:rFonts w:ascii="Times" w:hAnsi="Times"/>
                <w:color w:val="auto"/>
                <w:sz w:val="24"/>
                <w:szCs w:val="24"/>
              </w:rPr>
              <w:t>FHC</w:t>
            </w:r>
          </w:p>
        </w:tc>
        <w:tc>
          <w:tcPr>
            <w:tcW w:w="865" w:type="dxa"/>
          </w:tcPr>
          <w:p w14:paraId="36CFA02C" w14:textId="77777777" w:rsidR="00E56E1B" w:rsidRPr="00673CDF" w:rsidRDefault="00E56E1B" w:rsidP="007C5F6F">
            <w:pPr>
              <w:pStyle w:val="Normaljustificado"/>
              <w:spacing w:line="360" w:lineRule="auto"/>
              <w:cnfStyle w:val="000000000000" w:firstRow="0" w:lastRow="0" w:firstColumn="0" w:lastColumn="0" w:oddVBand="0" w:evenVBand="0" w:oddHBand="0" w:evenHBand="0" w:firstRowFirstColumn="0" w:firstRowLastColumn="0" w:lastRowFirstColumn="0" w:lastRowLastColumn="0"/>
              <w:rPr>
                <w:rFonts w:ascii="Times" w:hAnsi="Times"/>
                <w:color w:val="auto"/>
                <w:sz w:val="24"/>
                <w:szCs w:val="24"/>
              </w:rPr>
            </w:pPr>
            <w:r w:rsidRPr="00673CDF">
              <w:rPr>
                <w:rFonts w:ascii="Times" w:hAnsi="Times"/>
                <w:color w:val="auto"/>
                <w:sz w:val="24"/>
                <w:szCs w:val="24"/>
              </w:rPr>
              <w:t>1995</w:t>
            </w:r>
          </w:p>
        </w:tc>
        <w:tc>
          <w:tcPr>
            <w:tcW w:w="970" w:type="dxa"/>
          </w:tcPr>
          <w:p w14:paraId="56408E73" w14:textId="77777777" w:rsidR="00E56E1B" w:rsidRPr="00673CDF" w:rsidRDefault="00E56E1B"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0,547</w:t>
            </w:r>
          </w:p>
        </w:tc>
        <w:tc>
          <w:tcPr>
            <w:tcW w:w="969" w:type="dxa"/>
          </w:tcPr>
          <w:p w14:paraId="05A5C326" w14:textId="77777777" w:rsidR="00E56E1B" w:rsidRPr="00673CDF" w:rsidRDefault="00E56E1B"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0,545</w:t>
            </w:r>
          </w:p>
        </w:tc>
        <w:tc>
          <w:tcPr>
            <w:tcW w:w="970" w:type="dxa"/>
          </w:tcPr>
          <w:p w14:paraId="433C3576" w14:textId="77777777" w:rsidR="00E56E1B" w:rsidRPr="00673CDF" w:rsidRDefault="00E56E1B"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b/>
                <w:color w:val="auto"/>
              </w:rPr>
            </w:pPr>
            <w:r w:rsidRPr="00673CDF">
              <w:rPr>
                <w:rFonts w:ascii="Times" w:hAnsi="Times"/>
                <w:b/>
                <w:color w:val="auto"/>
              </w:rPr>
              <w:t>0,738</w:t>
            </w:r>
          </w:p>
        </w:tc>
        <w:tc>
          <w:tcPr>
            <w:tcW w:w="969" w:type="dxa"/>
          </w:tcPr>
          <w:p w14:paraId="77DBD398" w14:textId="77777777" w:rsidR="00E56E1B" w:rsidRPr="00673CDF" w:rsidRDefault="00E56E1B"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0,587</w:t>
            </w:r>
          </w:p>
        </w:tc>
        <w:tc>
          <w:tcPr>
            <w:tcW w:w="969" w:type="dxa"/>
          </w:tcPr>
          <w:p w14:paraId="4751655B" w14:textId="77777777" w:rsidR="00E56E1B" w:rsidRPr="00673CDF" w:rsidRDefault="00E56E1B"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0,586</w:t>
            </w:r>
          </w:p>
        </w:tc>
        <w:tc>
          <w:tcPr>
            <w:tcW w:w="969" w:type="dxa"/>
          </w:tcPr>
          <w:p w14:paraId="18AA26B5" w14:textId="77777777" w:rsidR="00E56E1B" w:rsidRPr="00673CDF" w:rsidRDefault="00E56E1B"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b/>
                <w:color w:val="auto"/>
              </w:rPr>
            </w:pPr>
            <w:r w:rsidRPr="00673CDF">
              <w:rPr>
                <w:rFonts w:ascii="Times" w:hAnsi="Times"/>
                <w:b/>
                <w:color w:val="auto"/>
              </w:rPr>
              <w:t>0,789</w:t>
            </w:r>
          </w:p>
        </w:tc>
        <w:tc>
          <w:tcPr>
            <w:tcW w:w="978" w:type="dxa"/>
          </w:tcPr>
          <w:p w14:paraId="529BAEA4" w14:textId="77777777" w:rsidR="00E56E1B" w:rsidRPr="00673CDF" w:rsidRDefault="00E56E1B"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b/>
                <w:color w:val="auto"/>
              </w:rPr>
            </w:pPr>
            <w:r w:rsidRPr="00673CDF">
              <w:rPr>
                <w:rFonts w:ascii="Times" w:hAnsi="Times"/>
                <w:b/>
                <w:color w:val="auto"/>
              </w:rPr>
              <w:t>0,599</w:t>
            </w:r>
          </w:p>
        </w:tc>
      </w:tr>
      <w:tr w:rsidR="00E56E1B" w:rsidRPr="00673CDF" w14:paraId="44FBCDD9" w14:textId="77777777" w:rsidTr="001D23E8">
        <w:trPr>
          <w:trHeight w:val="440"/>
        </w:trPr>
        <w:tc>
          <w:tcPr>
            <w:cnfStyle w:val="001000000000" w:firstRow="0" w:lastRow="0" w:firstColumn="1" w:lastColumn="0" w:oddVBand="0" w:evenVBand="0" w:oddHBand="0" w:evenHBand="0" w:firstRowFirstColumn="0" w:firstRowLastColumn="0" w:lastRowFirstColumn="0" w:lastRowLastColumn="0"/>
            <w:tcW w:w="1043" w:type="dxa"/>
            <w:vMerge/>
          </w:tcPr>
          <w:p w14:paraId="254FBDA1" w14:textId="77777777" w:rsidR="00E56E1B" w:rsidRPr="00673CDF" w:rsidRDefault="00E56E1B" w:rsidP="00673CDF">
            <w:pPr>
              <w:pStyle w:val="Normaljustificado"/>
              <w:spacing w:line="360" w:lineRule="auto"/>
              <w:jc w:val="left"/>
              <w:rPr>
                <w:rFonts w:ascii="Times" w:hAnsi="Times"/>
                <w:color w:val="auto"/>
                <w:sz w:val="24"/>
                <w:szCs w:val="24"/>
              </w:rPr>
            </w:pPr>
          </w:p>
        </w:tc>
        <w:tc>
          <w:tcPr>
            <w:tcW w:w="865" w:type="dxa"/>
          </w:tcPr>
          <w:p w14:paraId="7F2A8E0B" w14:textId="77777777" w:rsidR="00E56E1B" w:rsidRPr="00673CDF" w:rsidRDefault="00E56E1B" w:rsidP="007C5F6F">
            <w:pPr>
              <w:pStyle w:val="Normaljustificado"/>
              <w:spacing w:line="360" w:lineRule="auto"/>
              <w:cnfStyle w:val="000000000000" w:firstRow="0" w:lastRow="0" w:firstColumn="0" w:lastColumn="0" w:oddVBand="0" w:evenVBand="0" w:oddHBand="0" w:evenHBand="0" w:firstRowFirstColumn="0" w:firstRowLastColumn="0" w:lastRowFirstColumn="0" w:lastRowLastColumn="0"/>
              <w:rPr>
                <w:rFonts w:ascii="Times" w:hAnsi="Times"/>
                <w:color w:val="auto"/>
                <w:sz w:val="24"/>
                <w:szCs w:val="24"/>
              </w:rPr>
            </w:pPr>
            <w:r w:rsidRPr="00673CDF">
              <w:rPr>
                <w:rFonts w:ascii="Times" w:hAnsi="Times"/>
                <w:color w:val="auto"/>
                <w:sz w:val="24"/>
                <w:szCs w:val="24"/>
              </w:rPr>
              <w:t>1996</w:t>
            </w:r>
          </w:p>
        </w:tc>
        <w:tc>
          <w:tcPr>
            <w:tcW w:w="970" w:type="dxa"/>
          </w:tcPr>
          <w:p w14:paraId="1E9843EB" w14:textId="77777777" w:rsidR="00E56E1B" w:rsidRPr="00673CDF" w:rsidRDefault="00E56E1B"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0,541</w:t>
            </w:r>
          </w:p>
        </w:tc>
        <w:tc>
          <w:tcPr>
            <w:tcW w:w="969" w:type="dxa"/>
          </w:tcPr>
          <w:p w14:paraId="52725507" w14:textId="77777777" w:rsidR="00E56E1B" w:rsidRPr="00673CDF" w:rsidRDefault="00E56E1B"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0,545</w:t>
            </w:r>
          </w:p>
        </w:tc>
        <w:tc>
          <w:tcPr>
            <w:tcW w:w="970" w:type="dxa"/>
          </w:tcPr>
          <w:p w14:paraId="0734D266" w14:textId="77777777" w:rsidR="00E56E1B" w:rsidRPr="00673CDF" w:rsidRDefault="00E56E1B"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b/>
                <w:color w:val="auto"/>
              </w:rPr>
            </w:pPr>
            <w:r w:rsidRPr="00673CDF">
              <w:rPr>
                <w:rFonts w:ascii="Times" w:hAnsi="Times"/>
                <w:b/>
                <w:color w:val="auto"/>
              </w:rPr>
              <w:t>0,780</w:t>
            </w:r>
          </w:p>
        </w:tc>
        <w:tc>
          <w:tcPr>
            <w:tcW w:w="969" w:type="dxa"/>
          </w:tcPr>
          <w:p w14:paraId="10785944" w14:textId="77777777" w:rsidR="00E56E1B" w:rsidRPr="00673CDF" w:rsidRDefault="00E56E1B"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0,588</w:t>
            </w:r>
          </w:p>
        </w:tc>
        <w:tc>
          <w:tcPr>
            <w:tcW w:w="969" w:type="dxa"/>
          </w:tcPr>
          <w:p w14:paraId="740540BE" w14:textId="77777777" w:rsidR="00E56E1B" w:rsidRPr="00673CDF" w:rsidRDefault="00E56E1B"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0,580</w:t>
            </w:r>
          </w:p>
        </w:tc>
        <w:tc>
          <w:tcPr>
            <w:tcW w:w="969" w:type="dxa"/>
          </w:tcPr>
          <w:p w14:paraId="0891BE53" w14:textId="77777777" w:rsidR="00E56E1B" w:rsidRPr="00673CDF" w:rsidRDefault="00E56E1B"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b/>
                <w:color w:val="auto"/>
              </w:rPr>
            </w:pPr>
            <w:r w:rsidRPr="00673CDF">
              <w:rPr>
                <w:rFonts w:ascii="Times" w:hAnsi="Times"/>
                <w:b/>
                <w:color w:val="auto"/>
              </w:rPr>
              <w:t>0,815</w:t>
            </w:r>
          </w:p>
        </w:tc>
        <w:tc>
          <w:tcPr>
            <w:tcW w:w="978" w:type="dxa"/>
          </w:tcPr>
          <w:p w14:paraId="5A3F2F06" w14:textId="77777777" w:rsidR="00E56E1B" w:rsidRPr="00673CDF" w:rsidRDefault="00E56E1B"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b/>
                <w:color w:val="auto"/>
              </w:rPr>
            </w:pPr>
            <w:r w:rsidRPr="00673CDF">
              <w:rPr>
                <w:rFonts w:ascii="Times" w:hAnsi="Times"/>
                <w:b/>
                <w:color w:val="auto"/>
              </w:rPr>
              <w:t>0,600</w:t>
            </w:r>
          </w:p>
        </w:tc>
      </w:tr>
      <w:tr w:rsidR="00E56E1B" w:rsidRPr="00673CDF" w14:paraId="6CA2035A" w14:textId="77777777" w:rsidTr="001D23E8">
        <w:trPr>
          <w:trHeight w:val="440"/>
        </w:trPr>
        <w:tc>
          <w:tcPr>
            <w:cnfStyle w:val="001000000000" w:firstRow="0" w:lastRow="0" w:firstColumn="1" w:lastColumn="0" w:oddVBand="0" w:evenVBand="0" w:oddHBand="0" w:evenHBand="0" w:firstRowFirstColumn="0" w:firstRowLastColumn="0" w:lastRowFirstColumn="0" w:lastRowLastColumn="0"/>
            <w:tcW w:w="1043" w:type="dxa"/>
            <w:vMerge/>
          </w:tcPr>
          <w:p w14:paraId="0B14E16A" w14:textId="77777777" w:rsidR="00E56E1B" w:rsidRPr="00673CDF" w:rsidRDefault="00E56E1B" w:rsidP="00673CDF">
            <w:pPr>
              <w:pStyle w:val="Normaljustificado"/>
              <w:spacing w:line="360" w:lineRule="auto"/>
              <w:jc w:val="left"/>
              <w:rPr>
                <w:rFonts w:ascii="Times" w:hAnsi="Times"/>
                <w:color w:val="auto"/>
                <w:sz w:val="24"/>
                <w:szCs w:val="24"/>
              </w:rPr>
            </w:pPr>
          </w:p>
        </w:tc>
        <w:tc>
          <w:tcPr>
            <w:tcW w:w="865" w:type="dxa"/>
          </w:tcPr>
          <w:p w14:paraId="3B186258" w14:textId="77777777" w:rsidR="00E56E1B" w:rsidRPr="00673CDF" w:rsidRDefault="00E56E1B" w:rsidP="007C5F6F">
            <w:pPr>
              <w:pStyle w:val="Normaljustificado"/>
              <w:spacing w:line="360" w:lineRule="auto"/>
              <w:cnfStyle w:val="000000000000" w:firstRow="0" w:lastRow="0" w:firstColumn="0" w:lastColumn="0" w:oddVBand="0" w:evenVBand="0" w:oddHBand="0" w:evenHBand="0" w:firstRowFirstColumn="0" w:firstRowLastColumn="0" w:lastRowFirstColumn="0" w:lastRowLastColumn="0"/>
              <w:rPr>
                <w:rFonts w:ascii="Times" w:hAnsi="Times"/>
                <w:color w:val="auto"/>
                <w:sz w:val="24"/>
                <w:szCs w:val="24"/>
              </w:rPr>
            </w:pPr>
            <w:r w:rsidRPr="00673CDF">
              <w:rPr>
                <w:rFonts w:ascii="Times" w:hAnsi="Times"/>
                <w:color w:val="auto"/>
                <w:sz w:val="24"/>
                <w:szCs w:val="24"/>
              </w:rPr>
              <w:t>1997</w:t>
            </w:r>
          </w:p>
        </w:tc>
        <w:tc>
          <w:tcPr>
            <w:tcW w:w="970" w:type="dxa"/>
          </w:tcPr>
          <w:p w14:paraId="3181A4B5" w14:textId="77777777" w:rsidR="00E56E1B" w:rsidRPr="00673CDF" w:rsidRDefault="00E56E1B"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0,538</w:t>
            </w:r>
          </w:p>
        </w:tc>
        <w:tc>
          <w:tcPr>
            <w:tcW w:w="969" w:type="dxa"/>
          </w:tcPr>
          <w:p w14:paraId="55988C51" w14:textId="77777777" w:rsidR="00E56E1B" w:rsidRPr="00673CDF" w:rsidRDefault="00E56E1B"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0,547</w:t>
            </w:r>
          </w:p>
        </w:tc>
        <w:tc>
          <w:tcPr>
            <w:tcW w:w="970" w:type="dxa"/>
          </w:tcPr>
          <w:p w14:paraId="584BF417" w14:textId="77777777" w:rsidR="00E56E1B" w:rsidRPr="00673CDF" w:rsidRDefault="00E56E1B"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b/>
                <w:color w:val="auto"/>
              </w:rPr>
            </w:pPr>
            <w:r w:rsidRPr="00673CDF">
              <w:rPr>
                <w:rFonts w:ascii="Times" w:hAnsi="Times"/>
                <w:b/>
                <w:color w:val="auto"/>
              </w:rPr>
              <w:t>0,739</w:t>
            </w:r>
          </w:p>
        </w:tc>
        <w:tc>
          <w:tcPr>
            <w:tcW w:w="969" w:type="dxa"/>
          </w:tcPr>
          <w:p w14:paraId="74DFE913" w14:textId="77777777" w:rsidR="00E56E1B" w:rsidRPr="00673CDF" w:rsidRDefault="00E56E1B"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0,591</w:t>
            </w:r>
          </w:p>
        </w:tc>
        <w:tc>
          <w:tcPr>
            <w:tcW w:w="969" w:type="dxa"/>
          </w:tcPr>
          <w:p w14:paraId="4CFD6C1F" w14:textId="77777777" w:rsidR="00E56E1B" w:rsidRPr="00673CDF" w:rsidRDefault="00E56E1B"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0,585</w:t>
            </w:r>
          </w:p>
        </w:tc>
        <w:tc>
          <w:tcPr>
            <w:tcW w:w="969" w:type="dxa"/>
          </w:tcPr>
          <w:p w14:paraId="3129C298" w14:textId="77777777" w:rsidR="00E56E1B" w:rsidRPr="00673CDF" w:rsidRDefault="00E56E1B"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b/>
                <w:color w:val="auto"/>
              </w:rPr>
            </w:pPr>
            <w:r w:rsidRPr="00673CDF">
              <w:rPr>
                <w:rFonts w:ascii="Times" w:hAnsi="Times"/>
                <w:b/>
                <w:color w:val="auto"/>
              </w:rPr>
              <w:t>0,769</w:t>
            </w:r>
          </w:p>
        </w:tc>
        <w:tc>
          <w:tcPr>
            <w:tcW w:w="978" w:type="dxa"/>
          </w:tcPr>
          <w:p w14:paraId="2A1B1930" w14:textId="77777777" w:rsidR="00E56E1B" w:rsidRPr="00673CDF" w:rsidRDefault="00E56E1B"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b/>
                <w:color w:val="auto"/>
              </w:rPr>
            </w:pPr>
            <w:r w:rsidRPr="00673CDF">
              <w:rPr>
                <w:rFonts w:ascii="Times" w:hAnsi="Times"/>
                <w:b/>
                <w:color w:val="auto"/>
              </w:rPr>
              <w:t>0,600</w:t>
            </w:r>
          </w:p>
        </w:tc>
      </w:tr>
      <w:tr w:rsidR="00E56E1B" w:rsidRPr="00673CDF" w14:paraId="1F81B897" w14:textId="77777777" w:rsidTr="001D23E8">
        <w:trPr>
          <w:trHeight w:val="440"/>
        </w:trPr>
        <w:tc>
          <w:tcPr>
            <w:cnfStyle w:val="001000000000" w:firstRow="0" w:lastRow="0" w:firstColumn="1" w:lastColumn="0" w:oddVBand="0" w:evenVBand="0" w:oddHBand="0" w:evenHBand="0" w:firstRowFirstColumn="0" w:firstRowLastColumn="0" w:lastRowFirstColumn="0" w:lastRowLastColumn="0"/>
            <w:tcW w:w="1043" w:type="dxa"/>
            <w:vMerge/>
          </w:tcPr>
          <w:p w14:paraId="1E678763" w14:textId="77777777" w:rsidR="00E56E1B" w:rsidRPr="00673CDF" w:rsidRDefault="00E56E1B" w:rsidP="00673CDF">
            <w:pPr>
              <w:pStyle w:val="Normaljustificado"/>
              <w:spacing w:line="360" w:lineRule="auto"/>
              <w:jc w:val="left"/>
              <w:rPr>
                <w:rFonts w:ascii="Times" w:hAnsi="Times"/>
                <w:color w:val="auto"/>
                <w:sz w:val="24"/>
                <w:szCs w:val="24"/>
              </w:rPr>
            </w:pPr>
          </w:p>
        </w:tc>
        <w:tc>
          <w:tcPr>
            <w:tcW w:w="865" w:type="dxa"/>
          </w:tcPr>
          <w:p w14:paraId="04C1A5D4" w14:textId="77777777" w:rsidR="00E56E1B" w:rsidRPr="00673CDF" w:rsidRDefault="00E56E1B" w:rsidP="007C5F6F">
            <w:pPr>
              <w:pStyle w:val="Normaljustificado"/>
              <w:spacing w:line="360" w:lineRule="auto"/>
              <w:cnfStyle w:val="000000000000" w:firstRow="0" w:lastRow="0" w:firstColumn="0" w:lastColumn="0" w:oddVBand="0" w:evenVBand="0" w:oddHBand="0" w:evenHBand="0" w:firstRowFirstColumn="0" w:firstRowLastColumn="0" w:lastRowFirstColumn="0" w:lastRowLastColumn="0"/>
              <w:rPr>
                <w:rFonts w:ascii="Times" w:hAnsi="Times"/>
                <w:color w:val="auto"/>
                <w:sz w:val="24"/>
                <w:szCs w:val="24"/>
              </w:rPr>
            </w:pPr>
            <w:r w:rsidRPr="00673CDF">
              <w:rPr>
                <w:rFonts w:ascii="Times" w:hAnsi="Times"/>
                <w:color w:val="auto"/>
                <w:sz w:val="24"/>
                <w:szCs w:val="24"/>
              </w:rPr>
              <w:t>1998</w:t>
            </w:r>
          </w:p>
        </w:tc>
        <w:tc>
          <w:tcPr>
            <w:tcW w:w="970" w:type="dxa"/>
          </w:tcPr>
          <w:p w14:paraId="140366B9" w14:textId="77777777" w:rsidR="00E56E1B" w:rsidRPr="00673CDF" w:rsidRDefault="00E56E1B"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0,537</w:t>
            </w:r>
          </w:p>
        </w:tc>
        <w:tc>
          <w:tcPr>
            <w:tcW w:w="969" w:type="dxa"/>
          </w:tcPr>
          <w:p w14:paraId="61887D3B" w14:textId="77777777" w:rsidR="00E56E1B" w:rsidRPr="00673CDF" w:rsidRDefault="00E56E1B"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0,555</w:t>
            </w:r>
          </w:p>
        </w:tc>
        <w:tc>
          <w:tcPr>
            <w:tcW w:w="970" w:type="dxa"/>
          </w:tcPr>
          <w:p w14:paraId="4C3918D9" w14:textId="77777777" w:rsidR="00E56E1B" w:rsidRPr="00673CDF" w:rsidRDefault="00E56E1B"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b/>
                <w:color w:val="auto"/>
              </w:rPr>
            </w:pPr>
            <w:r w:rsidRPr="00673CDF">
              <w:rPr>
                <w:rFonts w:ascii="Times" w:hAnsi="Times"/>
                <w:b/>
                <w:color w:val="auto"/>
              </w:rPr>
              <w:t>0,738</w:t>
            </w:r>
          </w:p>
        </w:tc>
        <w:tc>
          <w:tcPr>
            <w:tcW w:w="969" w:type="dxa"/>
          </w:tcPr>
          <w:p w14:paraId="457B238F" w14:textId="77777777" w:rsidR="00E56E1B" w:rsidRPr="00673CDF" w:rsidRDefault="00E56E1B"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0,585</w:t>
            </w:r>
          </w:p>
        </w:tc>
        <w:tc>
          <w:tcPr>
            <w:tcW w:w="969" w:type="dxa"/>
          </w:tcPr>
          <w:p w14:paraId="200FFFEA" w14:textId="77777777" w:rsidR="00E56E1B" w:rsidRPr="00673CDF" w:rsidRDefault="00E56E1B"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b/>
                <w:color w:val="auto"/>
              </w:rPr>
            </w:pPr>
            <w:r w:rsidRPr="00673CDF">
              <w:rPr>
                <w:rFonts w:ascii="Times" w:hAnsi="Times"/>
                <w:b/>
                <w:color w:val="auto"/>
              </w:rPr>
              <w:t>0,599</w:t>
            </w:r>
          </w:p>
        </w:tc>
        <w:tc>
          <w:tcPr>
            <w:tcW w:w="969" w:type="dxa"/>
          </w:tcPr>
          <w:p w14:paraId="20D97B1E" w14:textId="77777777" w:rsidR="00E56E1B" w:rsidRPr="00673CDF" w:rsidRDefault="00E56E1B"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b/>
                <w:color w:val="auto"/>
              </w:rPr>
            </w:pPr>
            <w:r w:rsidRPr="00673CDF">
              <w:rPr>
                <w:rFonts w:ascii="Times" w:hAnsi="Times"/>
                <w:b/>
                <w:color w:val="auto"/>
              </w:rPr>
              <w:t>0,764</w:t>
            </w:r>
          </w:p>
        </w:tc>
        <w:tc>
          <w:tcPr>
            <w:tcW w:w="978" w:type="dxa"/>
          </w:tcPr>
          <w:p w14:paraId="5254EFD6" w14:textId="77777777" w:rsidR="00E56E1B" w:rsidRPr="00673CDF" w:rsidRDefault="00E56E1B"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b/>
                <w:color w:val="auto"/>
              </w:rPr>
            </w:pPr>
            <w:r w:rsidRPr="00673CDF">
              <w:rPr>
                <w:rFonts w:ascii="Times" w:hAnsi="Times"/>
                <w:b/>
                <w:color w:val="auto"/>
              </w:rPr>
              <w:t>0,598</w:t>
            </w:r>
          </w:p>
        </w:tc>
      </w:tr>
      <w:tr w:rsidR="00E56E1B" w:rsidRPr="00673CDF" w14:paraId="0F927B0A" w14:textId="77777777" w:rsidTr="001D23E8">
        <w:trPr>
          <w:trHeight w:val="440"/>
        </w:trPr>
        <w:tc>
          <w:tcPr>
            <w:cnfStyle w:val="001000000000" w:firstRow="0" w:lastRow="0" w:firstColumn="1" w:lastColumn="0" w:oddVBand="0" w:evenVBand="0" w:oddHBand="0" w:evenHBand="0" w:firstRowFirstColumn="0" w:firstRowLastColumn="0" w:lastRowFirstColumn="0" w:lastRowLastColumn="0"/>
            <w:tcW w:w="1043" w:type="dxa"/>
            <w:vMerge/>
          </w:tcPr>
          <w:p w14:paraId="4E933625" w14:textId="77777777" w:rsidR="00E56E1B" w:rsidRPr="00673CDF" w:rsidRDefault="00E56E1B" w:rsidP="00673CDF">
            <w:pPr>
              <w:pStyle w:val="Normaljustificado"/>
              <w:spacing w:line="360" w:lineRule="auto"/>
              <w:jc w:val="left"/>
              <w:rPr>
                <w:rFonts w:ascii="Times" w:hAnsi="Times"/>
                <w:color w:val="auto"/>
                <w:sz w:val="24"/>
                <w:szCs w:val="24"/>
              </w:rPr>
            </w:pPr>
          </w:p>
        </w:tc>
        <w:tc>
          <w:tcPr>
            <w:tcW w:w="865" w:type="dxa"/>
          </w:tcPr>
          <w:p w14:paraId="0091199D" w14:textId="77777777" w:rsidR="00E56E1B" w:rsidRPr="00673CDF" w:rsidRDefault="00E56E1B" w:rsidP="007C5F6F">
            <w:pPr>
              <w:pStyle w:val="Normaljustificado"/>
              <w:spacing w:line="360" w:lineRule="auto"/>
              <w:cnfStyle w:val="000000000000" w:firstRow="0" w:lastRow="0" w:firstColumn="0" w:lastColumn="0" w:oddVBand="0" w:evenVBand="0" w:oddHBand="0" w:evenHBand="0" w:firstRowFirstColumn="0" w:firstRowLastColumn="0" w:lastRowFirstColumn="0" w:lastRowLastColumn="0"/>
              <w:rPr>
                <w:rFonts w:ascii="Times" w:hAnsi="Times"/>
                <w:color w:val="auto"/>
                <w:sz w:val="24"/>
                <w:szCs w:val="24"/>
              </w:rPr>
            </w:pPr>
            <w:r w:rsidRPr="00673CDF">
              <w:rPr>
                <w:rFonts w:ascii="Times" w:hAnsi="Times"/>
                <w:color w:val="auto"/>
                <w:sz w:val="24"/>
                <w:szCs w:val="24"/>
              </w:rPr>
              <w:t>1999</w:t>
            </w:r>
          </w:p>
        </w:tc>
        <w:tc>
          <w:tcPr>
            <w:tcW w:w="970" w:type="dxa"/>
          </w:tcPr>
          <w:p w14:paraId="59904C4A" w14:textId="77777777" w:rsidR="00E56E1B" w:rsidRPr="00673CDF" w:rsidRDefault="00E56E1B"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0,539</w:t>
            </w:r>
          </w:p>
        </w:tc>
        <w:tc>
          <w:tcPr>
            <w:tcW w:w="969" w:type="dxa"/>
          </w:tcPr>
          <w:p w14:paraId="0FCB8BD4" w14:textId="77777777" w:rsidR="00E56E1B" w:rsidRPr="00673CDF" w:rsidRDefault="00E56E1B"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0,568</w:t>
            </w:r>
          </w:p>
        </w:tc>
        <w:tc>
          <w:tcPr>
            <w:tcW w:w="970" w:type="dxa"/>
          </w:tcPr>
          <w:p w14:paraId="0EBFF3E6" w14:textId="77777777" w:rsidR="00E56E1B" w:rsidRPr="00673CDF" w:rsidRDefault="00E56E1B"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b/>
                <w:color w:val="auto"/>
              </w:rPr>
            </w:pPr>
            <w:r w:rsidRPr="00673CDF">
              <w:rPr>
                <w:rFonts w:ascii="Times" w:hAnsi="Times"/>
                <w:b/>
                <w:color w:val="auto"/>
              </w:rPr>
              <w:t>0,683</w:t>
            </w:r>
          </w:p>
        </w:tc>
        <w:tc>
          <w:tcPr>
            <w:tcW w:w="969" w:type="dxa"/>
          </w:tcPr>
          <w:p w14:paraId="74FC74A6" w14:textId="77777777" w:rsidR="00E56E1B" w:rsidRPr="00673CDF" w:rsidRDefault="00E56E1B"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0,579</w:t>
            </w:r>
          </w:p>
        </w:tc>
        <w:tc>
          <w:tcPr>
            <w:tcW w:w="969" w:type="dxa"/>
          </w:tcPr>
          <w:p w14:paraId="14140A0E" w14:textId="77777777" w:rsidR="00E56E1B" w:rsidRPr="00673CDF" w:rsidRDefault="00E56E1B"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b/>
                <w:color w:val="auto"/>
              </w:rPr>
            </w:pPr>
            <w:r w:rsidRPr="00673CDF">
              <w:rPr>
                <w:rFonts w:ascii="Times" w:hAnsi="Times"/>
                <w:b/>
                <w:color w:val="auto"/>
              </w:rPr>
              <w:t>0,603</w:t>
            </w:r>
          </w:p>
        </w:tc>
        <w:tc>
          <w:tcPr>
            <w:tcW w:w="969" w:type="dxa"/>
          </w:tcPr>
          <w:p w14:paraId="5FD27767" w14:textId="77777777" w:rsidR="00E56E1B" w:rsidRPr="00673CDF" w:rsidRDefault="00E56E1B"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b/>
                <w:color w:val="auto"/>
              </w:rPr>
            </w:pPr>
            <w:r w:rsidRPr="00673CDF">
              <w:rPr>
                <w:rFonts w:ascii="Times" w:hAnsi="Times"/>
                <w:b/>
                <w:color w:val="auto"/>
              </w:rPr>
              <w:t>0,695</w:t>
            </w:r>
          </w:p>
        </w:tc>
        <w:tc>
          <w:tcPr>
            <w:tcW w:w="978" w:type="dxa"/>
          </w:tcPr>
          <w:p w14:paraId="283B8CBA" w14:textId="77777777" w:rsidR="00E56E1B" w:rsidRPr="00673CDF" w:rsidRDefault="00E56E1B"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b/>
                <w:color w:val="auto"/>
              </w:rPr>
            </w:pPr>
            <w:r w:rsidRPr="00673CDF">
              <w:rPr>
                <w:rFonts w:ascii="Times" w:hAnsi="Times"/>
                <w:b/>
                <w:color w:val="auto"/>
              </w:rPr>
              <w:t>0,592</w:t>
            </w:r>
          </w:p>
        </w:tc>
      </w:tr>
      <w:tr w:rsidR="00E56E1B" w:rsidRPr="00673CDF" w14:paraId="6F2152EA" w14:textId="77777777" w:rsidTr="001D23E8">
        <w:trPr>
          <w:trHeight w:val="440"/>
        </w:trPr>
        <w:tc>
          <w:tcPr>
            <w:cnfStyle w:val="001000000000" w:firstRow="0" w:lastRow="0" w:firstColumn="1" w:lastColumn="0" w:oddVBand="0" w:evenVBand="0" w:oddHBand="0" w:evenHBand="0" w:firstRowFirstColumn="0" w:firstRowLastColumn="0" w:lastRowFirstColumn="0" w:lastRowLastColumn="0"/>
            <w:tcW w:w="1043" w:type="dxa"/>
            <w:vMerge/>
          </w:tcPr>
          <w:p w14:paraId="0186DC58" w14:textId="77777777" w:rsidR="00E56E1B" w:rsidRPr="00673CDF" w:rsidRDefault="00E56E1B" w:rsidP="00673CDF">
            <w:pPr>
              <w:pStyle w:val="Normaljustificado"/>
              <w:spacing w:line="360" w:lineRule="auto"/>
              <w:jc w:val="left"/>
              <w:rPr>
                <w:rFonts w:ascii="Times" w:hAnsi="Times"/>
                <w:color w:val="auto"/>
                <w:sz w:val="24"/>
                <w:szCs w:val="24"/>
              </w:rPr>
            </w:pPr>
          </w:p>
        </w:tc>
        <w:tc>
          <w:tcPr>
            <w:tcW w:w="865" w:type="dxa"/>
          </w:tcPr>
          <w:p w14:paraId="2DBFC7CE" w14:textId="77777777" w:rsidR="00E56E1B" w:rsidRPr="00673CDF" w:rsidRDefault="00E56E1B" w:rsidP="007C5F6F">
            <w:pPr>
              <w:pStyle w:val="Normaljustificado"/>
              <w:spacing w:line="360" w:lineRule="auto"/>
              <w:cnfStyle w:val="000000000000" w:firstRow="0" w:lastRow="0" w:firstColumn="0" w:lastColumn="0" w:oddVBand="0" w:evenVBand="0" w:oddHBand="0" w:evenHBand="0" w:firstRowFirstColumn="0" w:firstRowLastColumn="0" w:lastRowFirstColumn="0" w:lastRowLastColumn="0"/>
              <w:rPr>
                <w:rFonts w:ascii="Times" w:hAnsi="Times"/>
                <w:color w:val="auto"/>
                <w:sz w:val="24"/>
                <w:szCs w:val="24"/>
              </w:rPr>
            </w:pPr>
            <w:r w:rsidRPr="00673CDF">
              <w:rPr>
                <w:rFonts w:ascii="Times" w:hAnsi="Times"/>
                <w:color w:val="auto"/>
                <w:sz w:val="24"/>
                <w:szCs w:val="24"/>
              </w:rPr>
              <w:t>2001</w:t>
            </w:r>
          </w:p>
        </w:tc>
        <w:tc>
          <w:tcPr>
            <w:tcW w:w="970" w:type="dxa"/>
          </w:tcPr>
          <w:p w14:paraId="3160E748" w14:textId="77777777" w:rsidR="00E56E1B" w:rsidRPr="00673CDF" w:rsidRDefault="00E56E1B"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0,519</w:t>
            </w:r>
          </w:p>
        </w:tc>
        <w:tc>
          <w:tcPr>
            <w:tcW w:w="969" w:type="dxa"/>
          </w:tcPr>
          <w:p w14:paraId="6D957208" w14:textId="77777777" w:rsidR="00E56E1B" w:rsidRPr="00673CDF" w:rsidRDefault="00E56E1B"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0,570</w:t>
            </w:r>
          </w:p>
        </w:tc>
        <w:tc>
          <w:tcPr>
            <w:tcW w:w="970" w:type="dxa"/>
          </w:tcPr>
          <w:p w14:paraId="1944A04C" w14:textId="77777777" w:rsidR="00E56E1B" w:rsidRPr="00673CDF" w:rsidRDefault="00E56E1B"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b/>
                <w:color w:val="auto"/>
              </w:rPr>
            </w:pPr>
            <w:r w:rsidRPr="00673CDF">
              <w:rPr>
                <w:rFonts w:ascii="Times" w:hAnsi="Times"/>
                <w:b/>
                <w:color w:val="auto"/>
              </w:rPr>
              <w:t>0,623</w:t>
            </w:r>
          </w:p>
        </w:tc>
        <w:tc>
          <w:tcPr>
            <w:tcW w:w="969" w:type="dxa"/>
          </w:tcPr>
          <w:p w14:paraId="78C63762" w14:textId="77777777" w:rsidR="00E56E1B" w:rsidRPr="00673CDF" w:rsidRDefault="00E56E1B"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0,581</w:t>
            </w:r>
          </w:p>
        </w:tc>
        <w:tc>
          <w:tcPr>
            <w:tcW w:w="969" w:type="dxa"/>
          </w:tcPr>
          <w:p w14:paraId="67479825" w14:textId="77777777" w:rsidR="00E56E1B" w:rsidRPr="00673CDF" w:rsidRDefault="00E56E1B"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b/>
                <w:color w:val="auto"/>
              </w:rPr>
            </w:pPr>
            <w:r w:rsidRPr="00673CDF">
              <w:rPr>
                <w:rFonts w:ascii="Times" w:hAnsi="Times"/>
                <w:b/>
                <w:color w:val="auto"/>
              </w:rPr>
              <w:t>0,603</w:t>
            </w:r>
          </w:p>
        </w:tc>
        <w:tc>
          <w:tcPr>
            <w:tcW w:w="969" w:type="dxa"/>
          </w:tcPr>
          <w:p w14:paraId="40A4B2DC" w14:textId="77777777" w:rsidR="00E56E1B" w:rsidRPr="00673CDF" w:rsidRDefault="00E56E1B"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0,539</w:t>
            </w:r>
          </w:p>
        </w:tc>
        <w:tc>
          <w:tcPr>
            <w:tcW w:w="978" w:type="dxa"/>
          </w:tcPr>
          <w:p w14:paraId="096E7F96" w14:textId="77777777" w:rsidR="00E56E1B" w:rsidRPr="00673CDF" w:rsidRDefault="00E56E1B"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b/>
                <w:color w:val="auto"/>
              </w:rPr>
            </w:pPr>
            <w:r w:rsidRPr="00673CDF">
              <w:rPr>
                <w:rFonts w:ascii="Times" w:hAnsi="Times"/>
                <w:b/>
                <w:color w:val="auto"/>
              </w:rPr>
              <w:t>0,594</w:t>
            </w:r>
          </w:p>
        </w:tc>
      </w:tr>
      <w:tr w:rsidR="00E56E1B" w:rsidRPr="00673CDF" w14:paraId="32AF9FA4" w14:textId="77777777" w:rsidTr="001D23E8">
        <w:trPr>
          <w:trHeight w:val="440"/>
        </w:trPr>
        <w:tc>
          <w:tcPr>
            <w:cnfStyle w:val="001000000000" w:firstRow="0" w:lastRow="0" w:firstColumn="1" w:lastColumn="0" w:oddVBand="0" w:evenVBand="0" w:oddHBand="0" w:evenHBand="0" w:firstRowFirstColumn="0" w:firstRowLastColumn="0" w:lastRowFirstColumn="0" w:lastRowLastColumn="0"/>
            <w:tcW w:w="1043" w:type="dxa"/>
            <w:vMerge/>
          </w:tcPr>
          <w:p w14:paraId="6C76C867" w14:textId="77777777" w:rsidR="00E56E1B" w:rsidRPr="00673CDF" w:rsidRDefault="00E56E1B" w:rsidP="00673CDF">
            <w:pPr>
              <w:pStyle w:val="Normaljustificado"/>
              <w:spacing w:line="360" w:lineRule="auto"/>
              <w:jc w:val="left"/>
              <w:rPr>
                <w:rFonts w:ascii="Times" w:hAnsi="Times"/>
                <w:color w:val="auto"/>
                <w:sz w:val="24"/>
                <w:szCs w:val="24"/>
              </w:rPr>
            </w:pPr>
          </w:p>
        </w:tc>
        <w:tc>
          <w:tcPr>
            <w:tcW w:w="865" w:type="dxa"/>
          </w:tcPr>
          <w:p w14:paraId="23F2F8C0" w14:textId="77777777" w:rsidR="00E56E1B" w:rsidRPr="00673CDF" w:rsidRDefault="00E56E1B" w:rsidP="007C5F6F">
            <w:pPr>
              <w:pStyle w:val="Normaljustificado"/>
              <w:spacing w:line="360" w:lineRule="auto"/>
              <w:cnfStyle w:val="000000000000" w:firstRow="0" w:lastRow="0" w:firstColumn="0" w:lastColumn="0" w:oddVBand="0" w:evenVBand="0" w:oddHBand="0" w:evenHBand="0" w:firstRowFirstColumn="0" w:firstRowLastColumn="0" w:lastRowFirstColumn="0" w:lastRowLastColumn="0"/>
              <w:rPr>
                <w:rFonts w:ascii="Times" w:hAnsi="Times"/>
                <w:color w:val="auto"/>
                <w:sz w:val="24"/>
                <w:szCs w:val="24"/>
              </w:rPr>
            </w:pPr>
            <w:r w:rsidRPr="00673CDF">
              <w:rPr>
                <w:rFonts w:ascii="Times" w:hAnsi="Times"/>
                <w:color w:val="auto"/>
                <w:sz w:val="24"/>
                <w:szCs w:val="24"/>
              </w:rPr>
              <w:t>2002</w:t>
            </w:r>
          </w:p>
        </w:tc>
        <w:tc>
          <w:tcPr>
            <w:tcW w:w="970" w:type="dxa"/>
          </w:tcPr>
          <w:p w14:paraId="3B3DB5CB" w14:textId="77777777" w:rsidR="00E56E1B" w:rsidRPr="00673CDF" w:rsidRDefault="00E56E1B"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0,505</w:t>
            </w:r>
          </w:p>
        </w:tc>
        <w:tc>
          <w:tcPr>
            <w:tcW w:w="969" w:type="dxa"/>
          </w:tcPr>
          <w:p w14:paraId="4973F0A2" w14:textId="77777777" w:rsidR="00E56E1B" w:rsidRPr="00673CDF" w:rsidRDefault="00E56E1B"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0,549</w:t>
            </w:r>
          </w:p>
        </w:tc>
        <w:tc>
          <w:tcPr>
            <w:tcW w:w="970" w:type="dxa"/>
          </w:tcPr>
          <w:p w14:paraId="7FE3400E" w14:textId="77777777" w:rsidR="00E56E1B" w:rsidRPr="00673CDF" w:rsidRDefault="00E56E1B"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0,435</w:t>
            </w:r>
          </w:p>
        </w:tc>
        <w:tc>
          <w:tcPr>
            <w:tcW w:w="969" w:type="dxa"/>
          </w:tcPr>
          <w:p w14:paraId="4C1D44AF" w14:textId="77777777" w:rsidR="00E56E1B" w:rsidRPr="00673CDF" w:rsidRDefault="00E56E1B"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0,575</w:t>
            </w:r>
          </w:p>
        </w:tc>
        <w:tc>
          <w:tcPr>
            <w:tcW w:w="969" w:type="dxa"/>
          </w:tcPr>
          <w:p w14:paraId="19E0C11F" w14:textId="77777777" w:rsidR="00E56E1B" w:rsidRPr="00673CDF" w:rsidRDefault="00E56E1B"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b/>
                <w:color w:val="auto"/>
              </w:rPr>
            </w:pPr>
            <w:r w:rsidRPr="00673CDF">
              <w:rPr>
                <w:rFonts w:ascii="Times" w:hAnsi="Times"/>
                <w:b/>
                <w:color w:val="auto"/>
              </w:rPr>
              <w:t>0,592</w:t>
            </w:r>
          </w:p>
        </w:tc>
        <w:tc>
          <w:tcPr>
            <w:tcW w:w="969" w:type="dxa"/>
          </w:tcPr>
          <w:p w14:paraId="5E5D8A0B" w14:textId="77777777" w:rsidR="00E56E1B" w:rsidRPr="00673CDF" w:rsidRDefault="00E56E1B"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0,512</w:t>
            </w:r>
          </w:p>
        </w:tc>
        <w:tc>
          <w:tcPr>
            <w:tcW w:w="978" w:type="dxa"/>
          </w:tcPr>
          <w:p w14:paraId="4585A249" w14:textId="77777777" w:rsidR="00E56E1B" w:rsidRPr="00673CDF" w:rsidRDefault="00E56E1B"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b/>
                <w:color w:val="auto"/>
              </w:rPr>
            </w:pPr>
            <w:r w:rsidRPr="00673CDF">
              <w:rPr>
                <w:rFonts w:ascii="Times" w:hAnsi="Times"/>
                <w:b/>
                <w:color w:val="auto"/>
              </w:rPr>
              <w:t>0,587</w:t>
            </w:r>
          </w:p>
        </w:tc>
      </w:tr>
      <w:tr w:rsidR="00902882" w:rsidRPr="00673CDF" w14:paraId="14AE2130" w14:textId="77777777" w:rsidTr="001D23E8">
        <w:trPr>
          <w:trHeight w:val="440"/>
        </w:trPr>
        <w:tc>
          <w:tcPr>
            <w:cnfStyle w:val="001000000000" w:firstRow="0" w:lastRow="0" w:firstColumn="1" w:lastColumn="0" w:oddVBand="0" w:evenVBand="0" w:oddHBand="0" w:evenHBand="0" w:firstRowFirstColumn="0" w:firstRowLastColumn="0" w:lastRowFirstColumn="0" w:lastRowLastColumn="0"/>
            <w:tcW w:w="1043" w:type="dxa"/>
            <w:vMerge w:val="restart"/>
          </w:tcPr>
          <w:p w14:paraId="168C173E" w14:textId="77777777" w:rsidR="00902882" w:rsidRPr="00673CDF" w:rsidRDefault="00902882" w:rsidP="00673CDF">
            <w:pPr>
              <w:pStyle w:val="Normaljustificado"/>
              <w:spacing w:line="360" w:lineRule="auto"/>
              <w:jc w:val="left"/>
              <w:rPr>
                <w:rFonts w:ascii="Times" w:hAnsi="Times"/>
                <w:color w:val="auto"/>
                <w:sz w:val="24"/>
                <w:szCs w:val="24"/>
              </w:rPr>
            </w:pPr>
            <w:r w:rsidRPr="00673CDF">
              <w:rPr>
                <w:rFonts w:ascii="Times" w:hAnsi="Times"/>
                <w:color w:val="auto"/>
                <w:sz w:val="24"/>
                <w:szCs w:val="24"/>
              </w:rPr>
              <w:t>LULA</w:t>
            </w:r>
          </w:p>
        </w:tc>
        <w:tc>
          <w:tcPr>
            <w:tcW w:w="865" w:type="dxa"/>
          </w:tcPr>
          <w:p w14:paraId="17647600" w14:textId="77777777" w:rsidR="00902882" w:rsidRPr="00673CDF" w:rsidRDefault="00902882" w:rsidP="007C5F6F">
            <w:pPr>
              <w:pStyle w:val="Normaljustificado"/>
              <w:spacing w:line="360" w:lineRule="auto"/>
              <w:cnfStyle w:val="000000000000" w:firstRow="0" w:lastRow="0" w:firstColumn="0" w:lastColumn="0" w:oddVBand="0" w:evenVBand="0" w:oddHBand="0" w:evenHBand="0" w:firstRowFirstColumn="0" w:firstRowLastColumn="0" w:lastRowFirstColumn="0" w:lastRowLastColumn="0"/>
              <w:rPr>
                <w:rFonts w:ascii="Times" w:hAnsi="Times"/>
                <w:color w:val="auto"/>
                <w:sz w:val="24"/>
                <w:szCs w:val="24"/>
              </w:rPr>
            </w:pPr>
            <w:r w:rsidRPr="00673CDF">
              <w:rPr>
                <w:rFonts w:ascii="Times" w:hAnsi="Times"/>
                <w:color w:val="auto"/>
                <w:sz w:val="24"/>
                <w:szCs w:val="24"/>
              </w:rPr>
              <w:t>2003</w:t>
            </w:r>
          </w:p>
        </w:tc>
        <w:tc>
          <w:tcPr>
            <w:tcW w:w="970" w:type="dxa"/>
          </w:tcPr>
          <w:p w14:paraId="040F94A0" w14:textId="77777777" w:rsidR="00902882" w:rsidRPr="00673CDF" w:rsidRDefault="00902882"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0,497</w:t>
            </w:r>
          </w:p>
        </w:tc>
        <w:tc>
          <w:tcPr>
            <w:tcW w:w="969" w:type="dxa"/>
          </w:tcPr>
          <w:p w14:paraId="64C5818F" w14:textId="77777777" w:rsidR="00902882" w:rsidRPr="00673CDF" w:rsidRDefault="00902882"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0,525</w:t>
            </w:r>
          </w:p>
        </w:tc>
        <w:tc>
          <w:tcPr>
            <w:tcW w:w="970" w:type="dxa"/>
          </w:tcPr>
          <w:p w14:paraId="08083713" w14:textId="77777777" w:rsidR="00902882" w:rsidRPr="00673CDF" w:rsidRDefault="00902882"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0,352</w:t>
            </w:r>
          </w:p>
        </w:tc>
        <w:tc>
          <w:tcPr>
            <w:tcW w:w="969" w:type="dxa"/>
          </w:tcPr>
          <w:p w14:paraId="3E358B80" w14:textId="77777777" w:rsidR="00902882" w:rsidRPr="00673CDF" w:rsidRDefault="00902882"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0,570</w:t>
            </w:r>
          </w:p>
        </w:tc>
        <w:tc>
          <w:tcPr>
            <w:tcW w:w="969" w:type="dxa"/>
          </w:tcPr>
          <w:p w14:paraId="27357ECD" w14:textId="77777777" w:rsidR="00902882" w:rsidRPr="00673CDF" w:rsidRDefault="00902882"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b/>
                <w:color w:val="auto"/>
              </w:rPr>
            </w:pPr>
            <w:r w:rsidRPr="00673CDF">
              <w:rPr>
                <w:rFonts w:ascii="Times" w:hAnsi="Times"/>
                <w:b/>
                <w:color w:val="auto"/>
              </w:rPr>
              <w:t>0,592</w:t>
            </w:r>
          </w:p>
        </w:tc>
        <w:tc>
          <w:tcPr>
            <w:tcW w:w="969" w:type="dxa"/>
          </w:tcPr>
          <w:p w14:paraId="4A4E3505" w14:textId="77777777" w:rsidR="00902882" w:rsidRPr="00673CDF" w:rsidRDefault="00902882"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0,338</w:t>
            </w:r>
          </w:p>
        </w:tc>
        <w:tc>
          <w:tcPr>
            <w:tcW w:w="978" w:type="dxa"/>
          </w:tcPr>
          <w:p w14:paraId="3554E3A6" w14:textId="77777777" w:rsidR="00902882" w:rsidRPr="00673CDF" w:rsidRDefault="00902882"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b/>
                <w:color w:val="auto"/>
              </w:rPr>
            </w:pPr>
            <w:r w:rsidRPr="00673CDF">
              <w:rPr>
                <w:rFonts w:ascii="Times" w:hAnsi="Times"/>
                <w:b/>
                <w:color w:val="auto"/>
              </w:rPr>
              <w:t>0,581</w:t>
            </w:r>
          </w:p>
        </w:tc>
      </w:tr>
      <w:tr w:rsidR="00902882" w:rsidRPr="00673CDF" w14:paraId="33FA83B5" w14:textId="77777777" w:rsidTr="001D23E8">
        <w:trPr>
          <w:trHeight w:val="440"/>
        </w:trPr>
        <w:tc>
          <w:tcPr>
            <w:cnfStyle w:val="001000000000" w:firstRow="0" w:lastRow="0" w:firstColumn="1" w:lastColumn="0" w:oddVBand="0" w:evenVBand="0" w:oddHBand="0" w:evenHBand="0" w:firstRowFirstColumn="0" w:firstRowLastColumn="0" w:lastRowFirstColumn="0" w:lastRowLastColumn="0"/>
            <w:tcW w:w="1043" w:type="dxa"/>
            <w:vMerge/>
          </w:tcPr>
          <w:p w14:paraId="773BE5A8" w14:textId="77777777" w:rsidR="00902882" w:rsidRPr="00673CDF" w:rsidRDefault="00902882" w:rsidP="00673CDF">
            <w:pPr>
              <w:pStyle w:val="Normaljustificado"/>
              <w:spacing w:line="360" w:lineRule="auto"/>
              <w:jc w:val="left"/>
              <w:rPr>
                <w:rFonts w:ascii="Times" w:hAnsi="Times"/>
                <w:color w:val="auto"/>
                <w:sz w:val="24"/>
                <w:szCs w:val="24"/>
              </w:rPr>
            </w:pPr>
          </w:p>
        </w:tc>
        <w:tc>
          <w:tcPr>
            <w:tcW w:w="865" w:type="dxa"/>
          </w:tcPr>
          <w:p w14:paraId="4FE65936" w14:textId="77777777" w:rsidR="00902882" w:rsidRPr="00673CDF" w:rsidRDefault="00902882" w:rsidP="007C5F6F">
            <w:pPr>
              <w:pStyle w:val="Normaljustificado"/>
              <w:spacing w:line="360" w:lineRule="auto"/>
              <w:cnfStyle w:val="000000000000" w:firstRow="0" w:lastRow="0" w:firstColumn="0" w:lastColumn="0" w:oddVBand="0" w:evenVBand="0" w:oddHBand="0" w:evenHBand="0" w:firstRowFirstColumn="0" w:firstRowLastColumn="0" w:lastRowFirstColumn="0" w:lastRowLastColumn="0"/>
              <w:rPr>
                <w:rFonts w:ascii="Times" w:hAnsi="Times"/>
                <w:color w:val="auto"/>
                <w:sz w:val="24"/>
                <w:szCs w:val="24"/>
              </w:rPr>
            </w:pPr>
            <w:r w:rsidRPr="00673CDF">
              <w:rPr>
                <w:rFonts w:ascii="Times" w:hAnsi="Times"/>
                <w:color w:val="auto"/>
                <w:sz w:val="24"/>
                <w:szCs w:val="24"/>
              </w:rPr>
              <w:t>2004</w:t>
            </w:r>
          </w:p>
        </w:tc>
        <w:tc>
          <w:tcPr>
            <w:tcW w:w="970" w:type="dxa"/>
          </w:tcPr>
          <w:p w14:paraId="52F95E22" w14:textId="77777777" w:rsidR="00902882" w:rsidRPr="00673CDF" w:rsidRDefault="00902882"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0,500</w:t>
            </w:r>
          </w:p>
        </w:tc>
        <w:tc>
          <w:tcPr>
            <w:tcW w:w="969" w:type="dxa"/>
          </w:tcPr>
          <w:p w14:paraId="439D1F4F" w14:textId="77777777" w:rsidR="00902882" w:rsidRPr="00673CDF" w:rsidRDefault="00902882"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0,538</w:t>
            </w:r>
          </w:p>
        </w:tc>
        <w:tc>
          <w:tcPr>
            <w:tcW w:w="970" w:type="dxa"/>
          </w:tcPr>
          <w:p w14:paraId="7DC6F52F" w14:textId="77777777" w:rsidR="00902882" w:rsidRPr="00673CDF" w:rsidRDefault="00902882"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0,403</w:t>
            </w:r>
          </w:p>
        </w:tc>
        <w:tc>
          <w:tcPr>
            <w:tcW w:w="969" w:type="dxa"/>
          </w:tcPr>
          <w:p w14:paraId="54B903F5" w14:textId="77777777" w:rsidR="00902882" w:rsidRPr="00673CDF" w:rsidRDefault="00902882"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0,558</w:t>
            </w:r>
          </w:p>
        </w:tc>
        <w:tc>
          <w:tcPr>
            <w:tcW w:w="969" w:type="dxa"/>
          </w:tcPr>
          <w:p w14:paraId="58D9BFD2" w14:textId="77777777" w:rsidR="00902882" w:rsidRPr="00673CDF" w:rsidRDefault="00902882"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b/>
                <w:color w:val="auto"/>
              </w:rPr>
            </w:pPr>
            <w:r w:rsidRPr="00673CDF">
              <w:rPr>
                <w:rFonts w:ascii="Times" w:hAnsi="Times"/>
                <w:b/>
                <w:color w:val="auto"/>
              </w:rPr>
              <w:t>0,594</w:t>
            </w:r>
          </w:p>
        </w:tc>
        <w:tc>
          <w:tcPr>
            <w:tcW w:w="969" w:type="dxa"/>
          </w:tcPr>
          <w:p w14:paraId="34A0B1C2" w14:textId="77777777" w:rsidR="00902882" w:rsidRPr="00673CDF" w:rsidRDefault="00902882"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0,159</w:t>
            </w:r>
          </w:p>
        </w:tc>
        <w:tc>
          <w:tcPr>
            <w:tcW w:w="978" w:type="dxa"/>
          </w:tcPr>
          <w:p w14:paraId="13D02A7C" w14:textId="77777777" w:rsidR="00902882" w:rsidRPr="00673CDF" w:rsidRDefault="00902882"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b/>
                <w:color w:val="auto"/>
              </w:rPr>
            </w:pPr>
            <w:r w:rsidRPr="00673CDF">
              <w:rPr>
                <w:rFonts w:ascii="Times" w:hAnsi="Times"/>
                <w:b/>
                <w:color w:val="auto"/>
              </w:rPr>
              <w:t>0,569</w:t>
            </w:r>
          </w:p>
        </w:tc>
      </w:tr>
      <w:tr w:rsidR="00902882" w:rsidRPr="00673CDF" w14:paraId="1A32AA3E" w14:textId="77777777" w:rsidTr="001D23E8">
        <w:trPr>
          <w:trHeight w:val="440"/>
        </w:trPr>
        <w:tc>
          <w:tcPr>
            <w:cnfStyle w:val="001000000000" w:firstRow="0" w:lastRow="0" w:firstColumn="1" w:lastColumn="0" w:oddVBand="0" w:evenVBand="0" w:oddHBand="0" w:evenHBand="0" w:firstRowFirstColumn="0" w:firstRowLastColumn="0" w:lastRowFirstColumn="0" w:lastRowLastColumn="0"/>
            <w:tcW w:w="1043" w:type="dxa"/>
            <w:vMerge/>
          </w:tcPr>
          <w:p w14:paraId="2C9B741F" w14:textId="77777777" w:rsidR="00902882" w:rsidRPr="00673CDF" w:rsidRDefault="00902882" w:rsidP="00673CDF">
            <w:pPr>
              <w:pStyle w:val="Normaljustificado"/>
              <w:spacing w:line="360" w:lineRule="auto"/>
              <w:jc w:val="left"/>
              <w:rPr>
                <w:rFonts w:ascii="Times" w:hAnsi="Times"/>
                <w:color w:val="auto"/>
                <w:sz w:val="24"/>
                <w:szCs w:val="24"/>
              </w:rPr>
            </w:pPr>
          </w:p>
        </w:tc>
        <w:tc>
          <w:tcPr>
            <w:tcW w:w="865" w:type="dxa"/>
          </w:tcPr>
          <w:p w14:paraId="62C29A08" w14:textId="77777777" w:rsidR="00902882" w:rsidRPr="00673CDF" w:rsidRDefault="00902882" w:rsidP="007C5F6F">
            <w:pPr>
              <w:pStyle w:val="Normaljustificado"/>
              <w:spacing w:line="360" w:lineRule="auto"/>
              <w:cnfStyle w:val="000000000000" w:firstRow="0" w:lastRow="0" w:firstColumn="0" w:lastColumn="0" w:oddVBand="0" w:evenVBand="0" w:oddHBand="0" w:evenHBand="0" w:firstRowFirstColumn="0" w:firstRowLastColumn="0" w:lastRowFirstColumn="0" w:lastRowLastColumn="0"/>
              <w:rPr>
                <w:rFonts w:ascii="Times" w:hAnsi="Times"/>
                <w:color w:val="auto"/>
                <w:sz w:val="24"/>
                <w:szCs w:val="24"/>
              </w:rPr>
            </w:pPr>
            <w:r w:rsidRPr="00673CDF">
              <w:rPr>
                <w:rFonts w:ascii="Times" w:hAnsi="Times"/>
                <w:color w:val="auto"/>
                <w:sz w:val="24"/>
                <w:szCs w:val="24"/>
              </w:rPr>
              <w:t>2005</w:t>
            </w:r>
          </w:p>
        </w:tc>
        <w:tc>
          <w:tcPr>
            <w:tcW w:w="970" w:type="dxa"/>
          </w:tcPr>
          <w:p w14:paraId="5E9C1DC4" w14:textId="77777777" w:rsidR="00902882" w:rsidRPr="00673CDF" w:rsidRDefault="00902882"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0,497</w:t>
            </w:r>
          </w:p>
        </w:tc>
        <w:tc>
          <w:tcPr>
            <w:tcW w:w="969" w:type="dxa"/>
          </w:tcPr>
          <w:p w14:paraId="262EC185" w14:textId="77777777" w:rsidR="00902882" w:rsidRPr="00673CDF" w:rsidRDefault="00902882"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0,525</w:t>
            </w:r>
          </w:p>
        </w:tc>
        <w:tc>
          <w:tcPr>
            <w:tcW w:w="970" w:type="dxa"/>
          </w:tcPr>
          <w:p w14:paraId="6AC2D292" w14:textId="77777777" w:rsidR="00902882" w:rsidRPr="00673CDF" w:rsidRDefault="00902882"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0,352</w:t>
            </w:r>
          </w:p>
        </w:tc>
        <w:tc>
          <w:tcPr>
            <w:tcW w:w="969" w:type="dxa"/>
          </w:tcPr>
          <w:p w14:paraId="4F152146" w14:textId="77777777" w:rsidR="00902882" w:rsidRPr="00673CDF" w:rsidRDefault="00902882"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0,556</w:t>
            </w:r>
          </w:p>
        </w:tc>
        <w:tc>
          <w:tcPr>
            <w:tcW w:w="969" w:type="dxa"/>
          </w:tcPr>
          <w:p w14:paraId="78AA6C64" w14:textId="77777777" w:rsidR="00902882" w:rsidRPr="00673CDF" w:rsidRDefault="00902882"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b/>
                <w:color w:val="auto"/>
              </w:rPr>
            </w:pPr>
            <w:r w:rsidRPr="00673CDF">
              <w:rPr>
                <w:rFonts w:ascii="Times" w:hAnsi="Times"/>
                <w:b/>
                <w:color w:val="auto"/>
              </w:rPr>
              <w:t>0,587</w:t>
            </w:r>
          </w:p>
        </w:tc>
        <w:tc>
          <w:tcPr>
            <w:tcW w:w="969" w:type="dxa"/>
          </w:tcPr>
          <w:p w14:paraId="3D0D4319" w14:textId="77777777" w:rsidR="00902882" w:rsidRPr="00673CDF" w:rsidRDefault="00902882"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0,238</w:t>
            </w:r>
          </w:p>
        </w:tc>
        <w:tc>
          <w:tcPr>
            <w:tcW w:w="978" w:type="dxa"/>
          </w:tcPr>
          <w:p w14:paraId="40D3D8D8" w14:textId="77777777" w:rsidR="00902882" w:rsidRPr="00673CDF" w:rsidRDefault="00902882"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b/>
                <w:color w:val="auto"/>
              </w:rPr>
            </w:pPr>
            <w:r w:rsidRPr="00673CDF">
              <w:rPr>
                <w:rFonts w:ascii="Times" w:hAnsi="Times"/>
                <w:b/>
                <w:color w:val="auto"/>
              </w:rPr>
              <w:t>0,566</w:t>
            </w:r>
          </w:p>
        </w:tc>
      </w:tr>
      <w:tr w:rsidR="00902882" w:rsidRPr="00673CDF" w14:paraId="0A3DF48F" w14:textId="77777777" w:rsidTr="001D23E8">
        <w:trPr>
          <w:trHeight w:val="462"/>
        </w:trPr>
        <w:tc>
          <w:tcPr>
            <w:cnfStyle w:val="001000000000" w:firstRow="0" w:lastRow="0" w:firstColumn="1" w:lastColumn="0" w:oddVBand="0" w:evenVBand="0" w:oddHBand="0" w:evenHBand="0" w:firstRowFirstColumn="0" w:firstRowLastColumn="0" w:lastRowFirstColumn="0" w:lastRowLastColumn="0"/>
            <w:tcW w:w="1043" w:type="dxa"/>
            <w:vMerge/>
          </w:tcPr>
          <w:p w14:paraId="24B9C2D9" w14:textId="77777777" w:rsidR="00902882" w:rsidRPr="00673CDF" w:rsidRDefault="00902882" w:rsidP="00673CDF">
            <w:pPr>
              <w:pStyle w:val="Normaljustificado"/>
              <w:spacing w:line="360" w:lineRule="auto"/>
              <w:jc w:val="left"/>
              <w:rPr>
                <w:rFonts w:ascii="Times" w:hAnsi="Times"/>
                <w:color w:val="auto"/>
                <w:sz w:val="24"/>
                <w:szCs w:val="24"/>
              </w:rPr>
            </w:pPr>
          </w:p>
        </w:tc>
        <w:tc>
          <w:tcPr>
            <w:tcW w:w="865" w:type="dxa"/>
          </w:tcPr>
          <w:p w14:paraId="0574CCC3" w14:textId="77777777" w:rsidR="00902882" w:rsidRPr="00673CDF" w:rsidRDefault="00902882" w:rsidP="007C5F6F">
            <w:pPr>
              <w:pStyle w:val="Normaljustificado"/>
              <w:spacing w:line="360" w:lineRule="auto"/>
              <w:cnfStyle w:val="000000000000" w:firstRow="0" w:lastRow="0" w:firstColumn="0" w:lastColumn="0" w:oddVBand="0" w:evenVBand="0" w:oddHBand="0" w:evenHBand="0" w:firstRowFirstColumn="0" w:firstRowLastColumn="0" w:lastRowFirstColumn="0" w:lastRowLastColumn="0"/>
              <w:rPr>
                <w:rFonts w:ascii="Times" w:hAnsi="Times"/>
                <w:color w:val="auto"/>
                <w:sz w:val="24"/>
                <w:szCs w:val="24"/>
              </w:rPr>
            </w:pPr>
            <w:r w:rsidRPr="00673CDF">
              <w:rPr>
                <w:rFonts w:ascii="Times" w:hAnsi="Times"/>
                <w:color w:val="auto"/>
                <w:sz w:val="24"/>
                <w:szCs w:val="24"/>
              </w:rPr>
              <w:t>2006</w:t>
            </w:r>
          </w:p>
        </w:tc>
        <w:tc>
          <w:tcPr>
            <w:tcW w:w="970" w:type="dxa"/>
          </w:tcPr>
          <w:p w14:paraId="6CE004B7" w14:textId="77777777" w:rsidR="00902882" w:rsidRPr="00673CDF" w:rsidRDefault="00902882"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0,491</w:t>
            </w:r>
          </w:p>
        </w:tc>
        <w:tc>
          <w:tcPr>
            <w:tcW w:w="969" w:type="dxa"/>
          </w:tcPr>
          <w:p w14:paraId="6921E34E" w14:textId="77777777" w:rsidR="00902882" w:rsidRPr="00673CDF" w:rsidRDefault="00902882"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0,508</w:t>
            </w:r>
          </w:p>
        </w:tc>
        <w:tc>
          <w:tcPr>
            <w:tcW w:w="970" w:type="dxa"/>
          </w:tcPr>
          <w:p w14:paraId="541A06DE" w14:textId="77777777" w:rsidR="00902882" w:rsidRPr="00673CDF" w:rsidRDefault="00902882"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0,304</w:t>
            </w:r>
          </w:p>
        </w:tc>
        <w:tc>
          <w:tcPr>
            <w:tcW w:w="969" w:type="dxa"/>
          </w:tcPr>
          <w:p w14:paraId="05866332" w14:textId="77777777" w:rsidR="00902882" w:rsidRPr="00673CDF" w:rsidRDefault="00902882"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0,554</w:t>
            </w:r>
          </w:p>
        </w:tc>
        <w:tc>
          <w:tcPr>
            <w:tcW w:w="969" w:type="dxa"/>
          </w:tcPr>
          <w:p w14:paraId="0F9821E6" w14:textId="77777777" w:rsidR="00902882" w:rsidRPr="00673CDF" w:rsidRDefault="00902882"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b/>
                <w:color w:val="auto"/>
              </w:rPr>
            </w:pPr>
            <w:r w:rsidRPr="00673CDF">
              <w:rPr>
                <w:rFonts w:ascii="Times" w:hAnsi="Times"/>
                <w:b/>
                <w:color w:val="auto"/>
              </w:rPr>
              <w:t>0,577</w:t>
            </w:r>
          </w:p>
        </w:tc>
        <w:tc>
          <w:tcPr>
            <w:tcW w:w="969" w:type="dxa"/>
          </w:tcPr>
          <w:p w14:paraId="5A5938E3" w14:textId="77777777" w:rsidR="00902882" w:rsidRPr="00673CDF" w:rsidRDefault="00902882"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0,123</w:t>
            </w:r>
          </w:p>
        </w:tc>
        <w:tc>
          <w:tcPr>
            <w:tcW w:w="978" w:type="dxa"/>
          </w:tcPr>
          <w:p w14:paraId="2BE84F7B" w14:textId="77777777" w:rsidR="00902882" w:rsidRPr="00673CDF" w:rsidRDefault="00902882"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b/>
                <w:color w:val="auto"/>
              </w:rPr>
            </w:pPr>
            <w:r w:rsidRPr="00673CDF">
              <w:rPr>
                <w:rFonts w:ascii="Times" w:hAnsi="Times"/>
                <w:b/>
                <w:color w:val="auto"/>
              </w:rPr>
              <w:t>0,559</w:t>
            </w:r>
          </w:p>
        </w:tc>
      </w:tr>
      <w:tr w:rsidR="00902882" w:rsidRPr="00673CDF" w14:paraId="49B8514D" w14:textId="77777777" w:rsidTr="001D23E8">
        <w:trPr>
          <w:trHeight w:val="462"/>
        </w:trPr>
        <w:tc>
          <w:tcPr>
            <w:cnfStyle w:val="001000000000" w:firstRow="0" w:lastRow="0" w:firstColumn="1" w:lastColumn="0" w:oddVBand="0" w:evenVBand="0" w:oddHBand="0" w:evenHBand="0" w:firstRowFirstColumn="0" w:firstRowLastColumn="0" w:lastRowFirstColumn="0" w:lastRowLastColumn="0"/>
            <w:tcW w:w="1043" w:type="dxa"/>
            <w:vMerge/>
          </w:tcPr>
          <w:p w14:paraId="05DBC162" w14:textId="77777777" w:rsidR="00902882" w:rsidRPr="00673CDF" w:rsidRDefault="00902882" w:rsidP="00673CDF">
            <w:pPr>
              <w:pStyle w:val="Normaljustificado"/>
              <w:spacing w:line="360" w:lineRule="auto"/>
              <w:jc w:val="left"/>
              <w:rPr>
                <w:rFonts w:ascii="Times" w:hAnsi="Times"/>
                <w:color w:val="auto"/>
                <w:sz w:val="24"/>
                <w:szCs w:val="24"/>
              </w:rPr>
            </w:pPr>
          </w:p>
        </w:tc>
        <w:tc>
          <w:tcPr>
            <w:tcW w:w="865" w:type="dxa"/>
          </w:tcPr>
          <w:p w14:paraId="5A967F40" w14:textId="77777777" w:rsidR="00902882" w:rsidRPr="00673CDF" w:rsidRDefault="00902882" w:rsidP="007C5F6F">
            <w:pPr>
              <w:pStyle w:val="Normaljustificado"/>
              <w:spacing w:line="360" w:lineRule="auto"/>
              <w:cnfStyle w:val="000000000000" w:firstRow="0" w:lastRow="0" w:firstColumn="0" w:lastColumn="0" w:oddVBand="0" w:evenVBand="0" w:oddHBand="0" w:evenHBand="0" w:firstRowFirstColumn="0" w:firstRowLastColumn="0" w:lastRowFirstColumn="0" w:lastRowLastColumn="0"/>
              <w:rPr>
                <w:rFonts w:ascii="Times" w:hAnsi="Times"/>
                <w:color w:val="auto"/>
                <w:sz w:val="24"/>
                <w:szCs w:val="24"/>
              </w:rPr>
            </w:pPr>
            <w:r w:rsidRPr="00673CDF">
              <w:rPr>
                <w:rFonts w:ascii="Times" w:hAnsi="Times"/>
                <w:color w:val="auto"/>
                <w:sz w:val="24"/>
                <w:szCs w:val="24"/>
              </w:rPr>
              <w:t>2007</w:t>
            </w:r>
          </w:p>
        </w:tc>
        <w:tc>
          <w:tcPr>
            <w:tcW w:w="970" w:type="dxa"/>
          </w:tcPr>
          <w:p w14:paraId="5A9CB25C" w14:textId="77777777" w:rsidR="00902882" w:rsidRPr="00673CDF" w:rsidRDefault="00902882"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0,490</w:t>
            </w:r>
          </w:p>
        </w:tc>
        <w:tc>
          <w:tcPr>
            <w:tcW w:w="969" w:type="dxa"/>
          </w:tcPr>
          <w:p w14:paraId="487353C8" w14:textId="77777777" w:rsidR="00902882" w:rsidRPr="00673CDF" w:rsidRDefault="00902882"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0,498</w:t>
            </w:r>
          </w:p>
        </w:tc>
        <w:tc>
          <w:tcPr>
            <w:tcW w:w="970" w:type="dxa"/>
          </w:tcPr>
          <w:p w14:paraId="0B61E9C4" w14:textId="77777777" w:rsidR="00902882" w:rsidRPr="00673CDF" w:rsidRDefault="00902882"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0,374</w:t>
            </w:r>
          </w:p>
        </w:tc>
        <w:tc>
          <w:tcPr>
            <w:tcW w:w="969" w:type="dxa"/>
          </w:tcPr>
          <w:p w14:paraId="4651A9F8" w14:textId="77777777" w:rsidR="00902882" w:rsidRPr="00673CDF" w:rsidRDefault="00902882"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0,548</w:t>
            </w:r>
          </w:p>
        </w:tc>
        <w:tc>
          <w:tcPr>
            <w:tcW w:w="969" w:type="dxa"/>
          </w:tcPr>
          <w:p w14:paraId="45F2578D" w14:textId="77777777" w:rsidR="00902882" w:rsidRPr="00673CDF" w:rsidRDefault="00902882"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b/>
                <w:color w:val="auto"/>
              </w:rPr>
            </w:pPr>
            <w:r w:rsidRPr="00673CDF">
              <w:rPr>
                <w:rFonts w:ascii="Times" w:hAnsi="Times"/>
                <w:b/>
                <w:color w:val="auto"/>
              </w:rPr>
              <w:t>0,561</w:t>
            </w:r>
          </w:p>
        </w:tc>
        <w:tc>
          <w:tcPr>
            <w:tcW w:w="969" w:type="dxa"/>
          </w:tcPr>
          <w:p w14:paraId="7D15887F" w14:textId="77777777" w:rsidR="00902882" w:rsidRPr="00673CDF" w:rsidRDefault="00902882"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0,091</w:t>
            </w:r>
          </w:p>
        </w:tc>
        <w:tc>
          <w:tcPr>
            <w:tcW w:w="978" w:type="dxa"/>
          </w:tcPr>
          <w:p w14:paraId="3E226CE5" w14:textId="77777777" w:rsidR="00902882" w:rsidRPr="00673CDF" w:rsidRDefault="00902882"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b/>
                <w:color w:val="auto"/>
              </w:rPr>
            </w:pPr>
            <w:r w:rsidRPr="00673CDF">
              <w:rPr>
                <w:rFonts w:ascii="Times" w:hAnsi="Times"/>
                <w:b/>
                <w:color w:val="auto"/>
              </w:rPr>
              <w:t>0,552</w:t>
            </w:r>
          </w:p>
        </w:tc>
      </w:tr>
      <w:tr w:rsidR="00902882" w:rsidRPr="00673CDF" w14:paraId="15D0D1A6" w14:textId="77777777" w:rsidTr="001D23E8">
        <w:trPr>
          <w:trHeight w:val="462"/>
        </w:trPr>
        <w:tc>
          <w:tcPr>
            <w:cnfStyle w:val="001000000000" w:firstRow="0" w:lastRow="0" w:firstColumn="1" w:lastColumn="0" w:oddVBand="0" w:evenVBand="0" w:oddHBand="0" w:evenHBand="0" w:firstRowFirstColumn="0" w:firstRowLastColumn="0" w:lastRowFirstColumn="0" w:lastRowLastColumn="0"/>
            <w:tcW w:w="1043" w:type="dxa"/>
            <w:vMerge/>
          </w:tcPr>
          <w:p w14:paraId="3F13D515" w14:textId="77777777" w:rsidR="00902882" w:rsidRPr="00673CDF" w:rsidRDefault="00902882" w:rsidP="00673CDF">
            <w:pPr>
              <w:pStyle w:val="Normaljustificado"/>
              <w:spacing w:line="360" w:lineRule="auto"/>
              <w:jc w:val="left"/>
              <w:rPr>
                <w:rFonts w:ascii="Times" w:hAnsi="Times"/>
                <w:color w:val="auto"/>
                <w:sz w:val="24"/>
                <w:szCs w:val="24"/>
              </w:rPr>
            </w:pPr>
          </w:p>
        </w:tc>
        <w:tc>
          <w:tcPr>
            <w:tcW w:w="865" w:type="dxa"/>
          </w:tcPr>
          <w:p w14:paraId="76E265DC" w14:textId="77777777" w:rsidR="00902882" w:rsidRPr="00673CDF" w:rsidRDefault="00902882" w:rsidP="007C5F6F">
            <w:pPr>
              <w:pStyle w:val="Normaljustificado"/>
              <w:spacing w:line="360" w:lineRule="auto"/>
              <w:cnfStyle w:val="000000000000" w:firstRow="0" w:lastRow="0" w:firstColumn="0" w:lastColumn="0" w:oddVBand="0" w:evenVBand="0" w:oddHBand="0" w:evenHBand="0" w:firstRowFirstColumn="0" w:firstRowLastColumn="0" w:lastRowFirstColumn="0" w:lastRowLastColumn="0"/>
              <w:rPr>
                <w:rFonts w:ascii="Times" w:hAnsi="Times"/>
                <w:color w:val="auto"/>
                <w:sz w:val="24"/>
                <w:szCs w:val="24"/>
              </w:rPr>
            </w:pPr>
            <w:r w:rsidRPr="00673CDF">
              <w:rPr>
                <w:rFonts w:ascii="Times" w:hAnsi="Times"/>
                <w:color w:val="auto"/>
                <w:sz w:val="24"/>
                <w:szCs w:val="24"/>
              </w:rPr>
              <w:t>2008</w:t>
            </w:r>
          </w:p>
        </w:tc>
        <w:tc>
          <w:tcPr>
            <w:tcW w:w="970" w:type="dxa"/>
          </w:tcPr>
          <w:p w14:paraId="666AA3F4" w14:textId="77777777" w:rsidR="00902882" w:rsidRPr="00673CDF" w:rsidRDefault="00902882"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0,478</w:t>
            </w:r>
          </w:p>
        </w:tc>
        <w:tc>
          <w:tcPr>
            <w:tcW w:w="969" w:type="dxa"/>
          </w:tcPr>
          <w:p w14:paraId="2420AB5F" w14:textId="77777777" w:rsidR="00902882" w:rsidRPr="00673CDF" w:rsidRDefault="00902882"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0,493</w:t>
            </w:r>
          </w:p>
        </w:tc>
        <w:tc>
          <w:tcPr>
            <w:tcW w:w="970" w:type="dxa"/>
          </w:tcPr>
          <w:p w14:paraId="145B2C4A" w14:textId="77777777" w:rsidR="00902882" w:rsidRPr="00673CDF" w:rsidRDefault="00902882"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0,334</w:t>
            </w:r>
          </w:p>
        </w:tc>
        <w:tc>
          <w:tcPr>
            <w:tcW w:w="969" w:type="dxa"/>
          </w:tcPr>
          <w:p w14:paraId="08BEBF05" w14:textId="77777777" w:rsidR="00902882" w:rsidRPr="00673CDF" w:rsidRDefault="00902882"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0,537</w:t>
            </w:r>
          </w:p>
        </w:tc>
        <w:tc>
          <w:tcPr>
            <w:tcW w:w="969" w:type="dxa"/>
          </w:tcPr>
          <w:p w14:paraId="18B2D5C5" w14:textId="77777777" w:rsidR="00902882" w:rsidRPr="00673CDF" w:rsidRDefault="00902882"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b/>
                <w:color w:val="auto"/>
              </w:rPr>
            </w:pPr>
            <w:r w:rsidRPr="00673CDF">
              <w:rPr>
                <w:rFonts w:ascii="Times" w:hAnsi="Times"/>
                <w:b/>
                <w:color w:val="auto"/>
              </w:rPr>
              <w:t>0,560</w:t>
            </w:r>
          </w:p>
        </w:tc>
        <w:tc>
          <w:tcPr>
            <w:tcW w:w="969" w:type="dxa"/>
          </w:tcPr>
          <w:p w14:paraId="1FBFADD3" w14:textId="77777777" w:rsidR="00902882" w:rsidRPr="00673CDF" w:rsidRDefault="00902882"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0,188</w:t>
            </w:r>
          </w:p>
        </w:tc>
        <w:tc>
          <w:tcPr>
            <w:tcW w:w="978" w:type="dxa"/>
          </w:tcPr>
          <w:p w14:paraId="177C4787" w14:textId="77777777" w:rsidR="00902882" w:rsidRPr="00673CDF" w:rsidRDefault="00902882"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b/>
                <w:color w:val="auto"/>
              </w:rPr>
            </w:pPr>
            <w:r w:rsidRPr="00673CDF">
              <w:rPr>
                <w:rFonts w:ascii="Times" w:hAnsi="Times"/>
                <w:b/>
                <w:color w:val="auto"/>
              </w:rPr>
              <w:t>0,544</w:t>
            </w:r>
          </w:p>
        </w:tc>
      </w:tr>
      <w:tr w:rsidR="00902882" w:rsidRPr="00673CDF" w14:paraId="77E6955D" w14:textId="77777777" w:rsidTr="001D23E8">
        <w:trPr>
          <w:trHeight w:val="609"/>
        </w:trPr>
        <w:tc>
          <w:tcPr>
            <w:cnfStyle w:val="001000000000" w:firstRow="0" w:lastRow="0" w:firstColumn="1" w:lastColumn="0" w:oddVBand="0" w:evenVBand="0" w:oddHBand="0" w:evenHBand="0" w:firstRowFirstColumn="0" w:firstRowLastColumn="0" w:lastRowFirstColumn="0" w:lastRowLastColumn="0"/>
            <w:tcW w:w="1043" w:type="dxa"/>
            <w:vMerge/>
          </w:tcPr>
          <w:p w14:paraId="07078B59" w14:textId="77777777" w:rsidR="00902882" w:rsidRPr="00673CDF" w:rsidRDefault="00902882" w:rsidP="00673CDF">
            <w:pPr>
              <w:pStyle w:val="Normaljustificado"/>
              <w:spacing w:line="360" w:lineRule="auto"/>
              <w:jc w:val="left"/>
              <w:rPr>
                <w:rFonts w:ascii="Times" w:hAnsi="Times"/>
                <w:color w:val="auto"/>
                <w:sz w:val="24"/>
                <w:szCs w:val="24"/>
              </w:rPr>
            </w:pPr>
          </w:p>
        </w:tc>
        <w:tc>
          <w:tcPr>
            <w:tcW w:w="865" w:type="dxa"/>
          </w:tcPr>
          <w:p w14:paraId="47799818" w14:textId="77777777" w:rsidR="00902882" w:rsidRPr="00673CDF" w:rsidRDefault="00902882" w:rsidP="007C5F6F">
            <w:pPr>
              <w:pStyle w:val="Normaljustificado"/>
              <w:spacing w:line="360" w:lineRule="auto"/>
              <w:cnfStyle w:val="000000000000" w:firstRow="0" w:lastRow="0" w:firstColumn="0" w:lastColumn="0" w:oddVBand="0" w:evenVBand="0" w:oddHBand="0" w:evenHBand="0" w:firstRowFirstColumn="0" w:firstRowLastColumn="0" w:lastRowFirstColumn="0" w:lastRowLastColumn="0"/>
              <w:rPr>
                <w:rFonts w:ascii="Times" w:hAnsi="Times"/>
                <w:color w:val="auto"/>
                <w:sz w:val="24"/>
                <w:szCs w:val="24"/>
              </w:rPr>
            </w:pPr>
            <w:r w:rsidRPr="00673CDF">
              <w:rPr>
                <w:rFonts w:ascii="Times" w:hAnsi="Times"/>
                <w:color w:val="auto"/>
                <w:sz w:val="24"/>
                <w:szCs w:val="24"/>
              </w:rPr>
              <w:t>2009</w:t>
            </w:r>
          </w:p>
        </w:tc>
        <w:tc>
          <w:tcPr>
            <w:tcW w:w="970" w:type="dxa"/>
          </w:tcPr>
          <w:p w14:paraId="1ECCA47E" w14:textId="77777777" w:rsidR="00902882" w:rsidRPr="00673CDF" w:rsidRDefault="00902882"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0,477</w:t>
            </w:r>
          </w:p>
        </w:tc>
        <w:tc>
          <w:tcPr>
            <w:tcW w:w="969" w:type="dxa"/>
          </w:tcPr>
          <w:p w14:paraId="2BCF2C19" w14:textId="77777777" w:rsidR="00902882" w:rsidRPr="00673CDF" w:rsidRDefault="00902882"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0,488</w:t>
            </w:r>
          </w:p>
        </w:tc>
        <w:tc>
          <w:tcPr>
            <w:tcW w:w="970" w:type="dxa"/>
          </w:tcPr>
          <w:p w14:paraId="45DB8902" w14:textId="77777777" w:rsidR="00902882" w:rsidRPr="00673CDF" w:rsidRDefault="00902882"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0,097</w:t>
            </w:r>
          </w:p>
        </w:tc>
        <w:tc>
          <w:tcPr>
            <w:tcW w:w="969" w:type="dxa"/>
          </w:tcPr>
          <w:p w14:paraId="1223E7F9" w14:textId="77777777" w:rsidR="00902882" w:rsidRPr="00673CDF" w:rsidRDefault="00902882"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0,534</w:t>
            </w:r>
          </w:p>
        </w:tc>
        <w:tc>
          <w:tcPr>
            <w:tcW w:w="969" w:type="dxa"/>
          </w:tcPr>
          <w:p w14:paraId="0686F18F" w14:textId="77777777" w:rsidR="00902882" w:rsidRPr="00673CDF" w:rsidRDefault="00902882"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b/>
                <w:color w:val="auto"/>
              </w:rPr>
            </w:pPr>
            <w:r w:rsidRPr="00673CDF">
              <w:rPr>
                <w:rFonts w:ascii="Times" w:hAnsi="Times"/>
                <w:b/>
                <w:color w:val="auto"/>
              </w:rPr>
              <w:t>0,560</w:t>
            </w:r>
          </w:p>
        </w:tc>
        <w:tc>
          <w:tcPr>
            <w:tcW w:w="969" w:type="dxa"/>
          </w:tcPr>
          <w:p w14:paraId="01EDB3F9" w14:textId="77777777" w:rsidR="00902882" w:rsidRPr="00673CDF" w:rsidRDefault="00902882"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color w:val="auto"/>
              </w:rPr>
            </w:pPr>
            <w:r w:rsidRPr="00673CDF">
              <w:rPr>
                <w:rFonts w:ascii="Times" w:hAnsi="Times"/>
                <w:color w:val="auto"/>
              </w:rPr>
              <w:t>-0,105</w:t>
            </w:r>
          </w:p>
        </w:tc>
        <w:tc>
          <w:tcPr>
            <w:tcW w:w="978" w:type="dxa"/>
          </w:tcPr>
          <w:p w14:paraId="171E13B4" w14:textId="77777777" w:rsidR="00902882" w:rsidRPr="00673CDF" w:rsidRDefault="00902882" w:rsidP="007C5F6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hAnsi="Times"/>
                <w:b/>
                <w:color w:val="auto"/>
              </w:rPr>
            </w:pPr>
            <w:r w:rsidRPr="00673CDF">
              <w:rPr>
                <w:rFonts w:ascii="Times" w:hAnsi="Times"/>
                <w:b/>
                <w:color w:val="auto"/>
              </w:rPr>
              <w:t>0,539</w:t>
            </w:r>
          </w:p>
        </w:tc>
      </w:tr>
    </w:tbl>
    <w:p w14:paraId="73E48E9E" w14:textId="77777777" w:rsidR="0010228C" w:rsidRDefault="00E56E1B" w:rsidP="00E56E1B">
      <w:pPr>
        <w:widowControl w:val="0"/>
        <w:autoSpaceDE w:val="0"/>
        <w:autoSpaceDN w:val="0"/>
        <w:adjustRightInd w:val="0"/>
        <w:spacing w:line="360" w:lineRule="auto"/>
        <w:contextualSpacing/>
        <w:jc w:val="both"/>
        <w:outlineLvl w:val="0"/>
        <w:rPr>
          <w:rFonts w:ascii="Times" w:hAnsi="Times" w:cs="Times New Roman"/>
          <w:sz w:val="20"/>
          <w:szCs w:val="20"/>
        </w:rPr>
      </w:pPr>
      <w:r w:rsidRPr="00483374">
        <w:rPr>
          <w:rFonts w:ascii="Times" w:hAnsi="Times" w:cs="Times New Roman"/>
          <w:sz w:val="20"/>
          <w:szCs w:val="20"/>
        </w:rPr>
        <w:t xml:space="preserve">Fonte: Elaboração </w:t>
      </w:r>
      <w:r w:rsidR="0010228C">
        <w:rPr>
          <w:rFonts w:ascii="Times" w:hAnsi="Times" w:cs="Times New Roman"/>
          <w:sz w:val="20"/>
          <w:szCs w:val="20"/>
        </w:rPr>
        <w:t>dos autores</w:t>
      </w:r>
      <w:r w:rsidRPr="00483374">
        <w:rPr>
          <w:rFonts w:ascii="Times" w:hAnsi="Times" w:cs="Times New Roman"/>
          <w:sz w:val="20"/>
          <w:szCs w:val="20"/>
        </w:rPr>
        <w:t xml:space="preserve"> com base nas PNADs de 19</w:t>
      </w:r>
      <w:r w:rsidR="0010228C">
        <w:rPr>
          <w:rFonts w:ascii="Times" w:hAnsi="Times" w:cs="Times New Roman"/>
          <w:sz w:val="20"/>
          <w:szCs w:val="20"/>
        </w:rPr>
        <w:t>95 a 2009</w:t>
      </w:r>
    </w:p>
    <w:p w14:paraId="447135F5" w14:textId="48049C14" w:rsidR="00E56E1B" w:rsidRPr="00483374" w:rsidRDefault="00E56E1B" w:rsidP="00E56E1B">
      <w:pPr>
        <w:widowControl w:val="0"/>
        <w:autoSpaceDE w:val="0"/>
        <w:autoSpaceDN w:val="0"/>
        <w:adjustRightInd w:val="0"/>
        <w:spacing w:line="360" w:lineRule="auto"/>
        <w:contextualSpacing/>
        <w:jc w:val="both"/>
        <w:outlineLvl w:val="0"/>
        <w:rPr>
          <w:rFonts w:ascii="Times" w:hAnsi="Times" w:cs="Times New Roman"/>
          <w:sz w:val="20"/>
          <w:szCs w:val="20"/>
        </w:rPr>
      </w:pPr>
      <w:r w:rsidRPr="00483374">
        <w:rPr>
          <w:rFonts w:ascii="Times" w:hAnsi="Times" w:cs="Times New Roman"/>
          <w:sz w:val="20"/>
          <w:szCs w:val="20"/>
        </w:rPr>
        <w:t xml:space="preserve">               </w:t>
      </w:r>
      <w:r w:rsidRPr="00483374">
        <w:rPr>
          <w:rFonts w:ascii="Times" w:hAnsi="Times"/>
          <w:sz w:val="20"/>
          <w:szCs w:val="20"/>
          <w:vertAlign w:val="superscript"/>
        </w:rPr>
        <w:t>1</w:t>
      </w:r>
      <w:r w:rsidRPr="00483374">
        <w:rPr>
          <w:rFonts w:ascii="Times" w:hAnsi="Times"/>
          <w:sz w:val="20"/>
          <w:szCs w:val="20"/>
        </w:rPr>
        <w:t xml:space="preserve"> Trabalho Principal                </w:t>
      </w:r>
      <w:r w:rsidRPr="00483374">
        <w:rPr>
          <w:rFonts w:ascii="Times" w:hAnsi="Times"/>
          <w:sz w:val="20"/>
          <w:szCs w:val="20"/>
          <w:vertAlign w:val="superscript"/>
        </w:rPr>
        <w:t>2</w:t>
      </w:r>
      <w:r w:rsidRPr="00483374">
        <w:rPr>
          <w:rFonts w:ascii="Times" w:hAnsi="Times"/>
          <w:sz w:val="20"/>
          <w:szCs w:val="20"/>
        </w:rPr>
        <w:t xml:space="preserve"> Aposentadorias e pensões    </w:t>
      </w:r>
      <w:r w:rsidRPr="00483374">
        <w:rPr>
          <w:rFonts w:ascii="Times" w:hAnsi="Times"/>
          <w:sz w:val="20"/>
          <w:szCs w:val="20"/>
          <w:vertAlign w:val="superscript"/>
        </w:rPr>
        <w:t>3</w:t>
      </w:r>
      <w:r w:rsidR="00AB054C">
        <w:rPr>
          <w:rFonts w:ascii="Times" w:hAnsi="Times"/>
          <w:sz w:val="20"/>
          <w:szCs w:val="20"/>
        </w:rPr>
        <w:t xml:space="preserve"> Outras rendas</w:t>
      </w:r>
      <w:r w:rsidRPr="00483374">
        <w:rPr>
          <w:rFonts w:ascii="Times" w:hAnsi="Times"/>
          <w:sz w:val="20"/>
          <w:szCs w:val="20"/>
        </w:rPr>
        <w:t xml:space="preserve">        </w:t>
      </w:r>
    </w:p>
    <w:p w14:paraId="02FCE55B" w14:textId="77777777" w:rsidR="00465932" w:rsidRDefault="00465932" w:rsidP="0010228C">
      <w:pPr>
        <w:widowControl w:val="0"/>
        <w:tabs>
          <w:tab w:val="left" w:pos="2340"/>
        </w:tabs>
        <w:autoSpaceDE w:val="0"/>
        <w:autoSpaceDN w:val="0"/>
        <w:adjustRightInd w:val="0"/>
        <w:spacing w:line="360" w:lineRule="auto"/>
        <w:ind w:firstLine="709"/>
        <w:contextualSpacing/>
        <w:jc w:val="both"/>
        <w:outlineLvl w:val="0"/>
        <w:rPr>
          <w:rFonts w:ascii="Times" w:hAnsi="Times" w:cs="Times New Roman"/>
          <w:bCs/>
        </w:rPr>
      </w:pPr>
    </w:p>
    <w:p w14:paraId="7C7B5D46" w14:textId="77777777" w:rsidR="00465932" w:rsidRDefault="00465932" w:rsidP="00465932">
      <w:pPr>
        <w:widowControl w:val="0"/>
        <w:tabs>
          <w:tab w:val="left" w:pos="2340"/>
        </w:tabs>
        <w:autoSpaceDE w:val="0"/>
        <w:autoSpaceDN w:val="0"/>
        <w:adjustRightInd w:val="0"/>
        <w:spacing w:line="360" w:lineRule="auto"/>
        <w:ind w:firstLine="709"/>
        <w:contextualSpacing/>
        <w:jc w:val="both"/>
        <w:outlineLvl w:val="0"/>
        <w:rPr>
          <w:rFonts w:ascii="Times" w:hAnsi="Times" w:cs="Times New Roman"/>
          <w:bCs/>
          <w:noProof/>
        </w:rPr>
      </w:pPr>
      <w:r w:rsidRPr="006119A1">
        <w:rPr>
          <w:rFonts w:ascii="Times" w:hAnsi="Times" w:cs="Times New Roman"/>
          <w:bCs/>
          <w:noProof/>
        </w:rPr>
        <w:t xml:space="preserve">A </w:t>
      </w:r>
      <w:r>
        <w:rPr>
          <w:rFonts w:ascii="Times" w:hAnsi="Times" w:cs="Times New Roman"/>
          <w:bCs/>
          <w:noProof/>
        </w:rPr>
        <w:t>Tabela 10</w:t>
      </w:r>
      <w:r w:rsidRPr="006119A1">
        <w:rPr>
          <w:rFonts w:ascii="Times" w:hAnsi="Times" w:cs="Times New Roman"/>
          <w:bCs/>
          <w:noProof/>
        </w:rPr>
        <w:t xml:space="preserve"> apresenta a razão de concentração </w:t>
      </w:r>
      <w:r>
        <w:rPr>
          <w:rFonts w:ascii="Times" w:hAnsi="Times" w:cs="Times New Roman"/>
          <w:bCs/>
          <w:noProof/>
        </w:rPr>
        <w:t>da renda do</w:t>
      </w:r>
      <w:r w:rsidRPr="006119A1">
        <w:rPr>
          <w:rFonts w:ascii="Times" w:hAnsi="Times" w:cs="Times New Roman"/>
          <w:bCs/>
          <w:noProof/>
        </w:rPr>
        <w:t xml:space="preserve"> trabalho, das aposentadorias e pensões e dos outros rendimentos da Região Sul e do Brasil e o índice de Gini Total do Brasil</w:t>
      </w:r>
      <w:r>
        <w:rPr>
          <w:rFonts w:ascii="Times" w:hAnsi="Times" w:cs="Times New Roman"/>
          <w:bCs/>
          <w:noProof/>
        </w:rPr>
        <w:t>. A interpretação dos resultados é a de que se a razão de concentração for maior do que o índice de Gini, a fonte de renda em análise contribui para a concentração da renda.</w:t>
      </w:r>
    </w:p>
    <w:p w14:paraId="5AAD2CC6" w14:textId="578ACD90" w:rsidR="0010228C" w:rsidRDefault="0010228C" w:rsidP="0010228C">
      <w:pPr>
        <w:widowControl w:val="0"/>
        <w:tabs>
          <w:tab w:val="left" w:pos="2340"/>
        </w:tabs>
        <w:autoSpaceDE w:val="0"/>
        <w:autoSpaceDN w:val="0"/>
        <w:adjustRightInd w:val="0"/>
        <w:spacing w:line="360" w:lineRule="auto"/>
        <w:ind w:firstLine="709"/>
        <w:contextualSpacing/>
        <w:jc w:val="both"/>
        <w:outlineLvl w:val="0"/>
        <w:rPr>
          <w:rFonts w:ascii="Times" w:hAnsi="Times" w:cs="Times New Roman"/>
          <w:bCs/>
          <w:noProof/>
        </w:rPr>
      </w:pPr>
      <w:r w:rsidRPr="006119A1">
        <w:rPr>
          <w:rFonts w:ascii="Times" w:hAnsi="Times" w:cs="Times New Roman"/>
          <w:bCs/>
        </w:rPr>
        <w:t xml:space="preserve">Como </w:t>
      </w:r>
      <w:r>
        <w:rPr>
          <w:rFonts w:ascii="Times" w:hAnsi="Times" w:cs="Times New Roman"/>
          <w:bCs/>
        </w:rPr>
        <w:t xml:space="preserve">se </w:t>
      </w:r>
      <w:r w:rsidRPr="006119A1">
        <w:rPr>
          <w:rFonts w:ascii="Times" w:hAnsi="Times" w:cs="Times New Roman"/>
          <w:bCs/>
        </w:rPr>
        <w:t>v</w:t>
      </w:r>
      <w:r>
        <w:rPr>
          <w:rFonts w:ascii="Times" w:hAnsi="Times" w:cs="Times New Roman"/>
          <w:bCs/>
        </w:rPr>
        <w:t xml:space="preserve">isualiza </w:t>
      </w:r>
      <w:r w:rsidRPr="006119A1">
        <w:rPr>
          <w:rFonts w:ascii="Times" w:hAnsi="Times" w:cs="Times New Roman"/>
          <w:bCs/>
        </w:rPr>
        <w:t xml:space="preserve">no </w:t>
      </w:r>
      <w:r>
        <w:rPr>
          <w:rFonts w:ascii="Times" w:hAnsi="Times" w:cs="Times New Roman"/>
          <w:bCs/>
        </w:rPr>
        <w:t>G</w:t>
      </w:r>
      <w:r w:rsidRPr="006119A1">
        <w:rPr>
          <w:rFonts w:ascii="Times" w:hAnsi="Times" w:cs="Times New Roman"/>
          <w:bCs/>
        </w:rPr>
        <w:t xml:space="preserve">ráfico </w:t>
      </w:r>
      <w:r>
        <w:rPr>
          <w:rFonts w:ascii="Times" w:hAnsi="Times" w:cs="Times New Roman"/>
          <w:bCs/>
        </w:rPr>
        <w:t>4</w:t>
      </w:r>
      <w:r w:rsidRPr="006119A1">
        <w:rPr>
          <w:rFonts w:ascii="Times" w:hAnsi="Times" w:cs="Times New Roman"/>
          <w:bCs/>
        </w:rPr>
        <w:t>, antes e durante o</w:t>
      </w:r>
      <w:r>
        <w:rPr>
          <w:rFonts w:ascii="Times" w:hAnsi="Times" w:cs="Times New Roman"/>
          <w:bCs/>
        </w:rPr>
        <w:t>s</w:t>
      </w:r>
      <w:r w:rsidRPr="006119A1">
        <w:rPr>
          <w:rFonts w:ascii="Times" w:hAnsi="Times" w:cs="Times New Roman"/>
          <w:bCs/>
        </w:rPr>
        <w:t xml:space="preserve"> governo</w:t>
      </w:r>
      <w:r>
        <w:rPr>
          <w:rFonts w:ascii="Times" w:hAnsi="Times" w:cs="Times New Roman"/>
          <w:bCs/>
        </w:rPr>
        <w:t>s</w:t>
      </w:r>
      <w:r w:rsidRPr="006119A1">
        <w:rPr>
          <w:rFonts w:ascii="Times" w:hAnsi="Times" w:cs="Times New Roman"/>
          <w:bCs/>
        </w:rPr>
        <w:t xml:space="preserve"> FHC, os outros rendimentos</w:t>
      </w:r>
      <w:r>
        <w:rPr>
          <w:rFonts w:ascii="Times" w:hAnsi="Times" w:cs="Times New Roman"/>
          <w:bCs/>
        </w:rPr>
        <w:t>, que incluem a renda do capital e de programas sociais,</w:t>
      </w:r>
      <w:r w:rsidRPr="006119A1">
        <w:rPr>
          <w:rFonts w:ascii="Times" w:hAnsi="Times" w:cs="Times New Roman"/>
          <w:bCs/>
        </w:rPr>
        <w:t xml:space="preserve"> da região Sul co</w:t>
      </w:r>
      <w:r>
        <w:rPr>
          <w:rFonts w:ascii="Times" w:hAnsi="Times" w:cs="Times New Roman"/>
          <w:bCs/>
        </w:rPr>
        <w:t>labora</w:t>
      </w:r>
      <w:r w:rsidRPr="006119A1">
        <w:rPr>
          <w:rFonts w:ascii="Times" w:hAnsi="Times" w:cs="Times New Roman"/>
          <w:bCs/>
        </w:rPr>
        <w:t>ram para concentrar renda no Brasil, exceto nos anos de 1990 e 2001</w:t>
      </w:r>
      <w:r>
        <w:rPr>
          <w:rFonts w:ascii="Times" w:hAnsi="Times" w:cs="Times New Roman"/>
          <w:bCs/>
        </w:rPr>
        <w:t>. A</w:t>
      </w:r>
      <w:r w:rsidRPr="006119A1">
        <w:rPr>
          <w:rFonts w:ascii="Times" w:hAnsi="Times" w:cs="Times New Roman"/>
          <w:bCs/>
        </w:rPr>
        <w:t xml:space="preserve"> partir de 2001</w:t>
      </w:r>
      <w:r>
        <w:rPr>
          <w:rFonts w:ascii="Times" w:hAnsi="Times" w:cs="Times New Roman"/>
          <w:bCs/>
        </w:rPr>
        <w:t>,</w:t>
      </w:r>
      <w:r w:rsidRPr="006119A1">
        <w:rPr>
          <w:rFonts w:ascii="Times" w:hAnsi="Times" w:cs="Times New Roman"/>
          <w:bCs/>
        </w:rPr>
        <w:t xml:space="preserve"> nenhum desses rendimentos contribuiu para a concentr</w:t>
      </w:r>
      <w:r>
        <w:rPr>
          <w:rFonts w:ascii="Times" w:hAnsi="Times" w:cs="Times New Roman"/>
          <w:bCs/>
        </w:rPr>
        <w:t>ação de renda no Sul,</w:t>
      </w:r>
      <w:r w:rsidRPr="006119A1">
        <w:rPr>
          <w:rFonts w:ascii="Times" w:hAnsi="Times" w:cs="Times New Roman"/>
          <w:bCs/>
        </w:rPr>
        <w:t xml:space="preserve"> ou seja</w:t>
      </w:r>
      <w:r>
        <w:rPr>
          <w:rFonts w:ascii="Times" w:hAnsi="Times" w:cs="Times New Roman"/>
          <w:bCs/>
        </w:rPr>
        <w:t>, d</w:t>
      </w:r>
      <w:r w:rsidRPr="006119A1">
        <w:rPr>
          <w:rFonts w:ascii="Times" w:hAnsi="Times" w:cs="Times New Roman"/>
          <w:bCs/>
        </w:rPr>
        <w:t>urante o</w:t>
      </w:r>
      <w:r>
        <w:rPr>
          <w:rFonts w:ascii="Times" w:hAnsi="Times" w:cs="Times New Roman"/>
          <w:bCs/>
        </w:rPr>
        <w:t>s</w:t>
      </w:r>
      <w:r w:rsidRPr="006119A1">
        <w:rPr>
          <w:rFonts w:ascii="Times" w:hAnsi="Times" w:cs="Times New Roman"/>
          <w:bCs/>
        </w:rPr>
        <w:t xml:space="preserve"> governo</w:t>
      </w:r>
      <w:r>
        <w:rPr>
          <w:rFonts w:ascii="Times" w:hAnsi="Times" w:cs="Times New Roman"/>
          <w:bCs/>
        </w:rPr>
        <w:t>s</w:t>
      </w:r>
      <w:r w:rsidRPr="006119A1">
        <w:rPr>
          <w:rFonts w:ascii="Times" w:hAnsi="Times" w:cs="Times New Roman"/>
          <w:bCs/>
        </w:rPr>
        <w:t xml:space="preserve"> Lula</w:t>
      </w:r>
      <w:r>
        <w:rPr>
          <w:rFonts w:ascii="Times" w:hAnsi="Times" w:cs="Times New Roman"/>
          <w:bCs/>
        </w:rPr>
        <w:t>, a parcela da renda domiciliar que derivou desses rendimentos não comprometeu a desigualdade de renda</w:t>
      </w:r>
    </w:p>
    <w:p w14:paraId="67B7AA46" w14:textId="77777777" w:rsidR="0010228C" w:rsidRDefault="0010228C" w:rsidP="000C17EC">
      <w:pPr>
        <w:widowControl w:val="0"/>
        <w:autoSpaceDE w:val="0"/>
        <w:autoSpaceDN w:val="0"/>
        <w:adjustRightInd w:val="0"/>
        <w:spacing w:after="240" w:line="360" w:lineRule="auto"/>
        <w:jc w:val="both"/>
        <w:outlineLvl w:val="0"/>
        <w:rPr>
          <w:rFonts w:ascii="Times" w:hAnsi="Times" w:cs="Times New Roman"/>
          <w:bCs/>
          <w:noProof/>
        </w:rPr>
      </w:pPr>
    </w:p>
    <w:p w14:paraId="05CC1D9F" w14:textId="1D191E9A" w:rsidR="00AC6918" w:rsidRDefault="00EE5A4F" w:rsidP="000C17EC">
      <w:pPr>
        <w:widowControl w:val="0"/>
        <w:autoSpaceDE w:val="0"/>
        <w:autoSpaceDN w:val="0"/>
        <w:adjustRightInd w:val="0"/>
        <w:spacing w:after="240" w:line="360" w:lineRule="auto"/>
        <w:jc w:val="both"/>
        <w:outlineLvl w:val="0"/>
        <w:rPr>
          <w:rFonts w:ascii="Times" w:hAnsi="Times"/>
          <w:noProof/>
        </w:rPr>
      </w:pPr>
      <w:r w:rsidRPr="00C90F2E">
        <w:rPr>
          <w:rFonts w:ascii="Times" w:hAnsi="Times" w:cs="Times New Roman"/>
          <w:bCs/>
          <w:noProof/>
        </w:rPr>
        <w:lastRenderedPageBreak/>
        <w:t xml:space="preserve">Gráfico </w:t>
      </w:r>
      <w:r w:rsidR="00D804F1" w:rsidRPr="00C90F2E">
        <w:rPr>
          <w:rFonts w:ascii="Times" w:hAnsi="Times" w:cs="Times New Roman"/>
          <w:bCs/>
          <w:noProof/>
        </w:rPr>
        <w:t>4</w:t>
      </w:r>
      <w:r w:rsidR="00C90F2E">
        <w:rPr>
          <w:rFonts w:ascii="Times" w:hAnsi="Times" w:cs="Times New Roman"/>
          <w:bCs/>
          <w:noProof/>
        </w:rPr>
        <w:t xml:space="preserve"> -</w:t>
      </w:r>
      <w:r w:rsidRPr="00673CDF">
        <w:rPr>
          <w:rFonts w:ascii="Times" w:hAnsi="Times" w:cs="Times New Roman"/>
          <w:b/>
          <w:bCs/>
          <w:noProof/>
        </w:rPr>
        <w:t xml:space="preserve"> </w:t>
      </w:r>
      <w:r w:rsidR="00FE32C3" w:rsidRPr="00673CDF">
        <w:rPr>
          <w:rFonts w:ascii="Times" w:hAnsi="Times" w:cs="Times New Roman"/>
        </w:rPr>
        <w:t xml:space="preserve">Razão de Concentração na decomposição do Índice de Gini total do Brasil do rendimento domiciliar </w:t>
      </w:r>
      <w:r w:rsidR="00FE32C3" w:rsidRPr="00673CDF">
        <w:rPr>
          <w:rFonts w:ascii="Times" w:hAnsi="Times" w:cs="Times"/>
          <w:i/>
        </w:rPr>
        <w:t>per capita</w:t>
      </w:r>
      <w:r w:rsidR="00FE32C3" w:rsidRPr="00673CDF">
        <w:rPr>
          <w:rFonts w:ascii="Times" w:hAnsi="Times" w:cs="Times"/>
        </w:rPr>
        <w:t xml:space="preserve">. </w:t>
      </w:r>
      <w:r w:rsidR="00D63CBB" w:rsidRPr="00673CDF">
        <w:rPr>
          <w:rFonts w:ascii="Times" w:hAnsi="Times" w:cs="Times New Roman"/>
        </w:rPr>
        <w:t>Região Sul, de 1990</w:t>
      </w:r>
      <w:r w:rsidR="00FE32C3" w:rsidRPr="00673CDF">
        <w:rPr>
          <w:rFonts w:ascii="Times" w:hAnsi="Times" w:cs="Times New Roman"/>
        </w:rPr>
        <w:t xml:space="preserve"> a 2011</w:t>
      </w:r>
      <w:r w:rsidR="001E4BBD" w:rsidRPr="00673CDF">
        <w:rPr>
          <w:rFonts w:ascii="Times" w:hAnsi="Times" w:cs="Times New Roman"/>
        </w:rPr>
        <w:t>.</w:t>
      </w:r>
      <w:r w:rsidR="001E4BBD" w:rsidRPr="009D5154">
        <w:rPr>
          <w:rFonts w:ascii="Times" w:hAnsi="Times"/>
          <w:noProof/>
        </w:rPr>
        <w:t xml:space="preserve"> </w:t>
      </w:r>
    </w:p>
    <w:p w14:paraId="0299132A" w14:textId="4B16AD60" w:rsidR="00C45CA0" w:rsidRPr="00282B85" w:rsidRDefault="00DE4847" w:rsidP="000C17EC">
      <w:pPr>
        <w:widowControl w:val="0"/>
        <w:autoSpaceDE w:val="0"/>
        <w:autoSpaceDN w:val="0"/>
        <w:adjustRightInd w:val="0"/>
        <w:spacing w:after="240" w:line="360" w:lineRule="auto"/>
        <w:jc w:val="both"/>
        <w:outlineLvl w:val="0"/>
        <w:rPr>
          <w:rFonts w:ascii="Times" w:hAnsi="Times" w:cs="Times New Roman"/>
          <w:bCs/>
        </w:rPr>
      </w:pPr>
      <w:r>
        <w:rPr>
          <w:noProof/>
          <w:lang w:eastAsia="pt-BR"/>
        </w:rPr>
        <w:drawing>
          <wp:inline distT="0" distB="0" distL="0" distR="0" wp14:anchorId="13712A40" wp14:editId="7ED28D25">
            <wp:extent cx="5791200" cy="32385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r w:rsidR="00EA1A02" w:rsidRPr="00AC6918">
        <w:rPr>
          <w:rFonts w:ascii="Times" w:hAnsi="Times"/>
          <w:sz w:val="18"/>
          <w:szCs w:val="18"/>
        </w:rPr>
        <w:t>Fonte:</w:t>
      </w:r>
      <w:r w:rsidR="00465932">
        <w:rPr>
          <w:rFonts w:ascii="Times" w:hAnsi="Times"/>
          <w:sz w:val="18"/>
          <w:szCs w:val="18"/>
        </w:rPr>
        <w:t xml:space="preserve"> Elaboração dos autores a partir da PNAD 1995-2009 e de</w:t>
      </w:r>
      <w:r w:rsidR="00372726" w:rsidRPr="00AC6918">
        <w:rPr>
          <w:rFonts w:ascii="Times" w:hAnsi="Times"/>
          <w:sz w:val="18"/>
          <w:szCs w:val="18"/>
        </w:rPr>
        <w:t xml:space="preserve"> </w:t>
      </w:r>
      <w:r w:rsidR="00EA1A02" w:rsidRPr="00AC6918">
        <w:rPr>
          <w:rFonts w:ascii="Times" w:hAnsi="Times"/>
          <w:sz w:val="18"/>
          <w:szCs w:val="18"/>
        </w:rPr>
        <w:t>FERREIRA;</w:t>
      </w:r>
      <w:r w:rsidR="004724AC" w:rsidRPr="00AC6918">
        <w:rPr>
          <w:rFonts w:ascii="Times" w:hAnsi="Times"/>
          <w:sz w:val="18"/>
          <w:szCs w:val="18"/>
        </w:rPr>
        <w:t xml:space="preserve"> </w:t>
      </w:r>
      <w:r w:rsidR="00EA1A02" w:rsidRPr="00AC6918">
        <w:rPr>
          <w:rFonts w:ascii="Times" w:hAnsi="Times"/>
          <w:sz w:val="18"/>
          <w:szCs w:val="18"/>
        </w:rPr>
        <w:t>SOUZA</w:t>
      </w:r>
      <w:r w:rsidR="00E05D8E" w:rsidRPr="00AC6918">
        <w:rPr>
          <w:rFonts w:ascii="Times" w:hAnsi="Times"/>
          <w:sz w:val="18"/>
          <w:szCs w:val="18"/>
        </w:rPr>
        <w:t xml:space="preserve"> </w:t>
      </w:r>
      <w:r w:rsidR="00EA1A02" w:rsidRPr="00AC6918">
        <w:rPr>
          <w:rFonts w:ascii="Times" w:hAnsi="Times"/>
          <w:sz w:val="18"/>
          <w:szCs w:val="18"/>
        </w:rPr>
        <w:t>(2013)</w:t>
      </w:r>
      <w:r w:rsidR="00465932">
        <w:rPr>
          <w:rFonts w:ascii="Times" w:hAnsi="Times"/>
          <w:sz w:val="18"/>
          <w:szCs w:val="18"/>
        </w:rPr>
        <w:t xml:space="preserve"> para</w:t>
      </w:r>
      <w:r w:rsidR="00EA1A02" w:rsidRPr="00AC6918">
        <w:rPr>
          <w:rFonts w:ascii="Times" w:hAnsi="Times"/>
          <w:sz w:val="18"/>
          <w:szCs w:val="18"/>
        </w:rPr>
        <w:t xml:space="preserve"> PNADs de 19</w:t>
      </w:r>
      <w:r w:rsidR="00355951">
        <w:rPr>
          <w:rFonts w:ascii="Times" w:hAnsi="Times"/>
          <w:sz w:val="18"/>
          <w:szCs w:val="18"/>
        </w:rPr>
        <w:t>90-93 e 2011</w:t>
      </w:r>
    </w:p>
    <w:p w14:paraId="4580E0CA" w14:textId="7AC21AF5" w:rsidR="00282B85" w:rsidRDefault="00282B85" w:rsidP="00282B85">
      <w:pPr>
        <w:widowControl w:val="0"/>
        <w:autoSpaceDE w:val="0"/>
        <w:autoSpaceDN w:val="0"/>
        <w:adjustRightInd w:val="0"/>
        <w:spacing w:after="240" w:line="360" w:lineRule="auto"/>
        <w:ind w:firstLine="720"/>
        <w:jc w:val="both"/>
        <w:rPr>
          <w:rFonts w:ascii="Times" w:hAnsi="Times"/>
        </w:rPr>
      </w:pPr>
      <w:r w:rsidRPr="006119A1">
        <w:rPr>
          <w:rFonts w:ascii="Times" w:hAnsi="Times"/>
        </w:rPr>
        <w:t xml:space="preserve">No </w:t>
      </w:r>
      <w:r w:rsidRPr="009C6A02">
        <w:rPr>
          <w:rFonts w:ascii="Times" w:hAnsi="Times"/>
        </w:rPr>
        <w:t>Brasil, no período 1995-2002, mandato de FHC, e especificamente de 1995 a 199</w:t>
      </w:r>
      <w:r w:rsidR="00175178">
        <w:rPr>
          <w:rFonts w:ascii="Times" w:hAnsi="Times"/>
        </w:rPr>
        <w:t>8</w:t>
      </w:r>
      <w:r w:rsidRPr="009C6A02">
        <w:rPr>
          <w:rFonts w:ascii="Times" w:hAnsi="Times"/>
        </w:rPr>
        <w:t>, houve concentração</w:t>
      </w:r>
      <w:r w:rsidRPr="006119A1">
        <w:rPr>
          <w:rFonts w:ascii="Times" w:hAnsi="Times"/>
        </w:rPr>
        <w:t xml:space="preserve"> de renda devido aos outros rendimentos</w:t>
      </w:r>
      <w:r w:rsidR="00D2479F">
        <w:rPr>
          <w:rFonts w:ascii="Times" w:hAnsi="Times"/>
        </w:rPr>
        <w:t>;</w:t>
      </w:r>
      <w:r w:rsidRPr="006119A1">
        <w:rPr>
          <w:rFonts w:ascii="Times" w:hAnsi="Times"/>
        </w:rPr>
        <w:t xml:space="preserve"> de 1998 a 2002 </w:t>
      </w:r>
      <w:r w:rsidR="00D2479F">
        <w:rPr>
          <w:rFonts w:ascii="Times" w:hAnsi="Times"/>
        </w:rPr>
        <w:t>também devido à</w:t>
      </w:r>
      <w:r w:rsidRPr="006119A1">
        <w:rPr>
          <w:rFonts w:ascii="Times" w:hAnsi="Times"/>
        </w:rPr>
        <w:t>s aposentadorias e pensões. No governo Lula</w:t>
      </w:r>
      <w:r>
        <w:rPr>
          <w:rFonts w:ascii="Times" w:hAnsi="Times"/>
        </w:rPr>
        <w:t xml:space="preserve">, </w:t>
      </w:r>
      <w:r w:rsidRPr="006119A1">
        <w:rPr>
          <w:rFonts w:ascii="Times" w:hAnsi="Times"/>
        </w:rPr>
        <w:t xml:space="preserve">a concentração </w:t>
      </w:r>
      <w:r w:rsidR="00175178">
        <w:rPr>
          <w:rFonts w:ascii="Times" w:hAnsi="Times"/>
        </w:rPr>
        <w:t xml:space="preserve">de renda </w:t>
      </w:r>
      <w:r w:rsidR="00FF595C">
        <w:rPr>
          <w:rFonts w:ascii="Times" w:hAnsi="Times"/>
        </w:rPr>
        <w:t>influenciada</w:t>
      </w:r>
      <w:r w:rsidR="00175178">
        <w:rPr>
          <w:rFonts w:ascii="Times" w:hAnsi="Times"/>
        </w:rPr>
        <w:t xml:space="preserve"> pelas </w:t>
      </w:r>
      <w:r w:rsidRPr="006119A1">
        <w:rPr>
          <w:rFonts w:ascii="Times" w:hAnsi="Times"/>
        </w:rPr>
        <w:t>aposentadorias e pensões permaneceu até o fim de seu mandato. Em 2011, o trabalho e as aposentadorias e pensões co</w:t>
      </w:r>
      <w:r>
        <w:rPr>
          <w:rFonts w:ascii="Times" w:hAnsi="Times"/>
        </w:rPr>
        <w:t>operar</w:t>
      </w:r>
      <w:r w:rsidRPr="006119A1">
        <w:rPr>
          <w:rFonts w:ascii="Times" w:hAnsi="Times"/>
        </w:rPr>
        <w:t xml:space="preserve">am </w:t>
      </w:r>
      <w:r>
        <w:rPr>
          <w:rFonts w:ascii="Times" w:hAnsi="Times"/>
        </w:rPr>
        <w:t>para</w:t>
      </w:r>
      <w:r w:rsidRPr="006119A1">
        <w:rPr>
          <w:rFonts w:ascii="Times" w:hAnsi="Times"/>
        </w:rPr>
        <w:t xml:space="preserve"> a queda </w:t>
      </w:r>
      <w:r>
        <w:rPr>
          <w:rFonts w:ascii="Times" w:hAnsi="Times"/>
        </w:rPr>
        <w:t>d</w:t>
      </w:r>
      <w:r w:rsidRPr="006119A1">
        <w:rPr>
          <w:rFonts w:ascii="Times" w:hAnsi="Times"/>
        </w:rPr>
        <w:t>a desigualdade do país</w:t>
      </w:r>
      <w:r>
        <w:rPr>
          <w:rFonts w:ascii="Times" w:hAnsi="Times"/>
        </w:rPr>
        <w:t>, segundo</w:t>
      </w:r>
      <w:r w:rsidRPr="006119A1">
        <w:rPr>
          <w:rFonts w:ascii="Times" w:hAnsi="Times"/>
        </w:rPr>
        <w:t xml:space="preserve"> mostra o </w:t>
      </w:r>
      <w:r>
        <w:rPr>
          <w:rFonts w:ascii="Times" w:hAnsi="Times"/>
        </w:rPr>
        <w:t>G</w:t>
      </w:r>
      <w:r w:rsidRPr="006119A1">
        <w:rPr>
          <w:rFonts w:ascii="Times" w:hAnsi="Times"/>
        </w:rPr>
        <w:t xml:space="preserve">ráfico </w:t>
      </w:r>
      <w:r w:rsidR="00A2693E">
        <w:rPr>
          <w:rFonts w:ascii="Times" w:hAnsi="Times"/>
        </w:rPr>
        <w:t>5</w:t>
      </w:r>
      <w:r w:rsidRPr="006119A1">
        <w:rPr>
          <w:rFonts w:ascii="Times" w:hAnsi="Times"/>
        </w:rPr>
        <w:t>.</w:t>
      </w:r>
    </w:p>
    <w:p w14:paraId="03913499" w14:textId="21B504F6" w:rsidR="00860063" w:rsidRDefault="00860063" w:rsidP="00282B85">
      <w:pPr>
        <w:widowControl w:val="0"/>
        <w:autoSpaceDE w:val="0"/>
        <w:autoSpaceDN w:val="0"/>
        <w:adjustRightInd w:val="0"/>
        <w:spacing w:after="240" w:line="360" w:lineRule="auto"/>
        <w:ind w:firstLine="720"/>
        <w:jc w:val="both"/>
        <w:rPr>
          <w:rFonts w:ascii="Times" w:hAnsi="Times"/>
        </w:rPr>
      </w:pPr>
    </w:p>
    <w:p w14:paraId="388C0AD7" w14:textId="3274FC37" w:rsidR="00860063" w:rsidRDefault="00860063" w:rsidP="00282B85">
      <w:pPr>
        <w:widowControl w:val="0"/>
        <w:autoSpaceDE w:val="0"/>
        <w:autoSpaceDN w:val="0"/>
        <w:adjustRightInd w:val="0"/>
        <w:spacing w:after="240" w:line="360" w:lineRule="auto"/>
        <w:ind w:firstLine="720"/>
        <w:jc w:val="both"/>
        <w:rPr>
          <w:rFonts w:ascii="Times" w:hAnsi="Times"/>
        </w:rPr>
      </w:pPr>
    </w:p>
    <w:p w14:paraId="4CFC8CE4" w14:textId="737AB929" w:rsidR="00860063" w:rsidRDefault="00860063" w:rsidP="00282B85">
      <w:pPr>
        <w:widowControl w:val="0"/>
        <w:autoSpaceDE w:val="0"/>
        <w:autoSpaceDN w:val="0"/>
        <w:adjustRightInd w:val="0"/>
        <w:spacing w:after="240" w:line="360" w:lineRule="auto"/>
        <w:ind w:firstLine="720"/>
        <w:jc w:val="both"/>
        <w:rPr>
          <w:rFonts w:ascii="Times" w:hAnsi="Times"/>
        </w:rPr>
      </w:pPr>
    </w:p>
    <w:p w14:paraId="461E4D5C" w14:textId="286733AF" w:rsidR="00860063" w:rsidRDefault="00860063" w:rsidP="00282B85">
      <w:pPr>
        <w:widowControl w:val="0"/>
        <w:autoSpaceDE w:val="0"/>
        <w:autoSpaceDN w:val="0"/>
        <w:adjustRightInd w:val="0"/>
        <w:spacing w:after="240" w:line="360" w:lineRule="auto"/>
        <w:ind w:firstLine="720"/>
        <w:jc w:val="both"/>
        <w:rPr>
          <w:rFonts w:ascii="Times" w:hAnsi="Times"/>
        </w:rPr>
      </w:pPr>
    </w:p>
    <w:p w14:paraId="1A369984" w14:textId="04557307" w:rsidR="00860063" w:rsidRDefault="00860063" w:rsidP="00282B85">
      <w:pPr>
        <w:widowControl w:val="0"/>
        <w:autoSpaceDE w:val="0"/>
        <w:autoSpaceDN w:val="0"/>
        <w:adjustRightInd w:val="0"/>
        <w:spacing w:after="240" w:line="360" w:lineRule="auto"/>
        <w:ind w:firstLine="720"/>
        <w:jc w:val="both"/>
        <w:rPr>
          <w:rFonts w:ascii="Times" w:hAnsi="Times"/>
        </w:rPr>
      </w:pPr>
    </w:p>
    <w:p w14:paraId="5D2A8B83" w14:textId="1559F4F5" w:rsidR="00860063" w:rsidRDefault="00860063" w:rsidP="00282B85">
      <w:pPr>
        <w:widowControl w:val="0"/>
        <w:autoSpaceDE w:val="0"/>
        <w:autoSpaceDN w:val="0"/>
        <w:adjustRightInd w:val="0"/>
        <w:spacing w:after="240" w:line="360" w:lineRule="auto"/>
        <w:ind w:firstLine="720"/>
        <w:jc w:val="both"/>
        <w:rPr>
          <w:rFonts w:ascii="Times" w:hAnsi="Times"/>
        </w:rPr>
      </w:pPr>
    </w:p>
    <w:p w14:paraId="37170D48" w14:textId="77777777" w:rsidR="00860063" w:rsidRDefault="00860063" w:rsidP="00282B85">
      <w:pPr>
        <w:widowControl w:val="0"/>
        <w:autoSpaceDE w:val="0"/>
        <w:autoSpaceDN w:val="0"/>
        <w:adjustRightInd w:val="0"/>
        <w:spacing w:after="240" w:line="360" w:lineRule="auto"/>
        <w:ind w:firstLine="720"/>
        <w:jc w:val="both"/>
        <w:rPr>
          <w:rFonts w:ascii="Times" w:hAnsi="Times"/>
        </w:rPr>
      </w:pPr>
    </w:p>
    <w:p w14:paraId="36C183B4" w14:textId="71D8B059" w:rsidR="00EA1A02" w:rsidRDefault="00DA68BC" w:rsidP="00347B57">
      <w:pPr>
        <w:widowControl w:val="0"/>
        <w:autoSpaceDE w:val="0"/>
        <w:autoSpaceDN w:val="0"/>
        <w:adjustRightInd w:val="0"/>
        <w:spacing w:after="240" w:line="360" w:lineRule="auto"/>
        <w:jc w:val="both"/>
        <w:rPr>
          <w:rFonts w:ascii="Times" w:hAnsi="Times" w:cs="Times New Roman"/>
        </w:rPr>
      </w:pPr>
      <w:r w:rsidRPr="00C90F2E">
        <w:rPr>
          <w:rFonts w:ascii="Times" w:hAnsi="Times" w:cs="Times New Roman"/>
          <w:bCs/>
          <w:noProof/>
        </w:rPr>
        <w:lastRenderedPageBreak/>
        <w:t xml:space="preserve">Gráfico </w:t>
      </w:r>
      <w:r w:rsidR="00C90F2E">
        <w:rPr>
          <w:rFonts w:ascii="Times" w:hAnsi="Times" w:cs="Times New Roman"/>
          <w:bCs/>
          <w:noProof/>
        </w:rPr>
        <w:t xml:space="preserve">5 - </w:t>
      </w:r>
      <w:r w:rsidR="00EA1A02" w:rsidRPr="006119A1">
        <w:rPr>
          <w:rFonts w:ascii="Times" w:hAnsi="Times" w:cs="Times New Roman"/>
          <w:b/>
          <w:bCs/>
          <w:noProof/>
        </w:rPr>
        <w:t xml:space="preserve"> </w:t>
      </w:r>
      <w:r w:rsidR="00FE32C3" w:rsidRPr="00902882">
        <w:rPr>
          <w:rFonts w:ascii="Times" w:hAnsi="Times" w:cs="Times New Roman"/>
        </w:rPr>
        <w:t xml:space="preserve">Razão de Concentração na decomposição do Índice de Gini brasileiro do rendimento domiciliar </w:t>
      </w:r>
      <w:r w:rsidR="00FE32C3" w:rsidRPr="00902882">
        <w:rPr>
          <w:rFonts w:ascii="Times" w:hAnsi="Times" w:cs="Times"/>
          <w:i/>
        </w:rPr>
        <w:t>per capita</w:t>
      </w:r>
      <w:r w:rsidR="00FE32C3" w:rsidRPr="00902882">
        <w:rPr>
          <w:rFonts w:ascii="Times" w:hAnsi="Times" w:cs="Times"/>
        </w:rPr>
        <w:t xml:space="preserve"> do Brasil</w:t>
      </w:r>
      <w:r w:rsidR="00D63CBB" w:rsidRPr="00902882">
        <w:rPr>
          <w:rFonts w:ascii="Times" w:hAnsi="Times" w:cs="Times New Roman"/>
        </w:rPr>
        <w:t>, de 1990</w:t>
      </w:r>
      <w:r w:rsidR="00FE32C3" w:rsidRPr="00902882">
        <w:rPr>
          <w:rFonts w:ascii="Times" w:hAnsi="Times" w:cs="Times New Roman"/>
        </w:rPr>
        <w:t xml:space="preserve"> a 2011.</w:t>
      </w:r>
    </w:p>
    <w:p w14:paraId="22FC9A68" w14:textId="77777777" w:rsidR="00320318" w:rsidRDefault="00DE4847" w:rsidP="0056485D">
      <w:pPr>
        <w:widowControl w:val="0"/>
        <w:autoSpaceDE w:val="0"/>
        <w:autoSpaceDN w:val="0"/>
        <w:adjustRightInd w:val="0"/>
        <w:spacing w:after="240"/>
        <w:jc w:val="both"/>
        <w:rPr>
          <w:rFonts w:ascii="Times" w:hAnsi="Times"/>
          <w:sz w:val="20"/>
          <w:szCs w:val="20"/>
        </w:rPr>
      </w:pPr>
      <w:r>
        <w:rPr>
          <w:noProof/>
          <w:lang w:eastAsia="pt-BR"/>
        </w:rPr>
        <w:drawing>
          <wp:inline distT="0" distB="0" distL="0" distR="0" wp14:anchorId="6AB163DB" wp14:editId="605E3D5D">
            <wp:extent cx="5676900" cy="28194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14:paraId="38E66356" w14:textId="4A55EF90" w:rsidR="0056485D" w:rsidRPr="0056485D" w:rsidRDefault="00EA1A02" w:rsidP="0056485D">
      <w:pPr>
        <w:widowControl w:val="0"/>
        <w:autoSpaceDE w:val="0"/>
        <w:autoSpaceDN w:val="0"/>
        <w:adjustRightInd w:val="0"/>
        <w:spacing w:after="240"/>
        <w:jc w:val="both"/>
        <w:rPr>
          <w:rFonts w:ascii="Times" w:hAnsi="Times"/>
          <w:sz w:val="20"/>
          <w:szCs w:val="20"/>
        </w:rPr>
      </w:pPr>
      <w:r w:rsidRPr="005C551A">
        <w:rPr>
          <w:rFonts w:ascii="Times" w:hAnsi="Times"/>
          <w:sz w:val="20"/>
          <w:szCs w:val="20"/>
        </w:rPr>
        <w:t>Fonte</w:t>
      </w:r>
      <w:r w:rsidR="00355951" w:rsidRPr="00AC6918">
        <w:rPr>
          <w:rFonts w:ascii="Times" w:hAnsi="Times"/>
          <w:sz w:val="18"/>
          <w:szCs w:val="18"/>
        </w:rPr>
        <w:t>:</w:t>
      </w:r>
      <w:r w:rsidR="00355951">
        <w:rPr>
          <w:rFonts w:ascii="Times" w:hAnsi="Times"/>
          <w:sz w:val="18"/>
          <w:szCs w:val="18"/>
        </w:rPr>
        <w:t xml:space="preserve"> Elaboração dos autores a partir da PNAD 1995-2009 e de</w:t>
      </w:r>
      <w:r w:rsidR="00355951" w:rsidRPr="00AC6918">
        <w:rPr>
          <w:rFonts w:ascii="Times" w:hAnsi="Times"/>
          <w:sz w:val="18"/>
          <w:szCs w:val="18"/>
        </w:rPr>
        <w:t xml:space="preserve"> FERREIRA; SOUZA (2013)</w:t>
      </w:r>
      <w:r w:rsidR="00355951">
        <w:rPr>
          <w:rFonts w:ascii="Times" w:hAnsi="Times"/>
          <w:sz w:val="18"/>
          <w:szCs w:val="18"/>
        </w:rPr>
        <w:t xml:space="preserve"> para</w:t>
      </w:r>
      <w:r w:rsidR="00355951" w:rsidRPr="00AC6918">
        <w:rPr>
          <w:rFonts w:ascii="Times" w:hAnsi="Times"/>
          <w:sz w:val="18"/>
          <w:szCs w:val="18"/>
        </w:rPr>
        <w:t xml:space="preserve"> PNADs de 19</w:t>
      </w:r>
      <w:r w:rsidR="00355951">
        <w:rPr>
          <w:rFonts w:ascii="Times" w:hAnsi="Times"/>
          <w:sz w:val="18"/>
          <w:szCs w:val="18"/>
        </w:rPr>
        <w:t>90-93 e 2011</w:t>
      </w:r>
      <w:r w:rsidR="00355951">
        <w:rPr>
          <w:rFonts w:ascii="Times" w:hAnsi="Times"/>
          <w:sz w:val="18"/>
          <w:szCs w:val="18"/>
        </w:rPr>
        <w:t xml:space="preserve">  </w:t>
      </w:r>
      <w:r w:rsidR="00462EE4">
        <w:rPr>
          <w:rFonts w:ascii="Times" w:hAnsi="Times"/>
          <w:sz w:val="20"/>
          <w:szCs w:val="20"/>
        </w:rPr>
        <w:t xml:space="preserve"> </w:t>
      </w:r>
      <w:r w:rsidR="0056485D">
        <w:rPr>
          <w:rFonts w:ascii="Times" w:hAnsi="Times"/>
          <w:sz w:val="20"/>
          <w:szCs w:val="20"/>
        </w:rPr>
        <w:t>TP1: trabalho principal  AP2: aposentadorias e pensões OR3: outros rendimentos GT4: Gini Total SUL</w:t>
      </w:r>
    </w:p>
    <w:p w14:paraId="797DB700" w14:textId="47D463EC" w:rsidR="008C146A" w:rsidRDefault="00FF595C" w:rsidP="00347B57">
      <w:pPr>
        <w:widowControl w:val="0"/>
        <w:autoSpaceDE w:val="0"/>
        <w:autoSpaceDN w:val="0"/>
        <w:adjustRightInd w:val="0"/>
        <w:spacing w:line="360" w:lineRule="auto"/>
        <w:ind w:firstLine="720"/>
        <w:jc w:val="both"/>
        <w:outlineLvl w:val="0"/>
        <w:rPr>
          <w:rFonts w:ascii="Times" w:hAnsi="Times" w:cs="Times New Roman"/>
          <w:bCs/>
          <w:noProof/>
        </w:rPr>
      </w:pPr>
      <w:r>
        <w:rPr>
          <w:rFonts w:ascii="Times" w:hAnsi="Times" w:cs="Times New Roman"/>
          <w:bCs/>
          <w:noProof/>
        </w:rPr>
        <w:t>O problema relacionado às rendas das aposentadorias e pensões e a sua contribuição para a conc</w:t>
      </w:r>
      <w:r w:rsidR="00701461">
        <w:rPr>
          <w:rFonts w:ascii="Times" w:hAnsi="Times" w:cs="Times New Roman"/>
          <w:bCs/>
          <w:noProof/>
        </w:rPr>
        <w:t>en</w:t>
      </w:r>
      <w:r>
        <w:rPr>
          <w:rFonts w:ascii="Times" w:hAnsi="Times" w:cs="Times New Roman"/>
          <w:bCs/>
          <w:noProof/>
        </w:rPr>
        <w:t xml:space="preserve">tração de renda no Brasil sugere uma perspectiva nacional, porque persiste desde o segundo governo FHC até os governos Lula, apesar do discurso das </w:t>
      </w:r>
      <w:r w:rsidR="00701461">
        <w:rPr>
          <w:rFonts w:ascii="Times" w:hAnsi="Times" w:cs="Times New Roman"/>
          <w:bCs/>
          <w:noProof/>
        </w:rPr>
        <w:t xml:space="preserve">necessidades de reformas do sistema previdenciário brasileiro e de algumas experiências que não deram conta da solução do problema. Regionalmente, a questão indica ser </w:t>
      </w:r>
      <w:r w:rsidR="0094120C">
        <w:rPr>
          <w:rFonts w:ascii="Times" w:hAnsi="Times" w:cs="Times New Roman"/>
          <w:bCs/>
          <w:noProof/>
        </w:rPr>
        <w:t xml:space="preserve">relativamente </w:t>
      </w:r>
      <w:r w:rsidR="00701461">
        <w:rPr>
          <w:rFonts w:ascii="Times" w:hAnsi="Times" w:cs="Times New Roman"/>
          <w:bCs/>
          <w:noProof/>
        </w:rPr>
        <w:t>menos preocupante, a partir dos dados. Isso se vê também na próxima seção.</w:t>
      </w:r>
    </w:p>
    <w:p w14:paraId="0EB48CC9" w14:textId="77777777" w:rsidR="00FF595C" w:rsidRPr="00FF595C" w:rsidRDefault="00FF595C" w:rsidP="00347B57">
      <w:pPr>
        <w:widowControl w:val="0"/>
        <w:autoSpaceDE w:val="0"/>
        <w:autoSpaceDN w:val="0"/>
        <w:adjustRightInd w:val="0"/>
        <w:spacing w:line="360" w:lineRule="auto"/>
        <w:ind w:firstLine="720"/>
        <w:jc w:val="both"/>
        <w:outlineLvl w:val="0"/>
        <w:rPr>
          <w:rFonts w:ascii="Times" w:hAnsi="Times" w:cs="Times New Roman"/>
          <w:bCs/>
          <w:noProof/>
        </w:rPr>
      </w:pPr>
    </w:p>
    <w:p w14:paraId="66E27641" w14:textId="77777777" w:rsidR="00D65F8B" w:rsidRPr="006119A1" w:rsidRDefault="00144F51" w:rsidP="00347B57">
      <w:pPr>
        <w:widowControl w:val="0"/>
        <w:autoSpaceDE w:val="0"/>
        <w:autoSpaceDN w:val="0"/>
        <w:adjustRightInd w:val="0"/>
        <w:spacing w:line="360" w:lineRule="auto"/>
        <w:jc w:val="both"/>
        <w:outlineLvl w:val="0"/>
        <w:rPr>
          <w:rFonts w:ascii="Times" w:hAnsi="Times" w:cs="Times New Roman"/>
          <w:b/>
          <w:bCs/>
          <w:noProof/>
        </w:rPr>
      </w:pPr>
      <w:r w:rsidRPr="006119A1">
        <w:rPr>
          <w:rFonts w:ascii="Times" w:hAnsi="Times" w:cs="Times New Roman"/>
          <w:b/>
          <w:bCs/>
          <w:noProof/>
        </w:rPr>
        <w:t>4.</w:t>
      </w:r>
      <w:r w:rsidR="00F4601F" w:rsidRPr="006119A1">
        <w:rPr>
          <w:rFonts w:ascii="Times" w:hAnsi="Times" w:cs="Times New Roman"/>
          <w:b/>
          <w:bCs/>
          <w:noProof/>
        </w:rPr>
        <w:t xml:space="preserve">2.1 </w:t>
      </w:r>
      <w:r w:rsidRPr="006119A1">
        <w:rPr>
          <w:rFonts w:ascii="Times" w:hAnsi="Times" w:cs="Times New Roman"/>
          <w:b/>
          <w:bCs/>
          <w:noProof/>
        </w:rPr>
        <w:t xml:space="preserve">Razão de concentração na </w:t>
      </w:r>
      <w:r w:rsidR="00B82DFB" w:rsidRPr="006119A1">
        <w:rPr>
          <w:rFonts w:ascii="Times" w:hAnsi="Times" w:cs="Times New Roman"/>
          <w:b/>
          <w:bCs/>
          <w:noProof/>
        </w:rPr>
        <w:t>Região</w:t>
      </w:r>
      <w:r w:rsidRPr="006119A1">
        <w:rPr>
          <w:rFonts w:ascii="Times" w:hAnsi="Times" w:cs="Times New Roman"/>
          <w:b/>
          <w:bCs/>
          <w:noProof/>
        </w:rPr>
        <w:t xml:space="preserve"> Sul</w:t>
      </w:r>
      <w:r w:rsidR="00F4601F" w:rsidRPr="006119A1">
        <w:rPr>
          <w:rFonts w:ascii="Times" w:hAnsi="Times" w:cs="Times New Roman"/>
          <w:b/>
          <w:bCs/>
          <w:noProof/>
        </w:rPr>
        <w:t>: uma comparação das razões de concentração das fontes de renda com o Índice de Gini da Região Sul</w:t>
      </w:r>
    </w:p>
    <w:p w14:paraId="18DF942D" w14:textId="5CA77488" w:rsidR="00CB17E5" w:rsidRDefault="00CB17E5" w:rsidP="00CB17E5">
      <w:pPr>
        <w:widowControl w:val="0"/>
        <w:autoSpaceDE w:val="0"/>
        <w:autoSpaceDN w:val="0"/>
        <w:adjustRightInd w:val="0"/>
        <w:spacing w:after="240" w:line="360" w:lineRule="auto"/>
        <w:ind w:firstLine="720"/>
        <w:jc w:val="both"/>
        <w:outlineLvl w:val="0"/>
        <w:rPr>
          <w:rFonts w:ascii="Times" w:hAnsi="Times" w:cs="Times New Roman"/>
          <w:bCs/>
        </w:rPr>
      </w:pPr>
      <w:r w:rsidRPr="006119A1">
        <w:rPr>
          <w:rFonts w:ascii="Times" w:hAnsi="Times" w:cs="Times New Roman"/>
          <w:bCs/>
        </w:rPr>
        <w:t xml:space="preserve">O </w:t>
      </w:r>
      <w:r>
        <w:rPr>
          <w:rFonts w:ascii="Times" w:hAnsi="Times" w:cs="Times New Roman"/>
          <w:bCs/>
        </w:rPr>
        <w:t>G</w:t>
      </w:r>
      <w:r w:rsidRPr="006119A1">
        <w:rPr>
          <w:rFonts w:ascii="Times" w:hAnsi="Times" w:cs="Times New Roman"/>
          <w:bCs/>
        </w:rPr>
        <w:t xml:space="preserve">ráfico </w:t>
      </w:r>
      <w:r>
        <w:rPr>
          <w:rFonts w:ascii="Times" w:hAnsi="Times" w:cs="Times New Roman"/>
          <w:bCs/>
        </w:rPr>
        <w:t>6</w:t>
      </w:r>
      <w:r w:rsidRPr="006119A1">
        <w:rPr>
          <w:rFonts w:ascii="Times" w:hAnsi="Times" w:cs="Times New Roman"/>
          <w:bCs/>
        </w:rPr>
        <w:t xml:space="preserve"> </w:t>
      </w:r>
      <w:r>
        <w:rPr>
          <w:rFonts w:ascii="Times" w:hAnsi="Times" w:cs="Times New Roman"/>
          <w:bCs/>
        </w:rPr>
        <w:t xml:space="preserve">e a Tabela 11 registram </w:t>
      </w:r>
      <w:r w:rsidR="001E4D6B">
        <w:rPr>
          <w:rFonts w:ascii="Times" w:hAnsi="Times" w:cs="Times New Roman"/>
          <w:bCs/>
        </w:rPr>
        <w:t>a comparação</w:t>
      </w:r>
      <w:r>
        <w:rPr>
          <w:rFonts w:ascii="Times" w:hAnsi="Times" w:cs="Times New Roman"/>
          <w:bCs/>
        </w:rPr>
        <w:t xml:space="preserve"> da </w:t>
      </w:r>
      <w:r w:rsidR="001E4D6B">
        <w:rPr>
          <w:rFonts w:ascii="Times" w:hAnsi="Times" w:cs="Times New Roman"/>
          <w:bCs/>
        </w:rPr>
        <w:t xml:space="preserve">razão de </w:t>
      </w:r>
      <w:r w:rsidRPr="006119A1">
        <w:rPr>
          <w:rFonts w:ascii="Times" w:hAnsi="Times" w:cs="Times New Roman"/>
          <w:bCs/>
        </w:rPr>
        <w:t xml:space="preserve">concentração das fontes de renda e o </w:t>
      </w:r>
      <w:r w:rsidR="0010228C">
        <w:rPr>
          <w:rFonts w:ascii="Times" w:hAnsi="Times" w:cs="Times New Roman"/>
          <w:bCs/>
        </w:rPr>
        <w:t xml:space="preserve">Índice de </w:t>
      </w:r>
      <w:r w:rsidRPr="006119A1">
        <w:rPr>
          <w:rFonts w:ascii="Times" w:hAnsi="Times" w:cs="Times New Roman"/>
          <w:bCs/>
        </w:rPr>
        <w:t>Gini da região Sul. No período FHC, outros rendimentos concentraram renda no Sul, exceto no último ano de seu governo (2002)</w:t>
      </w:r>
      <w:r w:rsidR="00320318">
        <w:rPr>
          <w:rFonts w:ascii="Times" w:hAnsi="Times" w:cs="Times New Roman"/>
          <w:bCs/>
        </w:rPr>
        <w:t>,</w:t>
      </w:r>
      <w:r w:rsidRPr="006119A1">
        <w:rPr>
          <w:rFonts w:ascii="Times" w:hAnsi="Times" w:cs="Times New Roman"/>
          <w:bCs/>
        </w:rPr>
        <w:t xml:space="preserve"> e no</w:t>
      </w:r>
      <w:r>
        <w:rPr>
          <w:rFonts w:ascii="Times" w:hAnsi="Times" w:cs="Times New Roman"/>
          <w:bCs/>
        </w:rPr>
        <w:t>s</w:t>
      </w:r>
      <w:r w:rsidRPr="006119A1">
        <w:rPr>
          <w:rFonts w:ascii="Times" w:hAnsi="Times" w:cs="Times New Roman"/>
          <w:bCs/>
        </w:rPr>
        <w:t xml:space="preserve"> anos 1997-</w:t>
      </w:r>
      <w:r>
        <w:rPr>
          <w:rFonts w:ascii="Times" w:hAnsi="Times" w:cs="Times New Roman"/>
          <w:bCs/>
        </w:rPr>
        <w:t>19</w:t>
      </w:r>
      <w:r w:rsidRPr="006119A1">
        <w:rPr>
          <w:rFonts w:ascii="Times" w:hAnsi="Times" w:cs="Times New Roman"/>
          <w:bCs/>
        </w:rPr>
        <w:t xml:space="preserve">98 também </w:t>
      </w:r>
      <w:r>
        <w:rPr>
          <w:rFonts w:ascii="Times" w:hAnsi="Times" w:cs="Times New Roman"/>
          <w:bCs/>
        </w:rPr>
        <w:t>se verificou</w:t>
      </w:r>
      <w:r w:rsidRPr="006119A1">
        <w:rPr>
          <w:rFonts w:ascii="Times" w:hAnsi="Times" w:cs="Times New Roman"/>
          <w:bCs/>
        </w:rPr>
        <w:t xml:space="preserve"> a </w:t>
      </w:r>
      <w:r w:rsidR="00013B61">
        <w:rPr>
          <w:rFonts w:ascii="Times" w:hAnsi="Times" w:cs="Times New Roman"/>
          <w:bCs/>
        </w:rPr>
        <w:t>contribuição d</w:t>
      </w:r>
      <w:r w:rsidRPr="006119A1">
        <w:rPr>
          <w:rFonts w:ascii="Times" w:hAnsi="Times" w:cs="Times New Roman"/>
          <w:bCs/>
        </w:rPr>
        <w:t>as aposentadorias e pensões</w:t>
      </w:r>
      <w:r w:rsidR="00013B61">
        <w:rPr>
          <w:rFonts w:ascii="Times" w:hAnsi="Times" w:cs="Times New Roman"/>
          <w:bCs/>
        </w:rPr>
        <w:t xml:space="preserve"> para a concentração de renda na região</w:t>
      </w:r>
      <w:r w:rsidRPr="006119A1">
        <w:rPr>
          <w:rFonts w:ascii="Times" w:hAnsi="Times" w:cs="Times New Roman"/>
          <w:bCs/>
        </w:rPr>
        <w:t xml:space="preserve">. No governo Lula, apenas em 2003 as rendas das aposentadorias e pensões </w:t>
      </w:r>
      <w:r w:rsidR="00320318">
        <w:rPr>
          <w:rFonts w:ascii="Times" w:hAnsi="Times" w:cs="Times New Roman"/>
          <w:bCs/>
        </w:rPr>
        <w:t xml:space="preserve">influenciaram a </w:t>
      </w:r>
      <w:r w:rsidRPr="006119A1">
        <w:rPr>
          <w:rFonts w:ascii="Times" w:hAnsi="Times" w:cs="Times New Roman"/>
          <w:bCs/>
        </w:rPr>
        <w:t>concentra</w:t>
      </w:r>
      <w:r w:rsidR="00320318">
        <w:rPr>
          <w:rFonts w:ascii="Times" w:hAnsi="Times" w:cs="Times New Roman"/>
          <w:bCs/>
        </w:rPr>
        <w:t>ção da</w:t>
      </w:r>
      <w:r w:rsidRPr="006119A1">
        <w:rPr>
          <w:rFonts w:ascii="Times" w:hAnsi="Times" w:cs="Times New Roman"/>
          <w:bCs/>
        </w:rPr>
        <w:t xml:space="preserve"> renda na região.</w:t>
      </w:r>
    </w:p>
    <w:p w14:paraId="1F2E635E" w14:textId="488F9D6F" w:rsidR="00355951" w:rsidRDefault="00355951" w:rsidP="00CB17E5">
      <w:pPr>
        <w:widowControl w:val="0"/>
        <w:autoSpaceDE w:val="0"/>
        <w:autoSpaceDN w:val="0"/>
        <w:adjustRightInd w:val="0"/>
        <w:spacing w:after="240" w:line="360" w:lineRule="auto"/>
        <w:ind w:firstLine="720"/>
        <w:jc w:val="both"/>
        <w:outlineLvl w:val="0"/>
        <w:rPr>
          <w:rFonts w:ascii="Times" w:hAnsi="Times" w:cs="Times New Roman"/>
          <w:bCs/>
        </w:rPr>
      </w:pPr>
    </w:p>
    <w:p w14:paraId="48978D41" w14:textId="77777777" w:rsidR="00355951" w:rsidRDefault="00355951" w:rsidP="00CB17E5">
      <w:pPr>
        <w:widowControl w:val="0"/>
        <w:autoSpaceDE w:val="0"/>
        <w:autoSpaceDN w:val="0"/>
        <w:adjustRightInd w:val="0"/>
        <w:spacing w:after="240" w:line="360" w:lineRule="auto"/>
        <w:ind w:firstLine="720"/>
        <w:jc w:val="both"/>
        <w:outlineLvl w:val="0"/>
        <w:rPr>
          <w:rFonts w:ascii="Times" w:hAnsi="Times" w:cs="Times New Roman"/>
          <w:bCs/>
        </w:rPr>
      </w:pPr>
    </w:p>
    <w:p w14:paraId="5950001F" w14:textId="5DB0E70E" w:rsidR="00131F53" w:rsidRPr="00121D83" w:rsidRDefault="00F3474A" w:rsidP="00F800FB">
      <w:pPr>
        <w:widowControl w:val="0"/>
        <w:autoSpaceDE w:val="0"/>
        <w:autoSpaceDN w:val="0"/>
        <w:adjustRightInd w:val="0"/>
        <w:spacing w:after="240"/>
        <w:jc w:val="both"/>
        <w:outlineLvl w:val="0"/>
        <w:rPr>
          <w:rFonts w:ascii="Times New Roman" w:hAnsi="Times New Roman" w:cs="Times New Roman"/>
          <w:lang w:val="en-US"/>
        </w:rPr>
      </w:pPr>
      <w:r w:rsidRPr="00C90F2E">
        <w:rPr>
          <w:rFonts w:ascii="Times New Roman" w:hAnsi="Times New Roman" w:cs="Times New Roman"/>
          <w:bCs/>
          <w:noProof/>
        </w:rPr>
        <w:lastRenderedPageBreak/>
        <w:t>Tabela</w:t>
      </w:r>
      <w:r w:rsidR="00483374" w:rsidRPr="00C90F2E">
        <w:rPr>
          <w:rFonts w:ascii="Times New Roman" w:hAnsi="Times New Roman" w:cs="Times New Roman"/>
          <w:bCs/>
          <w:noProof/>
        </w:rPr>
        <w:t xml:space="preserve"> 1</w:t>
      </w:r>
      <w:r w:rsidR="00F800FB" w:rsidRPr="00C90F2E">
        <w:rPr>
          <w:rFonts w:ascii="Times New Roman" w:hAnsi="Times New Roman" w:cs="Times New Roman"/>
          <w:bCs/>
          <w:noProof/>
        </w:rPr>
        <w:t>1</w:t>
      </w:r>
      <w:r w:rsidR="00C90F2E">
        <w:rPr>
          <w:rFonts w:ascii="Times New Roman" w:hAnsi="Times New Roman" w:cs="Times New Roman"/>
          <w:bCs/>
          <w:noProof/>
        </w:rPr>
        <w:t xml:space="preserve"> -</w:t>
      </w:r>
      <w:r w:rsidR="00D4272E" w:rsidRPr="00121D83">
        <w:rPr>
          <w:rFonts w:ascii="Times New Roman" w:hAnsi="Times New Roman" w:cs="Times New Roman"/>
          <w:b/>
          <w:bCs/>
          <w:noProof/>
        </w:rPr>
        <w:t xml:space="preserve"> </w:t>
      </w:r>
      <w:r w:rsidR="00FE32C3" w:rsidRPr="00121D83">
        <w:rPr>
          <w:rFonts w:ascii="Times New Roman" w:hAnsi="Times New Roman" w:cs="Times New Roman"/>
        </w:rPr>
        <w:t xml:space="preserve">Razão de Concentração na decomposição do Índice de Gini do rendimento domiciliar </w:t>
      </w:r>
      <w:r w:rsidR="00FE32C3" w:rsidRPr="00121D83">
        <w:rPr>
          <w:rFonts w:ascii="Times New Roman" w:hAnsi="Times New Roman" w:cs="Times New Roman"/>
          <w:i/>
        </w:rPr>
        <w:t>per capita</w:t>
      </w:r>
      <w:r w:rsidR="00FE32C3" w:rsidRPr="00121D83">
        <w:rPr>
          <w:rFonts w:ascii="Times New Roman" w:hAnsi="Times New Roman" w:cs="Times New Roman"/>
        </w:rPr>
        <w:t xml:space="preserve">. </w:t>
      </w:r>
      <w:r w:rsidR="00D4272E" w:rsidRPr="00121D83">
        <w:rPr>
          <w:rFonts w:ascii="Times New Roman" w:hAnsi="Times New Roman" w:cs="Times New Roman"/>
          <w:lang w:val="en-US"/>
        </w:rPr>
        <w:t>Regiã</w:t>
      </w:r>
      <w:r w:rsidR="00A257A8" w:rsidRPr="00121D83">
        <w:rPr>
          <w:rFonts w:ascii="Times New Roman" w:hAnsi="Times New Roman" w:cs="Times New Roman"/>
          <w:lang w:val="en-US"/>
        </w:rPr>
        <w:t>o Sul</w:t>
      </w:r>
      <w:r w:rsidR="00D4272E" w:rsidRPr="00121D83">
        <w:rPr>
          <w:rFonts w:ascii="Times New Roman" w:hAnsi="Times New Roman" w:cs="Times New Roman"/>
          <w:lang w:val="en-US"/>
        </w:rPr>
        <w:t xml:space="preserve">, </w:t>
      </w:r>
      <w:r w:rsidR="00FC0B25" w:rsidRPr="00121D83">
        <w:rPr>
          <w:rFonts w:ascii="Times New Roman" w:hAnsi="Times New Roman" w:cs="Times New Roman"/>
          <w:lang w:val="en-US"/>
        </w:rPr>
        <w:t>de 1995</w:t>
      </w:r>
      <w:r w:rsidR="00A257A8" w:rsidRPr="00121D83">
        <w:rPr>
          <w:rFonts w:ascii="Times New Roman" w:hAnsi="Times New Roman" w:cs="Times New Roman"/>
          <w:lang w:val="en-US"/>
        </w:rPr>
        <w:t xml:space="preserve"> a 20</w:t>
      </w:r>
      <w:r w:rsidR="00355951">
        <w:rPr>
          <w:rFonts w:ascii="Times New Roman" w:hAnsi="Times New Roman" w:cs="Times New Roman"/>
          <w:lang w:val="en-US"/>
        </w:rPr>
        <w:t>09</w:t>
      </w:r>
      <w:r w:rsidR="005E0C20" w:rsidRPr="00121D83">
        <w:rPr>
          <w:rFonts w:ascii="Times New Roman" w:hAnsi="Times New Roman" w:cs="Times New Roman"/>
          <w:lang w:val="en-US"/>
        </w:rPr>
        <w:t>.</w:t>
      </w:r>
    </w:p>
    <w:tbl>
      <w:tblPr>
        <w:tblStyle w:val="SombreamentoClaro"/>
        <w:tblW w:w="5000" w:type="pct"/>
        <w:tblLook w:val="06A0" w:firstRow="1" w:lastRow="0" w:firstColumn="1" w:lastColumn="0" w:noHBand="1" w:noVBand="1"/>
      </w:tblPr>
      <w:tblGrid>
        <w:gridCol w:w="1434"/>
        <w:gridCol w:w="1432"/>
        <w:gridCol w:w="1550"/>
        <w:gridCol w:w="1550"/>
        <w:gridCol w:w="1550"/>
        <w:gridCol w:w="1548"/>
      </w:tblGrid>
      <w:tr w:rsidR="00C93853" w:rsidRPr="00013B61" w14:paraId="3D965FC6" w14:textId="77777777" w:rsidTr="00902882">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91" w:type="pct"/>
          </w:tcPr>
          <w:p w14:paraId="6D2199FF" w14:textId="77777777" w:rsidR="00C93853" w:rsidRPr="00013B61" w:rsidRDefault="00C93853" w:rsidP="00460BFC">
            <w:pPr>
              <w:pStyle w:val="Normaljustificado"/>
              <w:jc w:val="left"/>
              <w:rPr>
                <w:color w:val="auto"/>
                <w:szCs w:val="22"/>
              </w:rPr>
            </w:pPr>
          </w:p>
        </w:tc>
        <w:tc>
          <w:tcPr>
            <w:tcW w:w="790" w:type="pct"/>
          </w:tcPr>
          <w:p w14:paraId="3D1DCBB1" w14:textId="77777777" w:rsidR="00C93853" w:rsidRPr="00013B61" w:rsidRDefault="00C93853" w:rsidP="00460BFC">
            <w:pPr>
              <w:pStyle w:val="Normaljustificado"/>
              <w:jc w:val="left"/>
              <w:cnfStyle w:val="100000000000" w:firstRow="1" w:lastRow="0" w:firstColumn="0" w:lastColumn="0" w:oddVBand="0" w:evenVBand="0" w:oddHBand="0" w:evenHBand="0" w:firstRowFirstColumn="0" w:firstRowLastColumn="0" w:lastRowFirstColumn="0" w:lastRowLastColumn="0"/>
              <w:rPr>
                <w:color w:val="auto"/>
                <w:szCs w:val="22"/>
              </w:rPr>
            </w:pPr>
            <w:r w:rsidRPr="00013B61">
              <w:rPr>
                <w:color w:val="auto"/>
                <w:szCs w:val="22"/>
              </w:rPr>
              <w:t>Ano</w:t>
            </w:r>
          </w:p>
        </w:tc>
        <w:tc>
          <w:tcPr>
            <w:tcW w:w="3419" w:type="pct"/>
            <w:gridSpan w:val="4"/>
          </w:tcPr>
          <w:p w14:paraId="3B1C091D" w14:textId="77777777" w:rsidR="00C93853" w:rsidRPr="00013B61" w:rsidRDefault="00C93853" w:rsidP="00460BF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color w:val="auto"/>
                <w:sz w:val="22"/>
                <w:szCs w:val="22"/>
              </w:rPr>
              <w:t xml:space="preserve">                     Sul</w:t>
            </w:r>
          </w:p>
        </w:tc>
      </w:tr>
      <w:tr w:rsidR="00C93853" w:rsidRPr="00013B61" w14:paraId="09D4D182" w14:textId="77777777" w:rsidTr="00902882">
        <w:trPr>
          <w:trHeight w:val="146"/>
        </w:trPr>
        <w:tc>
          <w:tcPr>
            <w:cnfStyle w:val="001000000000" w:firstRow="0" w:lastRow="0" w:firstColumn="1" w:lastColumn="0" w:oddVBand="0" w:evenVBand="0" w:oddHBand="0" w:evenHBand="0" w:firstRowFirstColumn="0" w:firstRowLastColumn="0" w:lastRowFirstColumn="0" w:lastRowLastColumn="0"/>
            <w:tcW w:w="791" w:type="pct"/>
          </w:tcPr>
          <w:p w14:paraId="4CE4F849" w14:textId="77777777" w:rsidR="00C93853" w:rsidRPr="00013B61" w:rsidRDefault="00C93853" w:rsidP="00460BFC">
            <w:pPr>
              <w:pStyle w:val="Normaljustificado"/>
              <w:jc w:val="left"/>
              <w:rPr>
                <w:color w:val="auto"/>
                <w:szCs w:val="22"/>
              </w:rPr>
            </w:pPr>
          </w:p>
        </w:tc>
        <w:tc>
          <w:tcPr>
            <w:tcW w:w="790" w:type="pct"/>
          </w:tcPr>
          <w:p w14:paraId="0715DBB2" w14:textId="77777777" w:rsidR="00C93853" w:rsidRPr="00013B61" w:rsidRDefault="00C93853" w:rsidP="00460BFC">
            <w:pPr>
              <w:pStyle w:val="Normaljustificado"/>
              <w:jc w:val="left"/>
              <w:cnfStyle w:val="000000000000" w:firstRow="0" w:lastRow="0" w:firstColumn="0" w:lastColumn="0" w:oddVBand="0" w:evenVBand="0" w:oddHBand="0" w:evenHBand="0" w:firstRowFirstColumn="0" w:firstRowLastColumn="0" w:lastRowFirstColumn="0" w:lastRowLastColumn="0"/>
              <w:rPr>
                <w:color w:val="auto"/>
                <w:szCs w:val="22"/>
              </w:rPr>
            </w:pPr>
          </w:p>
        </w:tc>
        <w:tc>
          <w:tcPr>
            <w:tcW w:w="855" w:type="pct"/>
          </w:tcPr>
          <w:p w14:paraId="6C99E09A" w14:textId="77777777" w:rsidR="00C93853" w:rsidRPr="00013B61" w:rsidRDefault="00C93853" w:rsidP="00460BFC">
            <w:pPr>
              <w:pStyle w:val="Normaljustificado"/>
              <w:jc w:val="left"/>
              <w:cnfStyle w:val="000000000000" w:firstRow="0" w:lastRow="0" w:firstColumn="0" w:lastColumn="0" w:oddVBand="0" w:evenVBand="0" w:oddHBand="0" w:evenHBand="0" w:firstRowFirstColumn="0" w:firstRowLastColumn="0" w:lastRowFirstColumn="0" w:lastRowLastColumn="0"/>
              <w:rPr>
                <w:b/>
                <w:color w:val="auto"/>
                <w:szCs w:val="22"/>
                <w:vertAlign w:val="superscript"/>
              </w:rPr>
            </w:pPr>
            <w:r w:rsidRPr="00013B61">
              <w:rPr>
                <w:b/>
                <w:color w:val="auto"/>
                <w:szCs w:val="22"/>
              </w:rPr>
              <w:t>TP</w:t>
            </w:r>
            <w:r w:rsidRPr="00013B61">
              <w:rPr>
                <w:b/>
                <w:color w:val="auto"/>
                <w:szCs w:val="22"/>
                <w:vertAlign w:val="superscript"/>
              </w:rPr>
              <w:t>1</w:t>
            </w:r>
          </w:p>
        </w:tc>
        <w:tc>
          <w:tcPr>
            <w:tcW w:w="855" w:type="pct"/>
          </w:tcPr>
          <w:p w14:paraId="664A62D6" w14:textId="77777777" w:rsidR="00C93853" w:rsidRPr="00013B61" w:rsidRDefault="00C93853" w:rsidP="00460BFC">
            <w:pPr>
              <w:pStyle w:val="Normaljustificado"/>
              <w:jc w:val="left"/>
              <w:cnfStyle w:val="000000000000" w:firstRow="0" w:lastRow="0" w:firstColumn="0" w:lastColumn="0" w:oddVBand="0" w:evenVBand="0" w:oddHBand="0" w:evenHBand="0" w:firstRowFirstColumn="0" w:firstRowLastColumn="0" w:lastRowFirstColumn="0" w:lastRowLastColumn="0"/>
              <w:rPr>
                <w:b/>
                <w:color w:val="auto"/>
                <w:szCs w:val="22"/>
                <w:vertAlign w:val="superscript"/>
              </w:rPr>
            </w:pPr>
            <w:r w:rsidRPr="00013B61">
              <w:rPr>
                <w:b/>
                <w:color w:val="auto"/>
                <w:szCs w:val="22"/>
              </w:rPr>
              <w:t>AP</w:t>
            </w:r>
            <w:r w:rsidRPr="00013B61">
              <w:rPr>
                <w:b/>
                <w:color w:val="auto"/>
                <w:szCs w:val="22"/>
                <w:vertAlign w:val="superscript"/>
              </w:rPr>
              <w:t>2</w:t>
            </w:r>
          </w:p>
        </w:tc>
        <w:tc>
          <w:tcPr>
            <w:tcW w:w="855" w:type="pct"/>
          </w:tcPr>
          <w:p w14:paraId="4EBEA55A" w14:textId="77777777" w:rsidR="00C93853" w:rsidRPr="00013B61" w:rsidRDefault="00C93853" w:rsidP="00460BFC">
            <w:pPr>
              <w:pStyle w:val="Normaljustificado"/>
              <w:jc w:val="left"/>
              <w:cnfStyle w:val="000000000000" w:firstRow="0" w:lastRow="0" w:firstColumn="0" w:lastColumn="0" w:oddVBand="0" w:evenVBand="0" w:oddHBand="0" w:evenHBand="0" w:firstRowFirstColumn="0" w:firstRowLastColumn="0" w:lastRowFirstColumn="0" w:lastRowLastColumn="0"/>
              <w:rPr>
                <w:b/>
                <w:color w:val="auto"/>
                <w:szCs w:val="22"/>
                <w:vertAlign w:val="superscript"/>
              </w:rPr>
            </w:pPr>
            <w:r w:rsidRPr="00013B61">
              <w:rPr>
                <w:b/>
                <w:color w:val="auto"/>
                <w:szCs w:val="22"/>
              </w:rPr>
              <w:t>OR</w:t>
            </w:r>
            <w:r w:rsidRPr="00013B61">
              <w:rPr>
                <w:b/>
                <w:color w:val="auto"/>
                <w:szCs w:val="22"/>
                <w:vertAlign w:val="superscript"/>
              </w:rPr>
              <w:t>3</w:t>
            </w:r>
          </w:p>
        </w:tc>
        <w:tc>
          <w:tcPr>
            <w:tcW w:w="854" w:type="pct"/>
          </w:tcPr>
          <w:p w14:paraId="02DA3FF8"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2"/>
                <w:szCs w:val="22"/>
                <w:vertAlign w:val="superscript"/>
              </w:rPr>
            </w:pPr>
            <w:r w:rsidRPr="00013B61">
              <w:rPr>
                <w:rFonts w:ascii="Times New Roman" w:hAnsi="Times New Roman" w:cs="Times New Roman"/>
                <w:b/>
                <w:color w:val="auto"/>
                <w:sz w:val="22"/>
                <w:szCs w:val="22"/>
              </w:rPr>
              <w:t>GT</w:t>
            </w:r>
            <w:r w:rsidRPr="00013B61">
              <w:rPr>
                <w:rFonts w:ascii="Times New Roman" w:hAnsi="Times New Roman" w:cs="Times New Roman"/>
                <w:b/>
                <w:color w:val="auto"/>
                <w:sz w:val="22"/>
                <w:szCs w:val="22"/>
                <w:vertAlign w:val="superscript"/>
              </w:rPr>
              <w:t>4</w:t>
            </w:r>
          </w:p>
        </w:tc>
      </w:tr>
      <w:tr w:rsidR="00C93853" w:rsidRPr="00013B61" w14:paraId="2DD61C6D" w14:textId="77777777" w:rsidTr="00902882">
        <w:trPr>
          <w:trHeight w:val="425"/>
        </w:trPr>
        <w:tc>
          <w:tcPr>
            <w:cnfStyle w:val="001000000000" w:firstRow="0" w:lastRow="0" w:firstColumn="1" w:lastColumn="0" w:oddVBand="0" w:evenVBand="0" w:oddHBand="0" w:evenHBand="0" w:firstRowFirstColumn="0" w:firstRowLastColumn="0" w:lastRowFirstColumn="0" w:lastRowLastColumn="0"/>
            <w:tcW w:w="791" w:type="pct"/>
            <w:vMerge w:val="restart"/>
          </w:tcPr>
          <w:p w14:paraId="4476157C" w14:textId="77777777" w:rsidR="00C93853" w:rsidRPr="00013B61" w:rsidRDefault="00C93853" w:rsidP="00460BFC">
            <w:pPr>
              <w:pStyle w:val="Normaljustificado"/>
              <w:jc w:val="left"/>
              <w:rPr>
                <w:color w:val="auto"/>
                <w:szCs w:val="22"/>
              </w:rPr>
            </w:pPr>
            <w:r w:rsidRPr="00013B61">
              <w:rPr>
                <w:color w:val="auto"/>
                <w:szCs w:val="22"/>
              </w:rPr>
              <w:t>FHC</w:t>
            </w:r>
          </w:p>
        </w:tc>
        <w:tc>
          <w:tcPr>
            <w:tcW w:w="790" w:type="pct"/>
          </w:tcPr>
          <w:p w14:paraId="01231BCB" w14:textId="77777777" w:rsidR="00C93853" w:rsidRPr="00013B61" w:rsidRDefault="00C93853" w:rsidP="00460BFC">
            <w:pPr>
              <w:pStyle w:val="Normaljustificado"/>
              <w:jc w:val="left"/>
              <w:cnfStyle w:val="000000000000" w:firstRow="0" w:lastRow="0" w:firstColumn="0" w:lastColumn="0" w:oddVBand="0" w:evenVBand="0" w:oddHBand="0" w:evenHBand="0" w:firstRowFirstColumn="0" w:firstRowLastColumn="0" w:lastRowFirstColumn="0" w:lastRowLastColumn="0"/>
              <w:rPr>
                <w:color w:val="auto"/>
                <w:szCs w:val="22"/>
              </w:rPr>
            </w:pPr>
            <w:r w:rsidRPr="00013B61">
              <w:rPr>
                <w:color w:val="auto"/>
                <w:szCs w:val="22"/>
              </w:rPr>
              <w:t>1995</w:t>
            </w:r>
          </w:p>
        </w:tc>
        <w:tc>
          <w:tcPr>
            <w:tcW w:w="855" w:type="pct"/>
          </w:tcPr>
          <w:p w14:paraId="3AEDF890"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color w:val="auto"/>
                <w:sz w:val="22"/>
                <w:szCs w:val="22"/>
              </w:rPr>
              <w:t>0,547</w:t>
            </w:r>
          </w:p>
        </w:tc>
        <w:tc>
          <w:tcPr>
            <w:tcW w:w="855" w:type="pct"/>
          </w:tcPr>
          <w:p w14:paraId="56658088"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color w:val="auto"/>
                <w:sz w:val="22"/>
                <w:szCs w:val="22"/>
              </w:rPr>
              <w:t>0,559</w:t>
            </w:r>
          </w:p>
        </w:tc>
        <w:tc>
          <w:tcPr>
            <w:tcW w:w="855" w:type="pct"/>
          </w:tcPr>
          <w:p w14:paraId="0F00CD02"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2"/>
                <w:szCs w:val="22"/>
              </w:rPr>
            </w:pPr>
            <w:r w:rsidRPr="00013B61">
              <w:rPr>
                <w:rFonts w:ascii="Times New Roman" w:hAnsi="Times New Roman" w:cs="Times New Roman"/>
                <w:b/>
                <w:color w:val="auto"/>
                <w:sz w:val="22"/>
                <w:szCs w:val="22"/>
              </w:rPr>
              <w:t>0,738</w:t>
            </w:r>
          </w:p>
        </w:tc>
        <w:tc>
          <w:tcPr>
            <w:tcW w:w="854" w:type="pct"/>
          </w:tcPr>
          <w:p w14:paraId="2CC572E9"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b/>
                <w:color w:val="auto"/>
                <w:sz w:val="22"/>
                <w:szCs w:val="22"/>
              </w:rPr>
              <w:t>0,563</w:t>
            </w:r>
          </w:p>
        </w:tc>
      </w:tr>
      <w:tr w:rsidR="00C93853" w:rsidRPr="00013B61" w14:paraId="2518771D" w14:textId="77777777" w:rsidTr="00902882">
        <w:trPr>
          <w:trHeight w:val="425"/>
        </w:trPr>
        <w:tc>
          <w:tcPr>
            <w:cnfStyle w:val="001000000000" w:firstRow="0" w:lastRow="0" w:firstColumn="1" w:lastColumn="0" w:oddVBand="0" w:evenVBand="0" w:oddHBand="0" w:evenHBand="0" w:firstRowFirstColumn="0" w:firstRowLastColumn="0" w:lastRowFirstColumn="0" w:lastRowLastColumn="0"/>
            <w:tcW w:w="791" w:type="pct"/>
            <w:vMerge/>
          </w:tcPr>
          <w:p w14:paraId="0A0D5BE4" w14:textId="77777777" w:rsidR="00C93853" w:rsidRPr="00013B61" w:rsidRDefault="00C93853" w:rsidP="00460BFC">
            <w:pPr>
              <w:pStyle w:val="Normaljustificado"/>
              <w:jc w:val="left"/>
              <w:rPr>
                <w:color w:val="auto"/>
                <w:szCs w:val="22"/>
              </w:rPr>
            </w:pPr>
          </w:p>
        </w:tc>
        <w:tc>
          <w:tcPr>
            <w:tcW w:w="790" w:type="pct"/>
          </w:tcPr>
          <w:p w14:paraId="3D8AE895" w14:textId="77777777" w:rsidR="00C93853" w:rsidRPr="00013B61" w:rsidRDefault="00C93853" w:rsidP="00460BFC">
            <w:pPr>
              <w:pStyle w:val="Normaljustificado"/>
              <w:jc w:val="left"/>
              <w:cnfStyle w:val="000000000000" w:firstRow="0" w:lastRow="0" w:firstColumn="0" w:lastColumn="0" w:oddVBand="0" w:evenVBand="0" w:oddHBand="0" w:evenHBand="0" w:firstRowFirstColumn="0" w:firstRowLastColumn="0" w:lastRowFirstColumn="0" w:lastRowLastColumn="0"/>
              <w:rPr>
                <w:b/>
                <w:color w:val="auto"/>
                <w:szCs w:val="22"/>
              </w:rPr>
            </w:pPr>
            <w:r w:rsidRPr="00013B61">
              <w:rPr>
                <w:color w:val="auto"/>
                <w:szCs w:val="22"/>
              </w:rPr>
              <w:t>1996</w:t>
            </w:r>
          </w:p>
        </w:tc>
        <w:tc>
          <w:tcPr>
            <w:tcW w:w="855" w:type="pct"/>
          </w:tcPr>
          <w:p w14:paraId="15098329"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color w:val="auto"/>
                <w:sz w:val="22"/>
                <w:szCs w:val="22"/>
              </w:rPr>
              <w:t>0,541</w:t>
            </w:r>
          </w:p>
        </w:tc>
        <w:tc>
          <w:tcPr>
            <w:tcW w:w="855" w:type="pct"/>
          </w:tcPr>
          <w:p w14:paraId="28F96602"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color w:val="auto"/>
                <w:sz w:val="22"/>
                <w:szCs w:val="22"/>
              </w:rPr>
              <w:t>0,553</w:t>
            </w:r>
          </w:p>
        </w:tc>
        <w:tc>
          <w:tcPr>
            <w:tcW w:w="855" w:type="pct"/>
          </w:tcPr>
          <w:p w14:paraId="02CB115A"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2"/>
                <w:szCs w:val="22"/>
              </w:rPr>
            </w:pPr>
            <w:r w:rsidRPr="00013B61">
              <w:rPr>
                <w:rFonts w:ascii="Times New Roman" w:hAnsi="Times New Roman" w:cs="Times New Roman"/>
                <w:b/>
                <w:color w:val="auto"/>
                <w:sz w:val="22"/>
                <w:szCs w:val="22"/>
              </w:rPr>
              <w:t>0,780</w:t>
            </w:r>
          </w:p>
        </w:tc>
        <w:tc>
          <w:tcPr>
            <w:tcW w:w="854" w:type="pct"/>
          </w:tcPr>
          <w:p w14:paraId="43656D22"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b/>
                <w:color w:val="auto"/>
                <w:sz w:val="22"/>
                <w:szCs w:val="22"/>
              </w:rPr>
              <w:t>0,559</w:t>
            </w:r>
          </w:p>
        </w:tc>
      </w:tr>
      <w:tr w:rsidR="00C93853" w:rsidRPr="00013B61" w14:paraId="722D6FBA" w14:textId="77777777" w:rsidTr="00902882">
        <w:trPr>
          <w:trHeight w:val="425"/>
        </w:trPr>
        <w:tc>
          <w:tcPr>
            <w:cnfStyle w:val="001000000000" w:firstRow="0" w:lastRow="0" w:firstColumn="1" w:lastColumn="0" w:oddVBand="0" w:evenVBand="0" w:oddHBand="0" w:evenHBand="0" w:firstRowFirstColumn="0" w:firstRowLastColumn="0" w:lastRowFirstColumn="0" w:lastRowLastColumn="0"/>
            <w:tcW w:w="791" w:type="pct"/>
            <w:vMerge/>
          </w:tcPr>
          <w:p w14:paraId="369E6223" w14:textId="77777777" w:rsidR="00C93853" w:rsidRPr="00013B61" w:rsidRDefault="00C93853" w:rsidP="00460BFC">
            <w:pPr>
              <w:pStyle w:val="Normaljustificado"/>
              <w:jc w:val="left"/>
              <w:rPr>
                <w:color w:val="auto"/>
                <w:szCs w:val="22"/>
              </w:rPr>
            </w:pPr>
          </w:p>
        </w:tc>
        <w:tc>
          <w:tcPr>
            <w:tcW w:w="790" w:type="pct"/>
          </w:tcPr>
          <w:p w14:paraId="7527A0F1" w14:textId="77777777" w:rsidR="00C93853" w:rsidRPr="00013B61" w:rsidRDefault="00C93853" w:rsidP="00460BFC">
            <w:pPr>
              <w:pStyle w:val="Normaljustificado"/>
              <w:jc w:val="left"/>
              <w:cnfStyle w:val="000000000000" w:firstRow="0" w:lastRow="0" w:firstColumn="0" w:lastColumn="0" w:oddVBand="0" w:evenVBand="0" w:oddHBand="0" w:evenHBand="0" w:firstRowFirstColumn="0" w:firstRowLastColumn="0" w:lastRowFirstColumn="0" w:lastRowLastColumn="0"/>
              <w:rPr>
                <w:b/>
                <w:color w:val="auto"/>
                <w:szCs w:val="22"/>
              </w:rPr>
            </w:pPr>
            <w:r w:rsidRPr="00013B61">
              <w:rPr>
                <w:color w:val="auto"/>
                <w:szCs w:val="22"/>
              </w:rPr>
              <w:t>1997</w:t>
            </w:r>
          </w:p>
        </w:tc>
        <w:tc>
          <w:tcPr>
            <w:tcW w:w="855" w:type="pct"/>
          </w:tcPr>
          <w:p w14:paraId="0C5641A7"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color w:val="auto"/>
                <w:sz w:val="22"/>
                <w:szCs w:val="22"/>
              </w:rPr>
              <w:t>0,538</w:t>
            </w:r>
          </w:p>
        </w:tc>
        <w:tc>
          <w:tcPr>
            <w:tcW w:w="855" w:type="pct"/>
          </w:tcPr>
          <w:p w14:paraId="64216022"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b/>
                <w:color w:val="auto"/>
                <w:sz w:val="22"/>
                <w:szCs w:val="22"/>
              </w:rPr>
              <w:t>0,555</w:t>
            </w:r>
          </w:p>
        </w:tc>
        <w:tc>
          <w:tcPr>
            <w:tcW w:w="855" w:type="pct"/>
          </w:tcPr>
          <w:p w14:paraId="6F71E897"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b/>
                <w:color w:val="auto"/>
                <w:sz w:val="22"/>
                <w:szCs w:val="22"/>
              </w:rPr>
              <w:t>0,739</w:t>
            </w:r>
          </w:p>
        </w:tc>
        <w:tc>
          <w:tcPr>
            <w:tcW w:w="854" w:type="pct"/>
          </w:tcPr>
          <w:p w14:paraId="7FF4ECCD"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b/>
                <w:color w:val="auto"/>
                <w:sz w:val="22"/>
                <w:szCs w:val="22"/>
              </w:rPr>
              <w:t>0,553</w:t>
            </w:r>
          </w:p>
        </w:tc>
      </w:tr>
      <w:tr w:rsidR="00C93853" w:rsidRPr="00013B61" w14:paraId="21E30621" w14:textId="77777777" w:rsidTr="00902882">
        <w:trPr>
          <w:trHeight w:val="425"/>
        </w:trPr>
        <w:tc>
          <w:tcPr>
            <w:cnfStyle w:val="001000000000" w:firstRow="0" w:lastRow="0" w:firstColumn="1" w:lastColumn="0" w:oddVBand="0" w:evenVBand="0" w:oddHBand="0" w:evenHBand="0" w:firstRowFirstColumn="0" w:firstRowLastColumn="0" w:lastRowFirstColumn="0" w:lastRowLastColumn="0"/>
            <w:tcW w:w="791" w:type="pct"/>
            <w:vMerge/>
          </w:tcPr>
          <w:p w14:paraId="54242B21" w14:textId="77777777" w:rsidR="00C93853" w:rsidRPr="00013B61" w:rsidRDefault="00C93853" w:rsidP="00460BFC">
            <w:pPr>
              <w:pStyle w:val="Normaljustificado"/>
              <w:jc w:val="left"/>
              <w:rPr>
                <w:color w:val="auto"/>
                <w:szCs w:val="22"/>
              </w:rPr>
            </w:pPr>
          </w:p>
        </w:tc>
        <w:tc>
          <w:tcPr>
            <w:tcW w:w="790" w:type="pct"/>
          </w:tcPr>
          <w:p w14:paraId="0A9774DF" w14:textId="77777777" w:rsidR="00C93853" w:rsidRPr="00013B61" w:rsidRDefault="00C93853" w:rsidP="00460BFC">
            <w:pPr>
              <w:pStyle w:val="Normaljustificado"/>
              <w:jc w:val="left"/>
              <w:cnfStyle w:val="000000000000" w:firstRow="0" w:lastRow="0" w:firstColumn="0" w:lastColumn="0" w:oddVBand="0" w:evenVBand="0" w:oddHBand="0" w:evenHBand="0" w:firstRowFirstColumn="0" w:firstRowLastColumn="0" w:lastRowFirstColumn="0" w:lastRowLastColumn="0"/>
              <w:rPr>
                <w:b/>
                <w:color w:val="auto"/>
                <w:szCs w:val="22"/>
              </w:rPr>
            </w:pPr>
            <w:r w:rsidRPr="00013B61">
              <w:rPr>
                <w:color w:val="auto"/>
                <w:szCs w:val="22"/>
              </w:rPr>
              <w:t>1998</w:t>
            </w:r>
          </w:p>
        </w:tc>
        <w:tc>
          <w:tcPr>
            <w:tcW w:w="855" w:type="pct"/>
          </w:tcPr>
          <w:p w14:paraId="6F6B475B"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color w:val="auto"/>
                <w:sz w:val="22"/>
                <w:szCs w:val="22"/>
              </w:rPr>
              <w:t>0,537</w:t>
            </w:r>
          </w:p>
        </w:tc>
        <w:tc>
          <w:tcPr>
            <w:tcW w:w="855" w:type="pct"/>
          </w:tcPr>
          <w:p w14:paraId="019D5EAE"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2"/>
                <w:szCs w:val="22"/>
              </w:rPr>
            </w:pPr>
            <w:r w:rsidRPr="00013B61">
              <w:rPr>
                <w:rFonts w:ascii="Times New Roman" w:hAnsi="Times New Roman" w:cs="Times New Roman"/>
                <w:b/>
                <w:color w:val="auto"/>
                <w:sz w:val="22"/>
                <w:szCs w:val="22"/>
              </w:rPr>
              <w:t>0,560</w:t>
            </w:r>
          </w:p>
        </w:tc>
        <w:tc>
          <w:tcPr>
            <w:tcW w:w="855" w:type="pct"/>
          </w:tcPr>
          <w:p w14:paraId="0D45ECFD"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b/>
                <w:color w:val="auto"/>
                <w:sz w:val="22"/>
                <w:szCs w:val="22"/>
              </w:rPr>
              <w:t>0,738</w:t>
            </w:r>
          </w:p>
        </w:tc>
        <w:tc>
          <w:tcPr>
            <w:tcW w:w="854" w:type="pct"/>
          </w:tcPr>
          <w:p w14:paraId="4EA16D18"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b/>
                <w:color w:val="auto"/>
                <w:sz w:val="22"/>
                <w:szCs w:val="22"/>
              </w:rPr>
              <w:t>0,555</w:t>
            </w:r>
          </w:p>
        </w:tc>
      </w:tr>
      <w:tr w:rsidR="00C93853" w:rsidRPr="00013B61" w14:paraId="1C3B284B" w14:textId="77777777" w:rsidTr="00902882">
        <w:trPr>
          <w:trHeight w:val="425"/>
        </w:trPr>
        <w:tc>
          <w:tcPr>
            <w:cnfStyle w:val="001000000000" w:firstRow="0" w:lastRow="0" w:firstColumn="1" w:lastColumn="0" w:oddVBand="0" w:evenVBand="0" w:oddHBand="0" w:evenHBand="0" w:firstRowFirstColumn="0" w:firstRowLastColumn="0" w:lastRowFirstColumn="0" w:lastRowLastColumn="0"/>
            <w:tcW w:w="791" w:type="pct"/>
            <w:vMerge/>
          </w:tcPr>
          <w:p w14:paraId="1D6ED809" w14:textId="77777777" w:rsidR="00C93853" w:rsidRPr="00013B61" w:rsidRDefault="00C93853" w:rsidP="00460BFC">
            <w:pPr>
              <w:pStyle w:val="Normaljustificado"/>
              <w:jc w:val="left"/>
              <w:rPr>
                <w:color w:val="auto"/>
                <w:szCs w:val="22"/>
              </w:rPr>
            </w:pPr>
          </w:p>
        </w:tc>
        <w:tc>
          <w:tcPr>
            <w:tcW w:w="790" w:type="pct"/>
          </w:tcPr>
          <w:p w14:paraId="4062A604" w14:textId="77777777" w:rsidR="00C93853" w:rsidRPr="00013B61" w:rsidRDefault="00C93853" w:rsidP="00460BFC">
            <w:pPr>
              <w:pStyle w:val="Normaljustificado"/>
              <w:jc w:val="left"/>
              <w:cnfStyle w:val="000000000000" w:firstRow="0" w:lastRow="0" w:firstColumn="0" w:lastColumn="0" w:oddVBand="0" w:evenVBand="0" w:oddHBand="0" w:evenHBand="0" w:firstRowFirstColumn="0" w:firstRowLastColumn="0" w:lastRowFirstColumn="0" w:lastRowLastColumn="0"/>
              <w:rPr>
                <w:b/>
                <w:color w:val="auto"/>
                <w:szCs w:val="22"/>
              </w:rPr>
            </w:pPr>
            <w:r w:rsidRPr="00013B61">
              <w:rPr>
                <w:color w:val="auto"/>
                <w:szCs w:val="22"/>
              </w:rPr>
              <w:t>1999</w:t>
            </w:r>
          </w:p>
        </w:tc>
        <w:tc>
          <w:tcPr>
            <w:tcW w:w="855" w:type="pct"/>
          </w:tcPr>
          <w:p w14:paraId="2387ABA4"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color w:val="auto"/>
                <w:sz w:val="22"/>
                <w:szCs w:val="22"/>
              </w:rPr>
              <w:t>0,539</w:t>
            </w:r>
          </w:p>
        </w:tc>
        <w:tc>
          <w:tcPr>
            <w:tcW w:w="855" w:type="pct"/>
          </w:tcPr>
          <w:p w14:paraId="26D0714C"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color w:val="auto"/>
                <w:sz w:val="22"/>
                <w:szCs w:val="22"/>
              </w:rPr>
              <w:t>0,545</w:t>
            </w:r>
          </w:p>
        </w:tc>
        <w:tc>
          <w:tcPr>
            <w:tcW w:w="855" w:type="pct"/>
          </w:tcPr>
          <w:p w14:paraId="2597255C"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b/>
                <w:color w:val="auto"/>
                <w:sz w:val="22"/>
                <w:szCs w:val="22"/>
              </w:rPr>
              <w:t>0,683</w:t>
            </w:r>
          </w:p>
        </w:tc>
        <w:tc>
          <w:tcPr>
            <w:tcW w:w="854" w:type="pct"/>
          </w:tcPr>
          <w:p w14:paraId="32810F77"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b/>
                <w:color w:val="auto"/>
                <w:sz w:val="22"/>
                <w:szCs w:val="22"/>
              </w:rPr>
              <w:t>0,560</w:t>
            </w:r>
          </w:p>
        </w:tc>
      </w:tr>
      <w:tr w:rsidR="00C93853" w:rsidRPr="00013B61" w14:paraId="2B629780" w14:textId="77777777" w:rsidTr="00902882">
        <w:trPr>
          <w:trHeight w:val="425"/>
        </w:trPr>
        <w:tc>
          <w:tcPr>
            <w:cnfStyle w:val="001000000000" w:firstRow="0" w:lastRow="0" w:firstColumn="1" w:lastColumn="0" w:oddVBand="0" w:evenVBand="0" w:oddHBand="0" w:evenHBand="0" w:firstRowFirstColumn="0" w:firstRowLastColumn="0" w:lastRowFirstColumn="0" w:lastRowLastColumn="0"/>
            <w:tcW w:w="791" w:type="pct"/>
            <w:vMerge/>
          </w:tcPr>
          <w:p w14:paraId="2485737B" w14:textId="77777777" w:rsidR="00C93853" w:rsidRPr="00013B61" w:rsidRDefault="00C93853" w:rsidP="00460BFC">
            <w:pPr>
              <w:pStyle w:val="Normaljustificado"/>
              <w:jc w:val="left"/>
              <w:rPr>
                <w:color w:val="auto"/>
                <w:szCs w:val="22"/>
              </w:rPr>
            </w:pPr>
          </w:p>
        </w:tc>
        <w:tc>
          <w:tcPr>
            <w:tcW w:w="790" w:type="pct"/>
          </w:tcPr>
          <w:p w14:paraId="2EABEBEF" w14:textId="77777777" w:rsidR="00C93853" w:rsidRPr="00013B61" w:rsidRDefault="00C93853" w:rsidP="00460BFC">
            <w:pPr>
              <w:pStyle w:val="Normaljustificado"/>
              <w:jc w:val="left"/>
              <w:cnfStyle w:val="000000000000" w:firstRow="0" w:lastRow="0" w:firstColumn="0" w:lastColumn="0" w:oddVBand="0" w:evenVBand="0" w:oddHBand="0" w:evenHBand="0" w:firstRowFirstColumn="0" w:firstRowLastColumn="0" w:lastRowFirstColumn="0" w:lastRowLastColumn="0"/>
              <w:rPr>
                <w:b/>
                <w:color w:val="auto"/>
                <w:szCs w:val="22"/>
              </w:rPr>
            </w:pPr>
            <w:r w:rsidRPr="00013B61">
              <w:rPr>
                <w:color w:val="auto"/>
                <w:szCs w:val="22"/>
              </w:rPr>
              <w:t>2001</w:t>
            </w:r>
          </w:p>
        </w:tc>
        <w:tc>
          <w:tcPr>
            <w:tcW w:w="855" w:type="pct"/>
          </w:tcPr>
          <w:p w14:paraId="1486F6C9"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color w:val="auto"/>
                <w:sz w:val="22"/>
                <w:szCs w:val="22"/>
              </w:rPr>
              <w:t>0,519</w:t>
            </w:r>
          </w:p>
        </w:tc>
        <w:tc>
          <w:tcPr>
            <w:tcW w:w="855" w:type="pct"/>
          </w:tcPr>
          <w:p w14:paraId="18B63106"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color w:val="auto"/>
                <w:sz w:val="22"/>
                <w:szCs w:val="22"/>
              </w:rPr>
              <w:t>0,527</w:t>
            </w:r>
          </w:p>
        </w:tc>
        <w:tc>
          <w:tcPr>
            <w:tcW w:w="855" w:type="pct"/>
          </w:tcPr>
          <w:p w14:paraId="208368E8"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b/>
                <w:color w:val="auto"/>
                <w:sz w:val="22"/>
                <w:szCs w:val="22"/>
              </w:rPr>
              <w:t>0,623</w:t>
            </w:r>
          </w:p>
        </w:tc>
        <w:tc>
          <w:tcPr>
            <w:tcW w:w="854" w:type="pct"/>
          </w:tcPr>
          <w:p w14:paraId="6C5C48D2"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b/>
                <w:color w:val="auto"/>
                <w:sz w:val="22"/>
                <w:szCs w:val="22"/>
              </w:rPr>
              <w:t>0,545</w:t>
            </w:r>
          </w:p>
        </w:tc>
      </w:tr>
      <w:tr w:rsidR="00C93853" w:rsidRPr="00013B61" w14:paraId="0A86120F" w14:textId="77777777" w:rsidTr="00902882">
        <w:trPr>
          <w:trHeight w:val="425"/>
        </w:trPr>
        <w:tc>
          <w:tcPr>
            <w:cnfStyle w:val="001000000000" w:firstRow="0" w:lastRow="0" w:firstColumn="1" w:lastColumn="0" w:oddVBand="0" w:evenVBand="0" w:oddHBand="0" w:evenHBand="0" w:firstRowFirstColumn="0" w:firstRowLastColumn="0" w:lastRowFirstColumn="0" w:lastRowLastColumn="0"/>
            <w:tcW w:w="791" w:type="pct"/>
            <w:vMerge/>
          </w:tcPr>
          <w:p w14:paraId="005AE30B" w14:textId="77777777" w:rsidR="00C93853" w:rsidRPr="00013B61" w:rsidRDefault="00C93853" w:rsidP="00460BFC">
            <w:pPr>
              <w:pStyle w:val="Normaljustificado"/>
              <w:jc w:val="left"/>
              <w:rPr>
                <w:color w:val="auto"/>
                <w:szCs w:val="22"/>
              </w:rPr>
            </w:pPr>
          </w:p>
        </w:tc>
        <w:tc>
          <w:tcPr>
            <w:tcW w:w="790" w:type="pct"/>
          </w:tcPr>
          <w:p w14:paraId="39C4D2CC" w14:textId="77777777" w:rsidR="00C93853" w:rsidRPr="00013B61" w:rsidRDefault="00C93853" w:rsidP="00460BFC">
            <w:pPr>
              <w:pStyle w:val="Normaljustificado"/>
              <w:jc w:val="left"/>
              <w:cnfStyle w:val="000000000000" w:firstRow="0" w:lastRow="0" w:firstColumn="0" w:lastColumn="0" w:oddVBand="0" w:evenVBand="0" w:oddHBand="0" w:evenHBand="0" w:firstRowFirstColumn="0" w:firstRowLastColumn="0" w:lastRowFirstColumn="0" w:lastRowLastColumn="0"/>
              <w:rPr>
                <w:b/>
                <w:color w:val="auto"/>
                <w:szCs w:val="22"/>
              </w:rPr>
            </w:pPr>
            <w:r w:rsidRPr="00013B61">
              <w:rPr>
                <w:color w:val="auto"/>
                <w:szCs w:val="22"/>
              </w:rPr>
              <w:t>2002</w:t>
            </w:r>
          </w:p>
        </w:tc>
        <w:tc>
          <w:tcPr>
            <w:tcW w:w="855" w:type="pct"/>
          </w:tcPr>
          <w:p w14:paraId="4ED79F9F"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color w:val="auto"/>
                <w:sz w:val="22"/>
                <w:szCs w:val="22"/>
              </w:rPr>
              <w:t>0,505</w:t>
            </w:r>
          </w:p>
        </w:tc>
        <w:tc>
          <w:tcPr>
            <w:tcW w:w="855" w:type="pct"/>
          </w:tcPr>
          <w:p w14:paraId="411371E0"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color w:val="auto"/>
                <w:sz w:val="22"/>
                <w:szCs w:val="22"/>
              </w:rPr>
              <w:t>0,497</w:t>
            </w:r>
          </w:p>
        </w:tc>
        <w:tc>
          <w:tcPr>
            <w:tcW w:w="855" w:type="pct"/>
          </w:tcPr>
          <w:p w14:paraId="2204736C"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color w:val="auto"/>
                <w:sz w:val="22"/>
                <w:szCs w:val="22"/>
              </w:rPr>
              <w:t>0,435</w:t>
            </w:r>
          </w:p>
        </w:tc>
        <w:tc>
          <w:tcPr>
            <w:tcW w:w="854" w:type="pct"/>
          </w:tcPr>
          <w:p w14:paraId="1FCCAFEE"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b/>
                <w:color w:val="auto"/>
                <w:sz w:val="22"/>
                <w:szCs w:val="22"/>
              </w:rPr>
              <w:t>0,527</w:t>
            </w:r>
          </w:p>
        </w:tc>
      </w:tr>
      <w:tr w:rsidR="00C93853" w:rsidRPr="00013B61" w14:paraId="0D57911C" w14:textId="77777777" w:rsidTr="00902882">
        <w:trPr>
          <w:trHeight w:val="425"/>
        </w:trPr>
        <w:tc>
          <w:tcPr>
            <w:cnfStyle w:val="001000000000" w:firstRow="0" w:lastRow="0" w:firstColumn="1" w:lastColumn="0" w:oddVBand="0" w:evenVBand="0" w:oddHBand="0" w:evenHBand="0" w:firstRowFirstColumn="0" w:firstRowLastColumn="0" w:lastRowFirstColumn="0" w:lastRowLastColumn="0"/>
            <w:tcW w:w="791" w:type="pct"/>
            <w:vMerge w:val="restart"/>
          </w:tcPr>
          <w:p w14:paraId="546F7FB2" w14:textId="77777777" w:rsidR="00C93853" w:rsidRPr="00013B61" w:rsidRDefault="00C93853" w:rsidP="00460BFC">
            <w:pPr>
              <w:pStyle w:val="Normaljustificado"/>
              <w:jc w:val="left"/>
              <w:rPr>
                <w:color w:val="auto"/>
                <w:szCs w:val="22"/>
              </w:rPr>
            </w:pPr>
            <w:r w:rsidRPr="00013B61">
              <w:rPr>
                <w:color w:val="auto"/>
                <w:szCs w:val="22"/>
              </w:rPr>
              <w:t>LULA</w:t>
            </w:r>
          </w:p>
        </w:tc>
        <w:tc>
          <w:tcPr>
            <w:tcW w:w="790" w:type="pct"/>
          </w:tcPr>
          <w:p w14:paraId="5482BCFC" w14:textId="77777777" w:rsidR="00C93853" w:rsidRPr="00013B61" w:rsidRDefault="00C93853" w:rsidP="00460BFC">
            <w:pPr>
              <w:pStyle w:val="Normaljustificado"/>
              <w:jc w:val="left"/>
              <w:cnfStyle w:val="000000000000" w:firstRow="0" w:lastRow="0" w:firstColumn="0" w:lastColumn="0" w:oddVBand="0" w:evenVBand="0" w:oddHBand="0" w:evenHBand="0" w:firstRowFirstColumn="0" w:firstRowLastColumn="0" w:lastRowFirstColumn="0" w:lastRowLastColumn="0"/>
              <w:rPr>
                <w:b/>
                <w:color w:val="auto"/>
                <w:szCs w:val="22"/>
              </w:rPr>
            </w:pPr>
            <w:r w:rsidRPr="00013B61">
              <w:rPr>
                <w:color w:val="auto"/>
                <w:szCs w:val="22"/>
              </w:rPr>
              <w:t>2003</w:t>
            </w:r>
          </w:p>
        </w:tc>
        <w:tc>
          <w:tcPr>
            <w:tcW w:w="855" w:type="pct"/>
          </w:tcPr>
          <w:p w14:paraId="3698E9E9"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color w:val="auto"/>
                <w:sz w:val="22"/>
                <w:szCs w:val="22"/>
              </w:rPr>
              <w:t>0,497</w:t>
            </w:r>
          </w:p>
        </w:tc>
        <w:tc>
          <w:tcPr>
            <w:tcW w:w="855" w:type="pct"/>
          </w:tcPr>
          <w:p w14:paraId="23526BBC"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b/>
                <w:color w:val="auto"/>
                <w:sz w:val="22"/>
                <w:szCs w:val="22"/>
              </w:rPr>
              <w:t>0,519</w:t>
            </w:r>
          </w:p>
        </w:tc>
        <w:tc>
          <w:tcPr>
            <w:tcW w:w="855" w:type="pct"/>
          </w:tcPr>
          <w:p w14:paraId="2BFBC7D7"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color w:val="auto"/>
                <w:sz w:val="22"/>
                <w:szCs w:val="22"/>
              </w:rPr>
              <w:t>0,352</w:t>
            </w:r>
          </w:p>
        </w:tc>
        <w:tc>
          <w:tcPr>
            <w:tcW w:w="854" w:type="pct"/>
          </w:tcPr>
          <w:p w14:paraId="752E53F3"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color w:val="auto"/>
                <w:sz w:val="22"/>
                <w:szCs w:val="22"/>
              </w:rPr>
              <w:t>0,497</w:t>
            </w:r>
          </w:p>
        </w:tc>
      </w:tr>
      <w:tr w:rsidR="00C93853" w:rsidRPr="00013B61" w14:paraId="512DB3B5" w14:textId="77777777" w:rsidTr="00902882">
        <w:trPr>
          <w:trHeight w:val="425"/>
        </w:trPr>
        <w:tc>
          <w:tcPr>
            <w:cnfStyle w:val="001000000000" w:firstRow="0" w:lastRow="0" w:firstColumn="1" w:lastColumn="0" w:oddVBand="0" w:evenVBand="0" w:oddHBand="0" w:evenHBand="0" w:firstRowFirstColumn="0" w:firstRowLastColumn="0" w:lastRowFirstColumn="0" w:lastRowLastColumn="0"/>
            <w:tcW w:w="791" w:type="pct"/>
            <w:vMerge/>
          </w:tcPr>
          <w:p w14:paraId="73668E26" w14:textId="77777777" w:rsidR="00C93853" w:rsidRPr="00013B61" w:rsidRDefault="00C93853" w:rsidP="00460BFC">
            <w:pPr>
              <w:pStyle w:val="Normaljustificado"/>
              <w:jc w:val="left"/>
              <w:rPr>
                <w:color w:val="auto"/>
                <w:szCs w:val="22"/>
              </w:rPr>
            </w:pPr>
          </w:p>
        </w:tc>
        <w:tc>
          <w:tcPr>
            <w:tcW w:w="790" w:type="pct"/>
          </w:tcPr>
          <w:p w14:paraId="406843BD" w14:textId="77777777" w:rsidR="00C93853" w:rsidRPr="00013B61" w:rsidRDefault="00C93853" w:rsidP="00460BFC">
            <w:pPr>
              <w:pStyle w:val="Normaljustificado"/>
              <w:jc w:val="left"/>
              <w:cnfStyle w:val="000000000000" w:firstRow="0" w:lastRow="0" w:firstColumn="0" w:lastColumn="0" w:oddVBand="0" w:evenVBand="0" w:oddHBand="0" w:evenHBand="0" w:firstRowFirstColumn="0" w:firstRowLastColumn="0" w:lastRowFirstColumn="0" w:lastRowLastColumn="0"/>
              <w:rPr>
                <w:b/>
                <w:color w:val="auto"/>
                <w:szCs w:val="22"/>
              </w:rPr>
            </w:pPr>
            <w:r w:rsidRPr="00013B61">
              <w:rPr>
                <w:color w:val="auto"/>
                <w:szCs w:val="22"/>
              </w:rPr>
              <w:t>2004</w:t>
            </w:r>
          </w:p>
        </w:tc>
        <w:tc>
          <w:tcPr>
            <w:tcW w:w="855" w:type="pct"/>
          </w:tcPr>
          <w:p w14:paraId="7AFB6DEB"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color w:val="auto"/>
                <w:sz w:val="22"/>
                <w:szCs w:val="22"/>
              </w:rPr>
              <w:t>0,500</w:t>
            </w:r>
          </w:p>
        </w:tc>
        <w:tc>
          <w:tcPr>
            <w:tcW w:w="855" w:type="pct"/>
          </w:tcPr>
          <w:p w14:paraId="1AB4BC6C"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color w:val="auto"/>
                <w:sz w:val="22"/>
                <w:szCs w:val="22"/>
              </w:rPr>
              <w:t>0,513</w:t>
            </w:r>
          </w:p>
        </w:tc>
        <w:tc>
          <w:tcPr>
            <w:tcW w:w="855" w:type="pct"/>
          </w:tcPr>
          <w:p w14:paraId="22AD2C04"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color w:val="auto"/>
                <w:sz w:val="22"/>
                <w:szCs w:val="22"/>
              </w:rPr>
              <w:t>0,403</w:t>
            </w:r>
          </w:p>
        </w:tc>
        <w:tc>
          <w:tcPr>
            <w:tcW w:w="854" w:type="pct"/>
          </w:tcPr>
          <w:p w14:paraId="687E5271"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color w:val="auto"/>
                <w:sz w:val="22"/>
                <w:szCs w:val="22"/>
              </w:rPr>
              <w:t>0,519</w:t>
            </w:r>
          </w:p>
        </w:tc>
      </w:tr>
      <w:tr w:rsidR="00C93853" w:rsidRPr="00013B61" w14:paraId="6AB27CB9" w14:textId="77777777" w:rsidTr="00902882">
        <w:trPr>
          <w:trHeight w:val="425"/>
        </w:trPr>
        <w:tc>
          <w:tcPr>
            <w:cnfStyle w:val="001000000000" w:firstRow="0" w:lastRow="0" w:firstColumn="1" w:lastColumn="0" w:oddVBand="0" w:evenVBand="0" w:oddHBand="0" w:evenHBand="0" w:firstRowFirstColumn="0" w:firstRowLastColumn="0" w:lastRowFirstColumn="0" w:lastRowLastColumn="0"/>
            <w:tcW w:w="791" w:type="pct"/>
            <w:vMerge/>
          </w:tcPr>
          <w:p w14:paraId="61540DDB" w14:textId="77777777" w:rsidR="00C93853" w:rsidRPr="00013B61" w:rsidRDefault="00C93853" w:rsidP="00460BFC">
            <w:pPr>
              <w:pStyle w:val="Normaljustificado"/>
              <w:jc w:val="left"/>
              <w:rPr>
                <w:color w:val="auto"/>
                <w:szCs w:val="22"/>
              </w:rPr>
            </w:pPr>
          </w:p>
        </w:tc>
        <w:tc>
          <w:tcPr>
            <w:tcW w:w="790" w:type="pct"/>
          </w:tcPr>
          <w:p w14:paraId="70A461FF" w14:textId="77777777" w:rsidR="00C93853" w:rsidRPr="00013B61" w:rsidRDefault="00C93853" w:rsidP="00460BFC">
            <w:pPr>
              <w:pStyle w:val="Normaljustificado"/>
              <w:jc w:val="left"/>
              <w:cnfStyle w:val="000000000000" w:firstRow="0" w:lastRow="0" w:firstColumn="0" w:lastColumn="0" w:oddVBand="0" w:evenVBand="0" w:oddHBand="0" w:evenHBand="0" w:firstRowFirstColumn="0" w:firstRowLastColumn="0" w:lastRowFirstColumn="0" w:lastRowLastColumn="0"/>
              <w:rPr>
                <w:b/>
                <w:color w:val="auto"/>
                <w:szCs w:val="22"/>
              </w:rPr>
            </w:pPr>
            <w:r w:rsidRPr="00013B61">
              <w:rPr>
                <w:color w:val="auto"/>
                <w:szCs w:val="22"/>
              </w:rPr>
              <w:t>2005</w:t>
            </w:r>
          </w:p>
        </w:tc>
        <w:tc>
          <w:tcPr>
            <w:tcW w:w="855" w:type="pct"/>
          </w:tcPr>
          <w:p w14:paraId="6D5072DD"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color w:val="auto"/>
                <w:sz w:val="22"/>
                <w:szCs w:val="22"/>
              </w:rPr>
              <w:t>0,497</w:t>
            </w:r>
          </w:p>
        </w:tc>
        <w:tc>
          <w:tcPr>
            <w:tcW w:w="855" w:type="pct"/>
          </w:tcPr>
          <w:p w14:paraId="4253729C"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color w:val="auto"/>
                <w:sz w:val="22"/>
                <w:szCs w:val="22"/>
              </w:rPr>
              <w:t>0,504</w:t>
            </w:r>
          </w:p>
        </w:tc>
        <w:tc>
          <w:tcPr>
            <w:tcW w:w="855" w:type="pct"/>
          </w:tcPr>
          <w:p w14:paraId="16609AEC"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color w:val="auto"/>
                <w:sz w:val="22"/>
                <w:szCs w:val="22"/>
              </w:rPr>
              <w:t>0,352</w:t>
            </w:r>
          </w:p>
        </w:tc>
        <w:tc>
          <w:tcPr>
            <w:tcW w:w="854" w:type="pct"/>
          </w:tcPr>
          <w:p w14:paraId="132417D2"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color w:val="auto"/>
                <w:sz w:val="22"/>
                <w:szCs w:val="22"/>
              </w:rPr>
              <w:t>0,513</w:t>
            </w:r>
          </w:p>
        </w:tc>
      </w:tr>
      <w:tr w:rsidR="00C93853" w:rsidRPr="00013B61" w14:paraId="1C3D9DAE" w14:textId="77777777" w:rsidTr="00902882">
        <w:trPr>
          <w:trHeight w:val="425"/>
        </w:trPr>
        <w:tc>
          <w:tcPr>
            <w:cnfStyle w:val="001000000000" w:firstRow="0" w:lastRow="0" w:firstColumn="1" w:lastColumn="0" w:oddVBand="0" w:evenVBand="0" w:oddHBand="0" w:evenHBand="0" w:firstRowFirstColumn="0" w:firstRowLastColumn="0" w:lastRowFirstColumn="0" w:lastRowLastColumn="0"/>
            <w:tcW w:w="791" w:type="pct"/>
            <w:vMerge/>
          </w:tcPr>
          <w:p w14:paraId="5C67B034" w14:textId="77777777" w:rsidR="00C93853" w:rsidRPr="00013B61" w:rsidRDefault="00C93853" w:rsidP="00460BFC">
            <w:pPr>
              <w:pStyle w:val="Normaljustificado"/>
              <w:jc w:val="left"/>
              <w:rPr>
                <w:color w:val="auto"/>
                <w:szCs w:val="22"/>
              </w:rPr>
            </w:pPr>
          </w:p>
        </w:tc>
        <w:tc>
          <w:tcPr>
            <w:tcW w:w="790" w:type="pct"/>
          </w:tcPr>
          <w:p w14:paraId="10DFA36B" w14:textId="77777777" w:rsidR="00C93853" w:rsidRPr="00013B61" w:rsidRDefault="00C93853" w:rsidP="00460BFC">
            <w:pPr>
              <w:pStyle w:val="Normaljustificado"/>
              <w:jc w:val="left"/>
              <w:cnfStyle w:val="000000000000" w:firstRow="0" w:lastRow="0" w:firstColumn="0" w:lastColumn="0" w:oddVBand="0" w:evenVBand="0" w:oddHBand="0" w:evenHBand="0" w:firstRowFirstColumn="0" w:firstRowLastColumn="0" w:lastRowFirstColumn="0" w:lastRowLastColumn="0"/>
              <w:rPr>
                <w:color w:val="auto"/>
                <w:szCs w:val="22"/>
              </w:rPr>
            </w:pPr>
            <w:r w:rsidRPr="00013B61">
              <w:rPr>
                <w:color w:val="auto"/>
                <w:szCs w:val="22"/>
              </w:rPr>
              <w:t>2006</w:t>
            </w:r>
          </w:p>
        </w:tc>
        <w:tc>
          <w:tcPr>
            <w:tcW w:w="855" w:type="pct"/>
          </w:tcPr>
          <w:p w14:paraId="6E8D0241"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color w:val="auto"/>
                <w:sz w:val="22"/>
                <w:szCs w:val="22"/>
              </w:rPr>
              <w:t>0,491</w:t>
            </w:r>
          </w:p>
        </w:tc>
        <w:tc>
          <w:tcPr>
            <w:tcW w:w="855" w:type="pct"/>
          </w:tcPr>
          <w:p w14:paraId="329C7545"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color w:val="auto"/>
                <w:sz w:val="22"/>
                <w:szCs w:val="22"/>
              </w:rPr>
              <w:t>0,502</w:t>
            </w:r>
          </w:p>
        </w:tc>
        <w:tc>
          <w:tcPr>
            <w:tcW w:w="855" w:type="pct"/>
          </w:tcPr>
          <w:p w14:paraId="374BA312"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color w:val="auto"/>
                <w:sz w:val="22"/>
                <w:szCs w:val="22"/>
              </w:rPr>
              <w:t>0,304</w:t>
            </w:r>
          </w:p>
        </w:tc>
        <w:tc>
          <w:tcPr>
            <w:tcW w:w="854" w:type="pct"/>
          </w:tcPr>
          <w:p w14:paraId="6BBBBC8F"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color w:val="auto"/>
                <w:sz w:val="22"/>
                <w:szCs w:val="22"/>
              </w:rPr>
              <w:t>0,504</w:t>
            </w:r>
          </w:p>
        </w:tc>
      </w:tr>
      <w:tr w:rsidR="00C93853" w:rsidRPr="00013B61" w14:paraId="1482C980" w14:textId="77777777" w:rsidTr="00902882">
        <w:trPr>
          <w:trHeight w:val="425"/>
        </w:trPr>
        <w:tc>
          <w:tcPr>
            <w:cnfStyle w:val="001000000000" w:firstRow="0" w:lastRow="0" w:firstColumn="1" w:lastColumn="0" w:oddVBand="0" w:evenVBand="0" w:oddHBand="0" w:evenHBand="0" w:firstRowFirstColumn="0" w:firstRowLastColumn="0" w:lastRowFirstColumn="0" w:lastRowLastColumn="0"/>
            <w:tcW w:w="791" w:type="pct"/>
            <w:vMerge/>
          </w:tcPr>
          <w:p w14:paraId="02D6ED10" w14:textId="77777777" w:rsidR="00C93853" w:rsidRPr="00013B61" w:rsidRDefault="00C93853" w:rsidP="00460BFC">
            <w:pPr>
              <w:pStyle w:val="Normaljustificado"/>
              <w:jc w:val="left"/>
              <w:rPr>
                <w:color w:val="auto"/>
                <w:szCs w:val="22"/>
              </w:rPr>
            </w:pPr>
          </w:p>
        </w:tc>
        <w:tc>
          <w:tcPr>
            <w:tcW w:w="790" w:type="pct"/>
          </w:tcPr>
          <w:p w14:paraId="0A5131EB" w14:textId="77777777" w:rsidR="00C93853" w:rsidRPr="00013B61" w:rsidRDefault="00C93853" w:rsidP="00460BFC">
            <w:pPr>
              <w:pStyle w:val="Normaljustificado"/>
              <w:jc w:val="left"/>
              <w:cnfStyle w:val="000000000000" w:firstRow="0" w:lastRow="0" w:firstColumn="0" w:lastColumn="0" w:oddVBand="0" w:evenVBand="0" w:oddHBand="0" w:evenHBand="0" w:firstRowFirstColumn="0" w:firstRowLastColumn="0" w:lastRowFirstColumn="0" w:lastRowLastColumn="0"/>
              <w:rPr>
                <w:color w:val="auto"/>
                <w:szCs w:val="22"/>
              </w:rPr>
            </w:pPr>
            <w:r w:rsidRPr="00013B61">
              <w:rPr>
                <w:color w:val="auto"/>
                <w:szCs w:val="22"/>
              </w:rPr>
              <w:t>2007</w:t>
            </w:r>
          </w:p>
        </w:tc>
        <w:tc>
          <w:tcPr>
            <w:tcW w:w="855" w:type="pct"/>
          </w:tcPr>
          <w:p w14:paraId="67F4B334"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color w:val="auto"/>
                <w:sz w:val="22"/>
                <w:szCs w:val="22"/>
              </w:rPr>
              <w:t>0,490</w:t>
            </w:r>
          </w:p>
        </w:tc>
        <w:tc>
          <w:tcPr>
            <w:tcW w:w="855" w:type="pct"/>
          </w:tcPr>
          <w:p w14:paraId="318BB084"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color w:val="auto"/>
                <w:sz w:val="22"/>
                <w:szCs w:val="22"/>
              </w:rPr>
              <w:t>0,493</w:t>
            </w:r>
          </w:p>
        </w:tc>
        <w:tc>
          <w:tcPr>
            <w:tcW w:w="855" w:type="pct"/>
          </w:tcPr>
          <w:p w14:paraId="56FF9251"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color w:val="auto"/>
                <w:sz w:val="22"/>
                <w:szCs w:val="22"/>
              </w:rPr>
              <w:t>0,374</w:t>
            </w:r>
          </w:p>
        </w:tc>
        <w:tc>
          <w:tcPr>
            <w:tcW w:w="854" w:type="pct"/>
          </w:tcPr>
          <w:p w14:paraId="259D0984"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color w:val="auto"/>
                <w:sz w:val="22"/>
                <w:szCs w:val="22"/>
              </w:rPr>
              <w:t>0,502</w:t>
            </w:r>
          </w:p>
        </w:tc>
      </w:tr>
      <w:tr w:rsidR="00C93853" w:rsidRPr="00013B61" w14:paraId="3EB652DD" w14:textId="77777777" w:rsidTr="00902882">
        <w:trPr>
          <w:trHeight w:val="425"/>
        </w:trPr>
        <w:tc>
          <w:tcPr>
            <w:cnfStyle w:val="001000000000" w:firstRow="0" w:lastRow="0" w:firstColumn="1" w:lastColumn="0" w:oddVBand="0" w:evenVBand="0" w:oddHBand="0" w:evenHBand="0" w:firstRowFirstColumn="0" w:firstRowLastColumn="0" w:lastRowFirstColumn="0" w:lastRowLastColumn="0"/>
            <w:tcW w:w="791" w:type="pct"/>
            <w:vMerge/>
          </w:tcPr>
          <w:p w14:paraId="7878DDFB" w14:textId="77777777" w:rsidR="00C93853" w:rsidRPr="00013B61" w:rsidRDefault="00C93853" w:rsidP="00460BFC">
            <w:pPr>
              <w:pStyle w:val="Normaljustificado"/>
              <w:jc w:val="left"/>
              <w:rPr>
                <w:color w:val="auto"/>
                <w:szCs w:val="22"/>
              </w:rPr>
            </w:pPr>
          </w:p>
        </w:tc>
        <w:tc>
          <w:tcPr>
            <w:tcW w:w="790" w:type="pct"/>
          </w:tcPr>
          <w:p w14:paraId="4FE8E603" w14:textId="77777777" w:rsidR="00C93853" w:rsidRPr="00013B61" w:rsidRDefault="00C93853" w:rsidP="00460BFC">
            <w:pPr>
              <w:pStyle w:val="Normaljustificado"/>
              <w:jc w:val="left"/>
              <w:cnfStyle w:val="000000000000" w:firstRow="0" w:lastRow="0" w:firstColumn="0" w:lastColumn="0" w:oddVBand="0" w:evenVBand="0" w:oddHBand="0" w:evenHBand="0" w:firstRowFirstColumn="0" w:firstRowLastColumn="0" w:lastRowFirstColumn="0" w:lastRowLastColumn="0"/>
              <w:rPr>
                <w:color w:val="auto"/>
                <w:szCs w:val="22"/>
              </w:rPr>
            </w:pPr>
            <w:r w:rsidRPr="00013B61">
              <w:rPr>
                <w:color w:val="auto"/>
                <w:szCs w:val="22"/>
              </w:rPr>
              <w:t>2008</w:t>
            </w:r>
          </w:p>
        </w:tc>
        <w:tc>
          <w:tcPr>
            <w:tcW w:w="855" w:type="pct"/>
          </w:tcPr>
          <w:p w14:paraId="34CCD66F"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color w:val="auto"/>
                <w:sz w:val="22"/>
                <w:szCs w:val="22"/>
              </w:rPr>
              <w:t>0,478</w:t>
            </w:r>
          </w:p>
        </w:tc>
        <w:tc>
          <w:tcPr>
            <w:tcW w:w="855" w:type="pct"/>
          </w:tcPr>
          <w:p w14:paraId="314B35E5"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color w:val="auto"/>
                <w:sz w:val="22"/>
                <w:szCs w:val="22"/>
              </w:rPr>
              <w:t>0,488</w:t>
            </w:r>
          </w:p>
        </w:tc>
        <w:tc>
          <w:tcPr>
            <w:tcW w:w="855" w:type="pct"/>
          </w:tcPr>
          <w:p w14:paraId="2D5F564D"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color w:val="auto"/>
                <w:sz w:val="22"/>
                <w:szCs w:val="22"/>
              </w:rPr>
              <w:t>0,334</w:t>
            </w:r>
          </w:p>
        </w:tc>
        <w:tc>
          <w:tcPr>
            <w:tcW w:w="854" w:type="pct"/>
          </w:tcPr>
          <w:p w14:paraId="3D7EA615"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color w:val="auto"/>
                <w:sz w:val="22"/>
                <w:szCs w:val="22"/>
              </w:rPr>
              <w:t>0,493</w:t>
            </w:r>
          </w:p>
        </w:tc>
      </w:tr>
      <w:tr w:rsidR="00C93853" w:rsidRPr="00013B61" w14:paraId="57D60A15" w14:textId="77777777" w:rsidTr="00902882">
        <w:trPr>
          <w:trHeight w:val="425"/>
        </w:trPr>
        <w:tc>
          <w:tcPr>
            <w:cnfStyle w:val="001000000000" w:firstRow="0" w:lastRow="0" w:firstColumn="1" w:lastColumn="0" w:oddVBand="0" w:evenVBand="0" w:oddHBand="0" w:evenHBand="0" w:firstRowFirstColumn="0" w:firstRowLastColumn="0" w:lastRowFirstColumn="0" w:lastRowLastColumn="0"/>
            <w:tcW w:w="791" w:type="pct"/>
            <w:vMerge/>
          </w:tcPr>
          <w:p w14:paraId="7395BCF4" w14:textId="77777777" w:rsidR="00C93853" w:rsidRPr="00013B61" w:rsidRDefault="00C93853" w:rsidP="00460BFC">
            <w:pPr>
              <w:pStyle w:val="Normaljustificado"/>
              <w:jc w:val="left"/>
              <w:rPr>
                <w:color w:val="auto"/>
                <w:szCs w:val="22"/>
              </w:rPr>
            </w:pPr>
          </w:p>
        </w:tc>
        <w:tc>
          <w:tcPr>
            <w:tcW w:w="790" w:type="pct"/>
          </w:tcPr>
          <w:p w14:paraId="527EC038" w14:textId="77777777" w:rsidR="00C93853" w:rsidRPr="00013B61" w:rsidRDefault="00C93853" w:rsidP="00460BFC">
            <w:pPr>
              <w:pStyle w:val="Normaljustificado"/>
              <w:jc w:val="left"/>
              <w:cnfStyle w:val="000000000000" w:firstRow="0" w:lastRow="0" w:firstColumn="0" w:lastColumn="0" w:oddVBand="0" w:evenVBand="0" w:oddHBand="0" w:evenHBand="0" w:firstRowFirstColumn="0" w:firstRowLastColumn="0" w:lastRowFirstColumn="0" w:lastRowLastColumn="0"/>
              <w:rPr>
                <w:color w:val="auto"/>
                <w:szCs w:val="22"/>
              </w:rPr>
            </w:pPr>
            <w:r w:rsidRPr="00013B61">
              <w:rPr>
                <w:color w:val="auto"/>
                <w:szCs w:val="22"/>
              </w:rPr>
              <w:t>2009</w:t>
            </w:r>
          </w:p>
        </w:tc>
        <w:tc>
          <w:tcPr>
            <w:tcW w:w="855" w:type="pct"/>
          </w:tcPr>
          <w:p w14:paraId="63A10D9E"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color w:val="auto"/>
                <w:sz w:val="22"/>
                <w:szCs w:val="22"/>
              </w:rPr>
              <w:t>0,477</w:t>
            </w:r>
          </w:p>
        </w:tc>
        <w:tc>
          <w:tcPr>
            <w:tcW w:w="855" w:type="pct"/>
          </w:tcPr>
          <w:p w14:paraId="3494481B"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color w:val="auto"/>
                <w:sz w:val="22"/>
                <w:szCs w:val="22"/>
              </w:rPr>
              <w:t>0,488</w:t>
            </w:r>
          </w:p>
        </w:tc>
        <w:tc>
          <w:tcPr>
            <w:tcW w:w="855" w:type="pct"/>
          </w:tcPr>
          <w:p w14:paraId="379F0841"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color w:val="auto"/>
                <w:sz w:val="22"/>
                <w:szCs w:val="22"/>
              </w:rPr>
              <w:t>0,097</w:t>
            </w:r>
          </w:p>
        </w:tc>
        <w:tc>
          <w:tcPr>
            <w:tcW w:w="854" w:type="pct"/>
          </w:tcPr>
          <w:p w14:paraId="6B0C7449" w14:textId="77777777" w:rsidR="00C93853" w:rsidRPr="00013B61" w:rsidRDefault="00C93853" w:rsidP="00460B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13B61">
              <w:rPr>
                <w:rFonts w:ascii="Times New Roman" w:hAnsi="Times New Roman" w:cs="Times New Roman"/>
                <w:color w:val="auto"/>
                <w:sz w:val="22"/>
                <w:szCs w:val="22"/>
              </w:rPr>
              <w:t>0,488</w:t>
            </w:r>
          </w:p>
        </w:tc>
      </w:tr>
    </w:tbl>
    <w:p w14:paraId="583CAB4E" w14:textId="70241645" w:rsidR="0010228C" w:rsidRDefault="00C94172" w:rsidP="005C551A">
      <w:pPr>
        <w:jc w:val="both"/>
        <w:rPr>
          <w:rFonts w:ascii="Times" w:hAnsi="Times"/>
          <w:sz w:val="20"/>
          <w:szCs w:val="20"/>
        </w:rPr>
      </w:pPr>
      <w:r w:rsidRPr="00673CDF">
        <w:rPr>
          <w:rFonts w:ascii="Times" w:hAnsi="Times"/>
          <w:sz w:val="20"/>
          <w:szCs w:val="20"/>
        </w:rPr>
        <w:t xml:space="preserve">Fonte: </w:t>
      </w:r>
      <w:r w:rsidR="0010228C">
        <w:rPr>
          <w:rFonts w:ascii="Times" w:hAnsi="Times"/>
          <w:sz w:val="20"/>
          <w:szCs w:val="20"/>
        </w:rPr>
        <w:t>Elaboração dos autores a partir dos d</w:t>
      </w:r>
      <w:r w:rsidRPr="00673CDF">
        <w:rPr>
          <w:rFonts w:ascii="Times" w:hAnsi="Times"/>
          <w:sz w:val="20"/>
          <w:szCs w:val="20"/>
        </w:rPr>
        <w:t>a</w:t>
      </w:r>
      <w:r w:rsidR="00F9641C" w:rsidRPr="00673CDF">
        <w:rPr>
          <w:rFonts w:ascii="Times" w:hAnsi="Times"/>
          <w:sz w:val="20"/>
          <w:szCs w:val="20"/>
        </w:rPr>
        <w:t>dos</w:t>
      </w:r>
      <w:r w:rsidR="00355951">
        <w:rPr>
          <w:rFonts w:ascii="Times" w:hAnsi="Times"/>
          <w:sz w:val="20"/>
          <w:szCs w:val="20"/>
        </w:rPr>
        <w:t xml:space="preserve"> das</w:t>
      </w:r>
      <w:r w:rsidR="00F9641C" w:rsidRPr="00673CDF">
        <w:rPr>
          <w:rFonts w:ascii="Times" w:hAnsi="Times"/>
          <w:sz w:val="20"/>
          <w:szCs w:val="20"/>
        </w:rPr>
        <w:t xml:space="preserve"> PNADs de </w:t>
      </w:r>
      <w:r w:rsidR="0010228C">
        <w:rPr>
          <w:rFonts w:ascii="Times" w:hAnsi="Times"/>
          <w:sz w:val="20"/>
          <w:szCs w:val="20"/>
        </w:rPr>
        <w:t>1995 a 2009</w:t>
      </w:r>
    </w:p>
    <w:p w14:paraId="0B5B9310" w14:textId="565A10A0" w:rsidR="00EC584A" w:rsidRPr="00673CDF" w:rsidRDefault="00A03EFE" w:rsidP="005C551A">
      <w:pPr>
        <w:jc w:val="both"/>
        <w:rPr>
          <w:rFonts w:ascii="Times" w:hAnsi="Times"/>
          <w:sz w:val="20"/>
          <w:szCs w:val="20"/>
        </w:rPr>
      </w:pPr>
      <w:r w:rsidRPr="00673CDF">
        <w:rPr>
          <w:rFonts w:ascii="Times" w:hAnsi="Times"/>
          <w:sz w:val="20"/>
          <w:szCs w:val="20"/>
          <w:vertAlign w:val="superscript"/>
        </w:rPr>
        <w:t>1</w:t>
      </w:r>
      <w:r w:rsidRPr="00673CDF">
        <w:rPr>
          <w:rFonts w:ascii="Times" w:hAnsi="Times"/>
          <w:sz w:val="20"/>
          <w:szCs w:val="20"/>
        </w:rPr>
        <w:t xml:space="preserve"> </w:t>
      </w:r>
      <w:r w:rsidR="0032539A" w:rsidRPr="00673CDF">
        <w:rPr>
          <w:rFonts w:ascii="Times" w:hAnsi="Times"/>
          <w:sz w:val="20"/>
          <w:szCs w:val="20"/>
        </w:rPr>
        <w:t xml:space="preserve">Trabalho Principal         </w:t>
      </w:r>
      <w:r w:rsidRPr="00673CDF">
        <w:rPr>
          <w:rFonts w:ascii="Times" w:hAnsi="Times"/>
          <w:sz w:val="20"/>
          <w:szCs w:val="20"/>
        </w:rPr>
        <w:t xml:space="preserve">  </w:t>
      </w:r>
      <w:r w:rsidRPr="00673CDF">
        <w:rPr>
          <w:rFonts w:ascii="Times" w:hAnsi="Times"/>
          <w:sz w:val="20"/>
          <w:szCs w:val="20"/>
          <w:vertAlign w:val="superscript"/>
        </w:rPr>
        <w:t>2</w:t>
      </w:r>
      <w:r w:rsidRPr="00673CDF">
        <w:rPr>
          <w:rFonts w:ascii="Times" w:hAnsi="Times"/>
          <w:sz w:val="20"/>
          <w:szCs w:val="20"/>
        </w:rPr>
        <w:t xml:space="preserve"> Aposentadorias e pensões    </w:t>
      </w:r>
      <w:r w:rsidRPr="00673CDF">
        <w:rPr>
          <w:rFonts w:ascii="Times" w:hAnsi="Times"/>
          <w:sz w:val="20"/>
          <w:szCs w:val="20"/>
          <w:vertAlign w:val="superscript"/>
        </w:rPr>
        <w:t>3</w:t>
      </w:r>
      <w:r w:rsidRPr="00673CDF">
        <w:rPr>
          <w:rFonts w:ascii="Times" w:hAnsi="Times"/>
          <w:sz w:val="20"/>
          <w:szCs w:val="20"/>
        </w:rPr>
        <w:t xml:space="preserve"> Outros Rendimentos        </w:t>
      </w:r>
      <w:r w:rsidRPr="00673CDF">
        <w:rPr>
          <w:rFonts w:ascii="Times" w:hAnsi="Times"/>
          <w:sz w:val="20"/>
          <w:szCs w:val="20"/>
          <w:vertAlign w:val="superscript"/>
        </w:rPr>
        <w:t xml:space="preserve">4 </w:t>
      </w:r>
      <w:r w:rsidRPr="00673CDF">
        <w:rPr>
          <w:rFonts w:ascii="Times" w:hAnsi="Times"/>
          <w:sz w:val="20"/>
          <w:szCs w:val="20"/>
        </w:rPr>
        <w:t>Gini Total Sul</w:t>
      </w:r>
    </w:p>
    <w:p w14:paraId="48C2D979" w14:textId="77777777" w:rsidR="000C17EC" w:rsidRDefault="000C17EC" w:rsidP="000C17EC">
      <w:pPr>
        <w:widowControl w:val="0"/>
        <w:autoSpaceDE w:val="0"/>
        <w:autoSpaceDN w:val="0"/>
        <w:adjustRightInd w:val="0"/>
        <w:spacing w:after="240" w:line="360" w:lineRule="auto"/>
        <w:jc w:val="both"/>
        <w:outlineLvl w:val="0"/>
        <w:rPr>
          <w:rFonts w:ascii="Times" w:hAnsi="Times"/>
        </w:rPr>
      </w:pPr>
    </w:p>
    <w:p w14:paraId="0C01440D" w14:textId="39C46B45" w:rsidR="003E2153" w:rsidRPr="0056485D" w:rsidRDefault="00DA68BC" w:rsidP="000C17EC">
      <w:pPr>
        <w:widowControl w:val="0"/>
        <w:autoSpaceDE w:val="0"/>
        <w:autoSpaceDN w:val="0"/>
        <w:adjustRightInd w:val="0"/>
        <w:spacing w:after="240"/>
        <w:jc w:val="both"/>
        <w:outlineLvl w:val="0"/>
        <w:rPr>
          <w:rFonts w:ascii="Times" w:hAnsi="Times" w:cs="Times New Roman"/>
          <w:bCs/>
          <w:noProof/>
        </w:rPr>
      </w:pPr>
      <w:r w:rsidRPr="00C90F2E">
        <w:rPr>
          <w:rFonts w:ascii="Times" w:hAnsi="Times"/>
        </w:rPr>
        <w:t xml:space="preserve">Gráfico </w:t>
      </w:r>
      <w:r w:rsidR="00F800FB" w:rsidRPr="00C90F2E">
        <w:rPr>
          <w:rFonts w:ascii="Times" w:hAnsi="Times"/>
        </w:rPr>
        <w:t>6</w:t>
      </w:r>
      <w:r w:rsidR="00C90F2E">
        <w:rPr>
          <w:rFonts w:ascii="Times" w:hAnsi="Times"/>
        </w:rPr>
        <w:t xml:space="preserve"> -</w:t>
      </w:r>
      <w:r w:rsidR="00A257A8" w:rsidRPr="006119A1">
        <w:rPr>
          <w:rFonts w:ascii="Times" w:hAnsi="Times"/>
        </w:rPr>
        <w:t xml:space="preserve"> </w:t>
      </w:r>
      <w:r w:rsidR="00FE32C3" w:rsidRPr="006119A1">
        <w:rPr>
          <w:rFonts w:ascii="Times" w:hAnsi="Times" w:cs="Times New Roman"/>
        </w:rPr>
        <w:t xml:space="preserve">Razão de Concentração na decomposição do Índice de Gini do rendimento domiciliar </w:t>
      </w:r>
      <w:r w:rsidR="00FE32C3" w:rsidRPr="006119A1">
        <w:rPr>
          <w:rFonts w:ascii="Times" w:hAnsi="Times" w:cs="Times"/>
          <w:i/>
        </w:rPr>
        <w:t>per capita</w:t>
      </w:r>
      <w:r w:rsidR="00FE32C3" w:rsidRPr="006119A1">
        <w:rPr>
          <w:rFonts w:ascii="Times" w:hAnsi="Times" w:cs="Times"/>
        </w:rPr>
        <w:t>.</w:t>
      </w:r>
      <w:r w:rsidR="00564F5F" w:rsidRPr="006119A1">
        <w:rPr>
          <w:rFonts w:ascii="Times" w:hAnsi="Times" w:cs="Times New Roman"/>
        </w:rPr>
        <w:t>Região Sul, de 1990</w:t>
      </w:r>
      <w:r w:rsidR="00F800FB">
        <w:rPr>
          <w:rFonts w:ascii="Times" w:hAnsi="Times" w:cs="Times New Roman"/>
        </w:rPr>
        <w:t xml:space="preserve"> a 2011</w:t>
      </w:r>
      <w:r w:rsidR="00DE7E1A">
        <w:rPr>
          <w:noProof/>
          <w:lang w:eastAsia="pt-BR"/>
        </w:rPr>
        <w:drawing>
          <wp:inline distT="0" distB="0" distL="0" distR="0" wp14:anchorId="087FB618" wp14:editId="0B9D2208">
            <wp:extent cx="5695950" cy="2638425"/>
            <wp:effectExtent l="0" t="0" r="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r w:rsidR="003E2153" w:rsidRPr="005C551A">
        <w:rPr>
          <w:rFonts w:ascii="Times" w:hAnsi="Times"/>
          <w:sz w:val="20"/>
          <w:szCs w:val="20"/>
        </w:rPr>
        <w:t>Fonte</w:t>
      </w:r>
      <w:r w:rsidR="00355951" w:rsidRPr="00AC6918">
        <w:rPr>
          <w:rFonts w:ascii="Times" w:hAnsi="Times"/>
          <w:sz w:val="18"/>
          <w:szCs w:val="18"/>
        </w:rPr>
        <w:t>:</w:t>
      </w:r>
      <w:r w:rsidR="00355951">
        <w:rPr>
          <w:rFonts w:ascii="Times" w:hAnsi="Times"/>
          <w:sz w:val="18"/>
          <w:szCs w:val="18"/>
        </w:rPr>
        <w:t xml:space="preserve"> Elaboração dos autores a partir da PNAD 1995-2009 e de</w:t>
      </w:r>
      <w:r w:rsidR="00355951" w:rsidRPr="00AC6918">
        <w:rPr>
          <w:rFonts w:ascii="Times" w:hAnsi="Times"/>
          <w:sz w:val="18"/>
          <w:szCs w:val="18"/>
        </w:rPr>
        <w:t xml:space="preserve"> FERREIRA; SOUZA (2013)</w:t>
      </w:r>
      <w:r w:rsidR="00355951">
        <w:rPr>
          <w:rFonts w:ascii="Times" w:hAnsi="Times"/>
          <w:sz w:val="18"/>
          <w:szCs w:val="18"/>
        </w:rPr>
        <w:t xml:space="preserve"> para</w:t>
      </w:r>
      <w:r w:rsidR="00355951" w:rsidRPr="00AC6918">
        <w:rPr>
          <w:rFonts w:ascii="Times" w:hAnsi="Times"/>
          <w:sz w:val="18"/>
          <w:szCs w:val="18"/>
        </w:rPr>
        <w:t xml:space="preserve"> PNADs de 19</w:t>
      </w:r>
      <w:r w:rsidR="00355951">
        <w:rPr>
          <w:rFonts w:ascii="Times" w:hAnsi="Times"/>
          <w:sz w:val="18"/>
          <w:szCs w:val="18"/>
        </w:rPr>
        <w:t>90-93 e 2011</w:t>
      </w:r>
      <w:r w:rsidR="00AC6932">
        <w:rPr>
          <w:rFonts w:ascii="Times" w:hAnsi="Times"/>
        </w:rPr>
        <w:t xml:space="preserve"> </w:t>
      </w:r>
    </w:p>
    <w:p w14:paraId="279C6FA1" w14:textId="047CE01B" w:rsidR="00AC6918" w:rsidRPr="000F157C" w:rsidRDefault="000F157C" w:rsidP="00B06093">
      <w:pPr>
        <w:widowControl w:val="0"/>
        <w:autoSpaceDE w:val="0"/>
        <w:autoSpaceDN w:val="0"/>
        <w:adjustRightInd w:val="0"/>
        <w:spacing w:after="240" w:line="360" w:lineRule="auto"/>
        <w:jc w:val="both"/>
        <w:outlineLvl w:val="0"/>
        <w:rPr>
          <w:rFonts w:ascii="Times" w:eastAsia="Times New Roman" w:hAnsi="Times" w:cs="Times New Roman"/>
        </w:rPr>
      </w:pPr>
      <w:r>
        <w:rPr>
          <w:rFonts w:ascii="Times" w:eastAsia="Times New Roman" w:hAnsi="Times" w:cs="Times New Roman"/>
          <w:b/>
        </w:rPr>
        <w:tab/>
      </w:r>
      <w:r>
        <w:rPr>
          <w:rFonts w:ascii="Times" w:eastAsia="Times New Roman" w:hAnsi="Times" w:cs="Times New Roman"/>
        </w:rPr>
        <w:t xml:space="preserve">No âmbito regional sul, as informações deste estudo não apontam a influência das </w:t>
      </w:r>
      <w:r>
        <w:rPr>
          <w:rFonts w:ascii="Times" w:eastAsia="Times New Roman" w:hAnsi="Times" w:cs="Times New Roman"/>
        </w:rPr>
        <w:lastRenderedPageBreak/>
        <w:t>rendas derivadas do trabalho para a desigualdade de renda da região sul, tanto nos governos FHC como Lula</w:t>
      </w:r>
      <w:r w:rsidR="00A82307">
        <w:rPr>
          <w:rFonts w:ascii="Times" w:eastAsia="Times New Roman" w:hAnsi="Times" w:cs="Times New Roman"/>
        </w:rPr>
        <w:t xml:space="preserve">. A questão </w:t>
      </w:r>
      <w:r w:rsidR="00B06093">
        <w:rPr>
          <w:rFonts w:ascii="Times" w:eastAsia="Times New Roman" w:hAnsi="Times" w:cs="Times New Roman"/>
        </w:rPr>
        <w:t xml:space="preserve">problemática </w:t>
      </w:r>
      <w:r w:rsidR="00A82307">
        <w:rPr>
          <w:rFonts w:ascii="Times" w:eastAsia="Times New Roman" w:hAnsi="Times" w:cs="Times New Roman"/>
        </w:rPr>
        <w:t>das aposentadorias e pensões estiveram restritas a alguns anos e a das outras rendas ligadas ao governo FHC.</w:t>
      </w:r>
    </w:p>
    <w:p w14:paraId="30245A4E" w14:textId="64D6B478" w:rsidR="00320318" w:rsidRDefault="002E6465" w:rsidP="002E6465">
      <w:pPr>
        <w:widowControl w:val="0"/>
        <w:autoSpaceDE w:val="0"/>
        <w:autoSpaceDN w:val="0"/>
        <w:adjustRightInd w:val="0"/>
        <w:spacing w:after="240"/>
        <w:jc w:val="both"/>
        <w:outlineLvl w:val="0"/>
        <w:rPr>
          <w:rFonts w:ascii="Times" w:hAnsi="Times"/>
        </w:rPr>
      </w:pPr>
      <w:r w:rsidRPr="00C90F2E">
        <w:rPr>
          <w:rFonts w:ascii="Times" w:eastAsia="Times New Roman" w:hAnsi="Times" w:cs="Times New Roman"/>
        </w:rPr>
        <w:t xml:space="preserve">Gráfico </w:t>
      </w:r>
      <w:r w:rsidR="00F800FB" w:rsidRPr="00C90F2E">
        <w:rPr>
          <w:rFonts w:ascii="Times" w:eastAsia="Times New Roman" w:hAnsi="Times" w:cs="Times New Roman"/>
        </w:rPr>
        <w:t>7</w:t>
      </w:r>
      <w:r w:rsidR="00C90F2E">
        <w:rPr>
          <w:rFonts w:ascii="Times" w:eastAsia="Times New Roman" w:hAnsi="Times" w:cs="Times New Roman"/>
        </w:rPr>
        <w:t xml:space="preserve"> -</w:t>
      </w:r>
      <w:r w:rsidRPr="006119A1">
        <w:rPr>
          <w:rFonts w:ascii="Times" w:eastAsia="Times New Roman" w:hAnsi="Times" w:cs="Times New Roman"/>
          <w:b/>
        </w:rPr>
        <w:t xml:space="preserve"> </w:t>
      </w:r>
      <w:r w:rsidRPr="006119A1">
        <w:rPr>
          <w:rFonts w:ascii="Times" w:eastAsia="Times New Roman" w:hAnsi="Times" w:cs="Times New Roman"/>
        </w:rPr>
        <w:t>Razões de Concentração nos Estados da Região Sul, em 2011.</w:t>
      </w:r>
      <w:r w:rsidRPr="006119A1">
        <w:rPr>
          <w:rFonts w:ascii="Times" w:hAnsi="Times"/>
          <w:noProof/>
        </w:rPr>
        <w:t xml:space="preserve"> </w:t>
      </w:r>
      <w:r w:rsidRPr="006119A1">
        <w:rPr>
          <w:rFonts w:ascii="Times" w:hAnsi="Times"/>
          <w:noProof/>
          <w:lang w:eastAsia="pt-BR"/>
        </w:rPr>
        <w:drawing>
          <wp:inline distT="0" distB="0" distL="0" distR="0" wp14:anchorId="04E517AC" wp14:editId="63C9C692">
            <wp:extent cx="5270500" cy="2755265"/>
            <wp:effectExtent l="0" t="0" r="12700" b="13335"/>
            <wp:docPr id="2"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r w:rsidRPr="006119A1">
        <w:rPr>
          <w:rFonts w:ascii="Times" w:hAnsi="Times"/>
        </w:rPr>
        <w:t xml:space="preserve"> </w:t>
      </w:r>
    </w:p>
    <w:p w14:paraId="37734336" w14:textId="755134DA" w:rsidR="002E6465" w:rsidRPr="005C551A" w:rsidRDefault="002E6465" w:rsidP="002E6465">
      <w:pPr>
        <w:widowControl w:val="0"/>
        <w:autoSpaceDE w:val="0"/>
        <w:autoSpaceDN w:val="0"/>
        <w:adjustRightInd w:val="0"/>
        <w:spacing w:after="240"/>
        <w:jc w:val="both"/>
        <w:outlineLvl w:val="0"/>
        <w:rPr>
          <w:rFonts w:ascii="Times" w:hAnsi="Times" w:cs="Times New Roman"/>
          <w:bCs/>
          <w:noProof/>
          <w:sz w:val="20"/>
          <w:szCs w:val="20"/>
        </w:rPr>
      </w:pPr>
      <w:r w:rsidRPr="005C551A">
        <w:rPr>
          <w:rFonts w:ascii="Times" w:hAnsi="Times"/>
          <w:sz w:val="20"/>
          <w:szCs w:val="20"/>
        </w:rPr>
        <w:t xml:space="preserve">Fonte: </w:t>
      </w:r>
      <w:r w:rsidR="00BA0712">
        <w:rPr>
          <w:rFonts w:ascii="Times" w:hAnsi="Times"/>
          <w:sz w:val="20"/>
          <w:szCs w:val="20"/>
        </w:rPr>
        <w:t xml:space="preserve">Elaboração própria a partir de </w:t>
      </w:r>
      <w:r w:rsidRPr="005C551A">
        <w:rPr>
          <w:rFonts w:ascii="Times" w:hAnsi="Times"/>
          <w:sz w:val="20"/>
          <w:szCs w:val="20"/>
        </w:rPr>
        <w:t>FERREIRA; SOUZA (2013)-  dados</w:t>
      </w:r>
      <w:r w:rsidR="00BA0712">
        <w:rPr>
          <w:rFonts w:ascii="Times" w:hAnsi="Times"/>
          <w:sz w:val="20"/>
          <w:szCs w:val="20"/>
        </w:rPr>
        <w:t xml:space="preserve"> </w:t>
      </w:r>
      <w:r w:rsidRPr="005C551A">
        <w:rPr>
          <w:rFonts w:ascii="Times" w:hAnsi="Times"/>
          <w:sz w:val="20"/>
          <w:szCs w:val="20"/>
        </w:rPr>
        <w:t>das PNADs de 2011.</w:t>
      </w:r>
      <w:r w:rsidR="00BA0712">
        <w:rPr>
          <w:rFonts w:ascii="Times" w:hAnsi="Times"/>
          <w:sz w:val="20"/>
          <w:szCs w:val="20"/>
        </w:rPr>
        <w:t xml:space="preserve"> </w:t>
      </w:r>
      <w:r w:rsidRPr="005C551A">
        <w:rPr>
          <w:rFonts w:ascii="Times" w:hAnsi="Times"/>
          <w:sz w:val="20"/>
          <w:szCs w:val="20"/>
        </w:rPr>
        <w:t xml:space="preserve">     TP: Trabalho Principal   AP: Aposentadorias e pensões    OR: Outros Rendimentos   GT:</w:t>
      </w:r>
      <w:r w:rsidRPr="005C551A">
        <w:rPr>
          <w:rFonts w:ascii="Times" w:hAnsi="Times"/>
          <w:sz w:val="20"/>
          <w:szCs w:val="20"/>
          <w:vertAlign w:val="superscript"/>
        </w:rPr>
        <w:t xml:space="preserve"> </w:t>
      </w:r>
      <w:r w:rsidRPr="005C551A">
        <w:rPr>
          <w:rFonts w:ascii="Times" w:hAnsi="Times"/>
          <w:sz w:val="20"/>
          <w:szCs w:val="20"/>
        </w:rPr>
        <w:t>Gini Total</w:t>
      </w:r>
    </w:p>
    <w:p w14:paraId="5BE652A5" w14:textId="349E9E04" w:rsidR="00403DAE" w:rsidRPr="006119A1" w:rsidRDefault="00B0365F" w:rsidP="00347B57">
      <w:pPr>
        <w:widowControl w:val="0"/>
        <w:autoSpaceDE w:val="0"/>
        <w:autoSpaceDN w:val="0"/>
        <w:adjustRightInd w:val="0"/>
        <w:spacing w:after="240" w:line="360" w:lineRule="auto"/>
        <w:ind w:firstLine="720"/>
        <w:jc w:val="both"/>
        <w:outlineLvl w:val="0"/>
        <w:rPr>
          <w:rFonts w:ascii="Times" w:hAnsi="Times" w:cs="Times New Roman"/>
          <w:bCs/>
          <w:noProof/>
        </w:rPr>
      </w:pPr>
      <w:r w:rsidRPr="006119A1">
        <w:rPr>
          <w:rFonts w:ascii="Times" w:hAnsi="Times" w:cs="Times New Roman"/>
          <w:bCs/>
        </w:rPr>
        <w:t xml:space="preserve">Uma informação adicional pode ser </w:t>
      </w:r>
      <w:r w:rsidR="00992565" w:rsidRPr="006119A1">
        <w:rPr>
          <w:rFonts w:ascii="Times" w:hAnsi="Times" w:cs="Times New Roman"/>
          <w:bCs/>
        </w:rPr>
        <w:t xml:space="preserve">feita </w:t>
      </w:r>
      <w:r w:rsidRPr="006119A1">
        <w:rPr>
          <w:rFonts w:ascii="Times" w:hAnsi="Times" w:cs="Times New Roman"/>
          <w:bCs/>
        </w:rPr>
        <w:t xml:space="preserve">para os </w:t>
      </w:r>
      <w:r w:rsidR="00992565" w:rsidRPr="006119A1">
        <w:rPr>
          <w:rFonts w:ascii="Times" w:hAnsi="Times" w:cs="Times New Roman"/>
          <w:bCs/>
        </w:rPr>
        <w:t xml:space="preserve">Estados </w:t>
      </w:r>
      <w:r w:rsidRPr="006119A1">
        <w:rPr>
          <w:rFonts w:ascii="Times" w:hAnsi="Times" w:cs="Times New Roman"/>
          <w:bCs/>
        </w:rPr>
        <w:t xml:space="preserve">da </w:t>
      </w:r>
      <w:r w:rsidR="00992565" w:rsidRPr="006119A1">
        <w:rPr>
          <w:rFonts w:ascii="Times" w:hAnsi="Times" w:cs="Times New Roman"/>
          <w:bCs/>
        </w:rPr>
        <w:t>Região S</w:t>
      </w:r>
      <w:r w:rsidRPr="006119A1">
        <w:rPr>
          <w:rFonts w:ascii="Times" w:hAnsi="Times" w:cs="Times New Roman"/>
          <w:bCs/>
        </w:rPr>
        <w:t>ul do Brasil</w:t>
      </w:r>
      <w:r w:rsidR="00121D83">
        <w:rPr>
          <w:rFonts w:ascii="Times" w:hAnsi="Times" w:cs="Times New Roman"/>
          <w:bCs/>
        </w:rPr>
        <w:t xml:space="preserve"> em 2011</w:t>
      </w:r>
      <w:r w:rsidRPr="006119A1">
        <w:rPr>
          <w:rFonts w:ascii="Times" w:hAnsi="Times" w:cs="Times New Roman"/>
          <w:bCs/>
        </w:rPr>
        <w:t xml:space="preserve">. </w:t>
      </w:r>
      <w:r w:rsidR="00121D83">
        <w:rPr>
          <w:rFonts w:ascii="Times" w:hAnsi="Times" w:cs="Times New Roman"/>
          <w:bCs/>
        </w:rPr>
        <w:t>O</w:t>
      </w:r>
      <w:r w:rsidR="00320318">
        <w:rPr>
          <w:rFonts w:ascii="Times" w:hAnsi="Times" w:cs="Times New Roman"/>
          <w:bCs/>
        </w:rPr>
        <w:t xml:space="preserve"> rendimento do</w:t>
      </w:r>
      <w:r w:rsidR="00BC4D67" w:rsidRPr="006119A1">
        <w:rPr>
          <w:rFonts w:ascii="Times" w:hAnsi="Times" w:cs="Times New Roman"/>
          <w:bCs/>
          <w:noProof/>
        </w:rPr>
        <w:t xml:space="preserve"> trabalho, </w:t>
      </w:r>
      <w:r w:rsidR="00320318">
        <w:rPr>
          <w:rFonts w:ascii="Times" w:hAnsi="Times" w:cs="Times New Roman"/>
          <w:bCs/>
          <w:noProof/>
        </w:rPr>
        <w:t xml:space="preserve">das </w:t>
      </w:r>
      <w:r w:rsidR="00BC4D67" w:rsidRPr="006119A1">
        <w:rPr>
          <w:rFonts w:ascii="Times" w:hAnsi="Times" w:cs="Times New Roman"/>
          <w:bCs/>
          <w:noProof/>
        </w:rPr>
        <w:t>a</w:t>
      </w:r>
      <w:r w:rsidR="00243C6D" w:rsidRPr="006119A1">
        <w:rPr>
          <w:rFonts w:ascii="Times" w:hAnsi="Times" w:cs="Times New Roman"/>
          <w:bCs/>
          <w:noProof/>
        </w:rPr>
        <w:t>po</w:t>
      </w:r>
      <w:r w:rsidR="00BC4D67" w:rsidRPr="006119A1">
        <w:rPr>
          <w:rFonts w:ascii="Times" w:hAnsi="Times" w:cs="Times New Roman"/>
          <w:bCs/>
          <w:noProof/>
        </w:rPr>
        <w:t xml:space="preserve">sentadorias e pensões e outros rendimentos  não </w:t>
      </w:r>
      <w:r w:rsidR="00F802A5" w:rsidRPr="006119A1">
        <w:rPr>
          <w:rFonts w:ascii="Times" w:hAnsi="Times" w:cs="Times New Roman"/>
          <w:bCs/>
          <w:noProof/>
        </w:rPr>
        <w:t>contribu</w:t>
      </w:r>
      <w:r w:rsidR="00F802A5">
        <w:rPr>
          <w:rFonts w:ascii="Times" w:hAnsi="Times" w:cs="Times New Roman"/>
          <w:bCs/>
          <w:noProof/>
        </w:rPr>
        <w:t>í</w:t>
      </w:r>
      <w:r w:rsidR="00F802A5" w:rsidRPr="006119A1">
        <w:rPr>
          <w:rFonts w:ascii="Times" w:hAnsi="Times" w:cs="Times New Roman"/>
          <w:bCs/>
          <w:noProof/>
        </w:rPr>
        <w:t xml:space="preserve">ram </w:t>
      </w:r>
      <w:r w:rsidR="00BC4D67" w:rsidRPr="006119A1">
        <w:rPr>
          <w:rFonts w:ascii="Times" w:hAnsi="Times" w:cs="Times New Roman"/>
          <w:bCs/>
          <w:noProof/>
        </w:rPr>
        <w:t xml:space="preserve">para </w:t>
      </w:r>
      <w:r w:rsidR="00243C6D" w:rsidRPr="006119A1">
        <w:rPr>
          <w:rFonts w:ascii="Times" w:hAnsi="Times" w:cs="Times New Roman"/>
          <w:bCs/>
          <w:noProof/>
        </w:rPr>
        <w:t>concentrar</w:t>
      </w:r>
      <w:r w:rsidR="00BC4D67" w:rsidRPr="006119A1">
        <w:rPr>
          <w:rFonts w:ascii="Times" w:hAnsi="Times" w:cs="Times New Roman"/>
          <w:bCs/>
          <w:noProof/>
        </w:rPr>
        <w:t xml:space="preserve"> renda na região</w:t>
      </w:r>
      <w:r w:rsidR="00121D83">
        <w:rPr>
          <w:rFonts w:ascii="Times" w:hAnsi="Times" w:cs="Times New Roman"/>
          <w:bCs/>
          <w:noProof/>
        </w:rPr>
        <w:t xml:space="preserve"> como um todo</w:t>
      </w:r>
      <w:r w:rsidR="00BC4D67" w:rsidRPr="006119A1">
        <w:rPr>
          <w:rFonts w:ascii="Times" w:hAnsi="Times" w:cs="Times New Roman"/>
          <w:bCs/>
          <w:noProof/>
        </w:rPr>
        <w:t>, nem no Paraná. Já em Santa Catarina e no Rio Grande do Sul</w:t>
      </w:r>
      <w:r w:rsidR="004062D5" w:rsidRPr="006119A1">
        <w:rPr>
          <w:rFonts w:ascii="Times" w:hAnsi="Times" w:cs="Times New Roman"/>
          <w:bCs/>
          <w:noProof/>
        </w:rPr>
        <w:t>,</w:t>
      </w:r>
      <w:r w:rsidR="00BC4D67" w:rsidRPr="006119A1">
        <w:rPr>
          <w:rFonts w:ascii="Times" w:hAnsi="Times" w:cs="Times New Roman"/>
          <w:bCs/>
          <w:noProof/>
        </w:rPr>
        <w:t xml:space="preserve"> apenas as aposentadorias e pensões </w:t>
      </w:r>
      <w:r w:rsidR="004062D5" w:rsidRPr="006119A1">
        <w:rPr>
          <w:rFonts w:ascii="Times" w:hAnsi="Times" w:cs="Times New Roman"/>
          <w:bCs/>
          <w:noProof/>
        </w:rPr>
        <w:t xml:space="preserve">colaboraram </w:t>
      </w:r>
      <w:r w:rsidR="00BC4D67" w:rsidRPr="006119A1">
        <w:rPr>
          <w:rFonts w:ascii="Times" w:hAnsi="Times" w:cs="Times New Roman"/>
          <w:bCs/>
          <w:noProof/>
        </w:rPr>
        <w:t>para concentração de renda</w:t>
      </w:r>
      <w:r w:rsidR="00F802A5">
        <w:rPr>
          <w:rFonts w:ascii="Times" w:hAnsi="Times" w:cs="Times New Roman"/>
          <w:bCs/>
          <w:noProof/>
        </w:rPr>
        <w:t>, c</w:t>
      </w:r>
      <w:r w:rsidR="00BC4DE6" w:rsidRPr="006119A1">
        <w:rPr>
          <w:rFonts w:ascii="Times" w:hAnsi="Times" w:cs="Times New Roman"/>
          <w:bCs/>
          <w:noProof/>
        </w:rPr>
        <w:t xml:space="preserve">omo mostra o </w:t>
      </w:r>
      <w:r w:rsidR="00F602F0">
        <w:rPr>
          <w:rFonts w:ascii="Times" w:hAnsi="Times" w:cs="Times New Roman"/>
          <w:bCs/>
          <w:noProof/>
        </w:rPr>
        <w:t>G</w:t>
      </w:r>
      <w:r w:rsidR="000C17EC">
        <w:rPr>
          <w:rFonts w:ascii="Times" w:hAnsi="Times" w:cs="Times New Roman"/>
          <w:bCs/>
          <w:noProof/>
        </w:rPr>
        <w:t>ráfico 7</w:t>
      </w:r>
      <w:r w:rsidR="00BC4DE6" w:rsidRPr="006119A1">
        <w:rPr>
          <w:rFonts w:ascii="Times" w:hAnsi="Times" w:cs="Times New Roman"/>
          <w:bCs/>
          <w:noProof/>
        </w:rPr>
        <w:t>.</w:t>
      </w:r>
    </w:p>
    <w:p w14:paraId="2DFD7097" w14:textId="77777777" w:rsidR="00966D6F" w:rsidRPr="006119A1" w:rsidRDefault="00966D6F" w:rsidP="00347B57">
      <w:pPr>
        <w:widowControl w:val="0"/>
        <w:autoSpaceDE w:val="0"/>
        <w:autoSpaceDN w:val="0"/>
        <w:adjustRightInd w:val="0"/>
        <w:spacing w:after="240" w:line="360" w:lineRule="auto"/>
        <w:jc w:val="both"/>
        <w:rPr>
          <w:rFonts w:ascii="Times" w:hAnsi="Times" w:cs="Times New Roman"/>
          <w:b/>
          <w:bCs/>
          <w:noProof/>
        </w:rPr>
      </w:pPr>
      <w:r w:rsidRPr="006119A1">
        <w:rPr>
          <w:rFonts w:ascii="Times" w:hAnsi="Times" w:cs="Times New Roman"/>
          <w:b/>
          <w:bCs/>
          <w:noProof/>
        </w:rPr>
        <w:t xml:space="preserve">CONSIDERAÇÕES </w:t>
      </w:r>
      <w:r w:rsidR="0059361C" w:rsidRPr="006119A1">
        <w:rPr>
          <w:rFonts w:ascii="Times" w:hAnsi="Times" w:cs="Times New Roman"/>
          <w:b/>
          <w:bCs/>
          <w:noProof/>
        </w:rPr>
        <w:t>FINAIS</w:t>
      </w:r>
    </w:p>
    <w:p w14:paraId="6ED512DD" w14:textId="52EE8079" w:rsidR="00C81E3E" w:rsidRPr="006119A1" w:rsidRDefault="00D80BD3" w:rsidP="00347B57">
      <w:pPr>
        <w:widowControl w:val="0"/>
        <w:autoSpaceDE w:val="0"/>
        <w:autoSpaceDN w:val="0"/>
        <w:adjustRightInd w:val="0"/>
        <w:spacing w:after="240" w:line="360" w:lineRule="auto"/>
        <w:ind w:firstLine="720"/>
        <w:contextualSpacing/>
        <w:jc w:val="both"/>
        <w:rPr>
          <w:rFonts w:ascii="Times" w:hAnsi="Times" w:cs="Times New Roman"/>
          <w:bCs/>
          <w:noProof/>
        </w:rPr>
      </w:pPr>
      <w:r w:rsidRPr="006119A1">
        <w:rPr>
          <w:rFonts w:ascii="Times" w:hAnsi="Times" w:cs="Times New Roman"/>
          <w:bCs/>
          <w:noProof/>
        </w:rPr>
        <w:t>Este trabalho teve como objetivo dimensionar a participação d</w:t>
      </w:r>
      <w:r w:rsidR="00BA0712">
        <w:rPr>
          <w:rFonts w:ascii="Times" w:hAnsi="Times" w:cs="Times New Roman"/>
          <w:bCs/>
          <w:noProof/>
        </w:rPr>
        <w:t>as</w:t>
      </w:r>
      <w:r w:rsidRPr="006119A1">
        <w:rPr>
          <w:rFonts w:ascii="Times" w:hAnsi="Times" w:cs="Times New Roman"/>
          <w:bCs/>
          <w:noProof/>
        </w:rPr>
        <w:t xml:space="preserve"> fontes de renda que derivam do trabalho, das aposentadorias e pensões e de outras rendas, bem como  os seus efeitos na concentração de renda na Região Sul </w:t>
      </w:r>
      <w:r w:rsidRPr="00175A78">
        <w:rPr>
          <w:rFonts w:ascii="Times" w:hAnsi="Times" w:cs="Times New Roman"/>
          <w:bCs/>
          <w:noProof/>
        </w:rPr>
        <w:t>do país</w:t>
      </w:r>
      <w:r w:rsidR="004062D5" w:rsidRPr="00175A78">
        <w:rPr>
          <w:rFonts w:ascii="Times" w:hAnsi="Times" w:cs="Times New Roman"/>
          <w:bCs/>
          <w:noProof/>
        </w:rPr>
        <w:t>,</w:t>
      </w:r>
      <w:r w:rsidRPr="00175A78">
        <w:rPr>
          <w:rFonts w:ascii="Times" w:hAnsi="Times" w:cs="Times New Roman"/>
          <w:bCs/>
          <w:noProof/>
        </w:rPr>
        <w:t xml:space="preserve"> </w:t>
      </w:r>
      <w:r w:rsidR="002E6465" w:rsidRPr="00175A78">
        <w:rPr>
          <w:rFonts w:ascii="Times" w:hAnsi="Times" w:cs="Times New Roman"/>
          <w:bCs/>
          <w:noProof/>
        </w:rPr>
        <w:t>no</w:t>
      </w:r>
      <w:r w:rsidR="00494508">
        <w:rPr>
          <w:rFonts w:ascii="Times" w:hAnsi="Times" w:cs="Times New Roman"/>
          <w:bCs/>
          <w:noProof/>
        </w:rPr>
        <w:t>s</w:t>
      </w:r>
      <w:r w:rsidR="002E6465" w:rsidRPr="00175A78">
        <w:rPr>
          <w:rFonts w:ascii="Times" w:hAnsi="Times" w:cs="Times New Roman"/>
          <w:bCs/>
          <w:noProof/>
        </w:rPr>
        <w:t xml:space="preserve"> período</w:t>
      </w:r>
      <w:r w:rsidR="00494508">
        <w:rPr>
          <w:rFonts w:ascii="Times" w:hAnsi="Times" w:cs="Times New Roman"/>
          <w:bCs/>
          <w:noProof/>
        </w:rPr>
        <w:t>s</w:t>
      </w:r>
      <w:r w:rsidR="002E6465" w:rsidRPr="00175A78">
        <w:rPr>
          <w:rFonts w:ascii="Times" w:hAnsi="Times" w:cs="Times New Roman"/>
          <w:bCs/>
          <w:noProof/>
        </w:rPr>
        <w:t xml:space="preserve"> FHC e Lula</w:t>
      </w:r>
      <w:r w:rsidR="00E942B6">
        <w:rPr>
          <w:rFonts w:ascii="Times" w:hAnsi="Times" w:cs="Times New Roman"/>
          <w:bCs/>
          <w:noProof/>
        </w:rPr>
        <w:t>.</w:t>
      </w:r>
      <w:r w:rsidR="00C81E3E" w:rsidRPr="006119A1">
        <w:rPr>
          <w:rFonts w:ascii="Times" w:hAnsi="Times" w:cs="Times New Roman"/>
          <w:bCs/>
          <w:noProof/>
        </w:rPr>
        <w:t xml:space="preserve"> </w:t>
      </w:r>
    </w:p>
    <w:p w14:paraId="20FE403D" w14:textId="52B2F3B4" w:rsidR="00494508" w:rsidRDefault="00C05DBE" w:rsidP="000E253D">
      <w:pPr>
        <w:widowControl w:val="0"/>
        <w:autoSpaceDE w:val="0"/>
        <w:autoSpaceDN w:val="0"/>
        <w:adjustRightInd w:val="0"/>
        <w:spacing w:after="240" w:line="360" w:lineRule="auto"/>
        <w:contextualSpacing/>
        <w:jc w:val="both"/>
        <w:rPr>
          <w:rFonts w:ascii="Times" w:hAnsi="Times" w:cs="Times New Roman"/>
          <w:noProof/>
        </w:rPr>
      </w:pPr>
      <w:r w:rsidRPr="006119A1">
        <w:rPr>
          <w:rFonts w:ascii="Times" w:hAnsi="Times" w:cs="Times New Roman"/>
          <w:noProof/>
        </w:rPr>
        <w:tab/>
      </w:r>
      <w:r w:rsidR="00DD53F2">
        <w:rPr>
          <w:rFonts w:ascii="Times" w:hAnsi="Times" w:cs="Times New Roman"/>
          <w:noProof/>
        </w:rPr>
        <w:t>Os resultados da</w:t>
      </w:r>
      <w:r w:rsidR="004062D5" w:rsidRPr="006119A1">
        <w:rPr>
          <w:rFonts w:ascii="Times" w:hAnsi="Times" w:cs="Times New Roman"/>
          <w:noProof/>
        </w:rPr>
        <w:t xml:space="preserve"> pesquisa</w:t>
      </w:r>
      <w:r w:rsidR="00DD53F2">
        <w:rPr>
          <w:rFonts w:ascii="Times" w:hAnsi="Times" w:cs="Times New Roman"/>
          <w:noProof/>
        </w:rPr>
        <w:t xml:space="preserve"> são os de que</w:t>
      </w:r>
      <w:r w:rsidR="00494508">
        <w:rPr>
          <w:rFonts w:ascii="Times" w:hAnsi="Times" w:cs="Times New Roman"/>
          <w:noProof/>
        </w:rPr>
        <w:t xml:space="preserve"> houve uma mudança no padrão da evolução da composição das fontes de renda nos domicílios, com evidências favoráveis à renda proveniente do trabalho nos governos Lula, invertendo a trajetória de deterioração do mercado de trabalho na estrutura de renda domiciliar nos períodos FHC. Por outro lado, as rendas advindas das aposentadorias e pensões e de outras rendas galgaram espaço nessa composição da renda, mais intensamente nos governos FHC.</w:t>
      </w:r>
    </w:p>
    <w:p w14:paraId="363C1FC6" w14:textId="4B1100D0" w:rsidR="00494508" w:rsidRDefault="00494508" w:rsidP="000E253D">
      <w:pPr>
        <w:widowControl w:val="0"/>
        <w:autoSpaceDE w:val="0"/>
        <w:autoSpaceDN w:val="0"/>
        <w:adjustRightInd w:val="0"/>
        <w:spacing w:after="240" w:line="360" w:lineRule="auto"/>
        <w:contextualSpacing/>
        <w:jc w:val="both"/>
        <w:rPr>
          <w:rFonts w:ascii="Times" w:hAnsi="Times" w:cs="Times New Roman"/>
          <w:noProof/>
        </w:rPr>
      </w:pPr>
      <w:r>
        <w:rPr>
          <w:rFonts w:ascii="Times" w:hAnsi="Times" w:cs="Times New Roman"/>
          <w:noProof/>
        </w:rPr>
        <w:lastRenderedPageBreak/>
        <w:tab/>
        <w:t>Regionalmente, o Sul do Brasil reagiu mais intensamente tanto na queda da participação do trabalho na renda domiciliar nos governos FHC, quanto recuperou-se nos governos Lula.</w:t>
      </w:r>
      <w:r w:rsidR="00E9636F">
        <w:rPr>
          <w:rFonts w:ascii="Times" w:hAnsi="Times" w:cs="Times New Roman"/>
          <w:noProof/>
        </w:rPr>
        <w:t xml:space="preserve"> Assim também o foi para as rendas das aposentadorias e pensões, cuja participação cresceu mais fortemente na região</w:t>
      </w:r>
      <w:r w:rsidR="004F4283">
        <w:rPr>
          <w:rFonts w:ascii="Times" w:hAnsi="Times" w:cs="Times New Roman"/>
          <w:noProof/>
        </w:rPr>
        <w:t xml:space="preserve"> sul. Contrariamente, </w:t>
      </w:r>
      <w:r w:rsidR="00E9636F">
        <w:rPr>
          <w:rFonts w:ascii="Times" w:hAnsi="Times" w:cs="Times New Roman"/>
          <w:noProof/>
        </w:rPr>
        <w:t>as outras rendas(</w:t>
      </w:r>
      <w:r w:rsidR="004F4283">
        <w:rPr>
          <w:rFonts w:ascii="Times" w:hAnsi="Times" w:cs="Times New Roman"/>
          <w:noProof/>
        </w:rPr>
        <w:t xml:space="preserve">renda de </w:t>
      </w:r>
      <w:r w:rsidR="00E9636F">
        <w:rPr>
          <w:rFonts w:ascii="Times" w:hAnsi="Times" w:cs="Times New Roman"/>
          <w:noProof/>
        </w:rPr>
        <w:t xml:space="preserve">capital e tranferências de renda), </w:t>
      </w:r>
      <w:r w:rsidR="004F4283">
        <w:rPr>
          <w:rFonts w:ascii="Times" w:hAnsi="Times" w:cs="Times New Roman"/>
          <w:noProof/>
        </w:rPr>
        <w:t>evoluiram</w:t>
      </w:r>
      <w:r w:rsidR="00E9636F">
        <w:rPr>
          <w:rFonts w:ascii="Times" w:hAnsi="Times" w:cs="Times New Roman"/>
          <w:noProof/>
        </w:rPr>
        <w:t xml:space="preserve"> menos </w:t>
      </w:r>
      <w:r w:rsidR="004F4283">
        <w:rPr>
          <w:rFonts w:ascii="Times" w:hAnsi="Times" w:cs="Times New Roman"/>
          <w:noProof/>
        </w:rPr>
        <w:t xml:space="preserve">na região </w:t>
      </w:r>
      <w:r w:rsidR="00E9636F">
        <w:rPr>
          <w:rFonts w:ascii="Times" w:hAnsi="Times" w:cs="Times New Roman"/>
          <w:noProof/>
        </w:rPr>
        <w:t>do que o Brasil como um todo.</w:t>
      </w:r>
      <w:r>
        <w:rPr>
          <w:rFonts w:ascii="Times" w:hAnsi="Times" w:cs="Times New Roman"/>
          <w:noProof/>
        </w:rPr>
        <w:t xml:space="preserve"> É uma região cujos indicadores sociais e econômicos mostram melhores condições do que a média nacional, </w:t>
      </w:r>
      <w:r w:rsidR="00E96BAF">
        <w:rPr>
          <w:rFonts w:ascii="Times" w:hAnsi="Times" w:cs="Times New Roman"/>
          <w:noProof/>
        </w:rPr>
        <w:t xml:space="preserve">integrada nacional e internacionalmente, </w:t>
      </w:r>
      <w:r>
        <w:rPr>
          <w:rFonts w:ascii="Times" w:hAnsi="Times" w:cs="Times New Roman"/>
          <w:noProof/>
        </w:rPr>
        <w:t>apesar das diferenças intrarregionais, que merecem estudos mais profundos.</w:t>
      </w:r>
    </w:p>
    <w:p w14:paraId="0271C862" w14:textId="77777777" w:rsidR="00E96BAF" w:rsidRDefault="004F4283" w:rsidP="004F4283">
      <w:pPr>
        <w:widowControl w:val="0"/>
        <w:autoSpaceDE w:val="0"/>
        <w:autoSpaceDN w:val="0"/>
        <w:adjustRightInd w:val="0"/>
        <w:spacing w:line="360" w:lineRule="auto"/>
        <w:ind w:firstLine="720"/>
        <w:jc w:val="both"/>
        <w:outlineLvl w:val="0"/>
        <w:rPr>
          <w:rFonts w:ascii="Times" w:hAnsi="Times" w:cs="Times New Roman"/>
          <w:bCs/>
          <w:noProof/>
        </w:rPr>
      </w:pPr>
      <w:r>
        <w:rPr>
          <w:rFonts w:ascii="Times" w:hAnsi="Times" w:cs="Times New Roman"/>
          <w:bCs/>
          <w:noProof/>
        </w:rPr>
        <w:t xml:space="preserve">O problema relacionado às rendas das aposentadorias e pensões e a sua contribuição para a concentração de renda no Brasil sugere uma perspectiva nacional, porque persiste desde o segundo governo FHC até os governos Lula, apesar do discurso das necessidades de reformas do sistema previdenciário brasileiro e de algumas experiências que não deram conta da solução do problema. </w:t>
      </w:r>
    </w:p>
    <w:p w14:paraId="025B9BA3" w14:textId="39661A3A" w:rsidR="00E96BAF" w:rsidRDefault="00E96BAF" w:rsidP="004F4283">
      <w:pPr>
        <w:widowControl w:val="0"/>
        <w:autoSpaceDE w:val="0"/>
        <w:autoSpaceDN w:val="0"/>
        <w:adjustRightInd w:val="0"/>
        <w:spacing w:line="360" w:lineRule="auto"/>
        <w:ind w:firstLine="720"/>
        <w:jc w:val="both"/>
        <w:outlineLvl w:val="0"/>
        <w:rPr>
          <w:rFonts w:ascii="Times" w:hAnsi="Times" w:cs="Times New Roman"/>
          <w:noProof/>
        </w:rPr>
      </w:pPr>
      <w:r>
        <w:rPr>
          <w:rFonts w:ascii="Times" w:hAnsi="Times" w:cs="Times New Roman"/>
          <w:bCs/>
          <w:noProof/>
        </w:rPr>
        <w:t>Na região sul</w:t>
      </w:r>
      <w:r w:rsidR="004F4283">
        <w:rPr>
          <w:rFonts w:ascii="Times" w:hAnsi="Times" w:cs="Times New Roman"/>
          <w:bCs/>
          <w:noProof/>
        </w:rPr>
        <w:t>, a questão indica ser relativamente menos preocupante, a partir dos dados</w:t>
      </w:r>
      <w:r>
        <w:rPr>
          <w:rFonts w:ascii="Times" w:hAnsi="Times" w:cs="Times New Roman"/>
          <w:bCs/>
          <w:noProof/>
        </w:rPr>
        <w:t>, porque está restrita a alguns anos, enquanto as rendas derivadas da renda do capital e transferência de renda aos anos FHC. Por fim, nacional e regionalmente, os rendimentos do trabalho não colaboram para concentrar renda nos domicílios brasileiros nos dois governos analisados, acentuando a relevância do trabalho na economia e sua repercussão nas desigualdades brasileiras.</w:t>
      </w:r>
    </w:p>
    <w:p w14:paraId="4A627DF8" w14:textId="77777777" w:rsidR="00C56497" w:rsidRDefault="00C56497" w:rsidP="00347B57">
      <w:pPr>
        <w:widowControl w:val="0"/>
        <w:autoSpaceDE w:val="0"/>
        <w:autoSpaceDN w:val="0"/>
        <w:adjustRightInd w:val="0"/>
        <w:spacing w:after="240" w:line="360" w:lineRule="auto"/>
        <w:jc w:val="both"/>
        <w:rPr>
          <w:rFonts w:ascii="Times" w:hAnsi="Times" w:cs="Times New Roman"/>
          <w:b/>
          <w:noProof/>
        </w:rPr>
      </w:pPr>
    </w:p>
    <w:p w14:paraId="6B5C66B3" w14:textId="2414BB4F" w:rsidR="00D00879" w:rsidRPr="006119A1" w:rsidRDefault="00E15770" w:rsidP="00347B57">
      <w:pPr>
        <w:widowControl w:val="0"/>
        <w:autoSpaceDE w:val="0"/>
        <w:autoSpaceDN w:val="0"/>
        <w:adjustRightInd w:val="0"/>
        <w:spacing w:after="240" w:line="360" w:lineRule="auto"/>
        <w:jc w:val="both"/>
        <w:rPr>
          <w:rFonts w:ascii="Times" w:hAnsi="Times" w:cs="Times"/>
        </w:rPr>
      </w:pPr>
      <w:bookmarkStart w:id="0" w:name="_GoBack"/>
      <w:bookmarkEnd w:id="0"/>
      <w:r w:rsidRPr="006119A1">
        <w:rPr>
          <w:rFonts w:ascii="Times" w:hAnsi="Times" w:cs="Times New Roman"/>
          <w:b/>
          <w:noProof/>
        </w:rPr>
        <w:t>REFERÊNCIAS</w:t>
      </w:r>
    </w:p>
    <w:p w14:paraId="52DCD82A" w14:textId="29105E6D" w:rsidR="00992565" w:rsidRPr="009D5154" w:rsidRDefault="00CB65E5" w:rsidP="009D5154">
      <w:pPr>
        <w:widowControl w:val="0"/>
        <w:autoSpaceDE w:val="0"/>
        <w:autoSpaceDN w:val="0"/>
        <w:adjustRightInd w:val="0"/>
        <w:spacing w:after="240"/>
        <w:outlineLvl w:val="0"/>
        <w:rPr>
          <w:rFonts w:ascii="Times New Roman" w:hAnsi="Times New Roman" w:cs="Times New Roman"/>
          <w:noProof/>
        </w:rPr>
      </w:pPr>
      <w:r w:rsidRPr="009D5154">
        <w:rPr>
          <w:rFonts w:ascii="Times New Roman" w:hAnsi="Times New Roman" w:cs="Times New Roman"/>
          <w:noProof/>
        </w:rPr>
        <w:t xml:space="preserve">BARROS, R.P.;  MENDONÇA, R. </w:t>
      </w:r>
      <w:r w:rsidRPr="009D5154">
        <w:rPr>
          <w:rFonts w:ascii="Times New Roman" w:hAnsi="Times New Roman" w:cs="Times New Roman"/>
          <w:b/>
          <w:noProof/>
        </w:rPr>
        <w:t>Os determinantes da desigualdade no Brasil.</w:t>
      </w:r>
      <w:r w:rsidRPr="009D5154">
        <w:rPr>
          <w:rFonts w:ascii="Times New Roman" w:hAnsi="Times New Roman" w:cs="Times New Roman"/>
          <w:noProof/>
        </w:rPr>
        <w:t xml:space="preserve"> Rio de Janeiro: IPEA,1995.</w:t>
      </w:r>
      <w:r w:rsidR="001A09FD" w:rsidRPr="009D5154">
        <w:rPr>
          <w:rFonts w:ascii="Times New Roman" w:hAnsi="Times New Roman" w:cs="Times New Roman"/>
          <w:noProof/>
        </w:rPr>
        <w:t>.</w:t>
      </w:r>
    </w:p>
    <w:p w14:paraId="7D5D95E6" w14:textId="3FEA2A95" w:rsidR="00992565" w:rsidRPr="009D5154" w:rsidRDefault="00A73799" w:rsidP="009D5154">
      <w:pPr>
        <w:spacing w:after="240"/>
        <w:rPr>
          <w:rFonts w:ascii="Times New Roman" w:hAnsi="Times New Roman" w:cs="Times New Roman"/>
        </w:rPr>
      </w:pPr>
      <w:r w:rsidRPr="009D5154">
        <w:rPr>
          <w:rFonts w:ascii="Times New Roman" w:hAnsi="Times New Roman" w:cs="Times New Roman"/>
        </w:rPr>
        <w:t>______</w:t>
      </w:r>
      <w:r w:rsidR="00FE32C3" w:rsidRPr="009D5154">
        <w:rPr>
          <w:rFonts w:ascii="Times New Roman" w:hAnsi="Times New Roman" w:cs="Times New Roman"/>
        </w:rPr>
        <w:t>; HENRIQUES, R.; MENDONÇA</w:t>
      </w:r>
      <w:r w:rsidR="004F360C" w:rsidRPr="009D5154">
        <w:rPr>
          <w:rFonts w:ascii="Times New Roman" w:hAnsi="Times New Roman" w:cs="Times New Roman"/>
        </w:rPr>
        <w:t>,</w:t>
      </w:r>
      <w:r w:rsidR="00FE32C3" w:rsidRPr="009D5154">
        <w:rPr>
          <w:rFonts w:ascii="Times New Roman" w:hAnsi="Times New Roman" w:cs="Times New Roman"/>
        </w:rPr>
        <w:t xml:space="preserve"> R. </w:t>
      </w:r>
      <w:r w:rsidR="00FE32C3" w:rsidRPr="009D5154">
        <w:rPr>
          <w:rFonts w:ascii="Times New Roman" w:hAnsi="Times New Roman" w:cs="Times New Roman"/>
          <w:b/>
        </w:rPr>
        <w:t xml:space="preserve">A estabilidade inaceitável: </w:t>
      </w:r>
      <w:r w:rsidR="00FE32C3" w:rsidRPr="009D5154">
        <w:rPr>
          <w:rFonts w:ascii="Times New Roman" w:hAnsi="Times New Roman" w:cs="Times New Roman"/>
        </w:rPr>
        <w:t>desigualdade e pobreza no Brasil. Rio de Janeiro: IPEA, 2001.</w:t>
      </w:r>
    </w:p>
    <w:p w14:paraId="0A4CA62C" w14:textId="77777777" w:rsidR="00992565" w:rsidRPr="009D5154" w:rsidRDefault="00A73799" w:rsidP="009D5154">
      <w:pPr>
        <w:widowControl w:val="0"/>
        <w:autoSpaceDE w:val="0"/>
        <w:autoSpaceDN w:val="0"/>
        <w:adjustRightInd w:val="0"/>
        <w:spacing w:after="240"/>
        <w:rPr>
          <w:rFonts w:ascii="Times New Roman" w:hAnsi="Times New Roman" w:cs="Times New Roman"/>
        </w:rPr>
      </w:pPr>
      <w:r w:rsidRPr="009D5154">
        <w:rPr>
          <w:rFonts w:ascii="Times New Roman" w:hAnsi="Times New Roman" w:cs="Times New Roman"/>
        </w:rPr>
        <w:t>______</w:t>
      </w:r>
      <w:r w:rsidR="00FE32C3" w:rsidRPr="009D5154">
        <w:rPr>
          <w:rFonts w:ascii="Times New Roman" w:hAnsi="Times New Roman" w:cs="Times New Roman"/>
        </w:rPr>
        <w:t xml:space="preserve">; CARVALHO, M.; FRANCO, S.; MENDONÇA, R. Uma análise das principais causas da queda recente na desigualdade de renda brasileira. </w:t>
      </w:r>
      <w:r w:rsidR="00FE32C3" w:rsidRPr="009D5154">
        <w:rPr>
          <w:rFonts w:ascii="Times New Roman" w:hAnsi="Times New Roman" w:cs="Times New Roman"/>
          <w:b/>
        </w:rPr>
        <w:t>Econômica</w:t>
      </w:r>
      <w:r w:rsidR="00FE32C3" w:rsidRPr="009D5154">
        <w:rPr>
          <w:rFonts w:ascii="Times New Roman" w:hAnsi="Times New Roman" w:cs="Times New Roman"/>
        </w:rPr>
        <w:t>, Rio de Janeiro, v.8, n.1, p. 117–147, jun. 2006.</w:t>
      </w:r>
    </w:p>
    <w:p w14:paraId="398FA526" w14:textId="34E61507" w:rsidR="00992565" w:rsidRPr="009D5154" w:rsidRDefault="00FE32C3" w:rsidP="009D5154">
      <w:pPr>
        <w:spacing w:after="240"/>
        <w:rPr>
          <w:rFonts w:ascii="Times New Roman" w:hAnsi="Times New Roman" w:cs="Times New Roman"/>
        </w:rPr>
      </w:pPr>
      <w:r w:rsidRPr="009D5154">
        <w:rPr>
          <w:rFonts w:ascii="Times New Roman" w:hAnsi="Times New Roman" w:cs="Times New Roman"/>
        </w:rPr>
        <w:t xml:space="preserve">CARVALHAES, F.; BARBOSA, R.J.; SOUZA. P.H.G.F.; RIBEIRO, C.A.C. </w:t>
      </w:r>
      <w:r w:rsidRPr="009D5154">
        <w:rPr>
          <w:rFonts w:ascii="Times New Roman" w:hAnsi="Times New Roman" w:cs="Times New Roman"/>
          <w:b/>
        </w:rPr>
        <w:t xml:space="preserve">Os impactos da geração de empregos sobre as desigualdades de renda no mercado de trabalho: </w:t>
      </w:r>
      <w:r w:rsidRPr="009D5154">
        <w:rPr>
          <w:rFonts w:ascii="Times New Roman" w:hAnsi="Times New Roman" w:cs="Times New Roman"/>
        </w:rPr>
        <w:t>uma análise da década de 2000. São Paulo: Centro de Estudos da Metrópole, 2012.</w:t>
      </w:r>
    </w:p>
    <w:p w14:paraId="56BF815D" w14:textId="77777777" w:rsidR="00992565" w:rsidRPr="009D5154" w:rsidRDefault="00FE32C3" w:rsidP="009D5154">
      <w:pPr>
        <w:widowControl w:val="0"/>
        <w:autoSpaceDE w:val="0"/>
        <w:autoSpaceDN w:val="0"/>
        <w:adjustRightInd w:val="0"/>
        <w:spacing w:after="240"/>
        <w:rPr>
          <w:rFonts w:ascii="Times New Roman" w:hAnsi="Times New Roman" w:cs="Times New Roman"/>
        </w:rPr>
      </w:pPr>
      <w:r w:rsidRPr="009D5154">
        <w:rPr>
          <w:rFonts w:ascii="Times New Roman" w:hAnsi="Times New Roman" w:cs="Times New Roman"/>
        </w:rPr>
        <w:t xml:space="preserve">CASTRO, I. E.; GOMES, P. C. C.; CORRÊA, R. L. Geografia, Conceitos e Temas. In: EGLER, C. </w:t>
      </w:r>
      <w:r w:rsidRPr="009D5154">
        <w:rPr>
          <w:rFonts w:ascii="Times New Roman" w:hAnsi="Times New Roman" w:cs="Times New Roman"/>
          <w:b/>
        </w:rPr>
        <w:t>Questão Regional de Território no Brasil.</w:t>
      </w:r>
      <w:r w:rsidRPr="009D5154">
        <w:rPr>
          <w:rFonts w:ascii="Times New Roman" w:hAnsi="Times New Roman" w:cs="Times New Roman"/>
        </w:rPr>
        <w:t xml:space="preserve"> Rio de Janeiro: Bertrand Brasil, 1995, p.207-238. Disponível em:    </w:t>
      </w:r>
      <w:hyperlink r:id="rId80" w:history="1">
        <w:r w:rsidR="00ED3950" w:rsidRPr="009D5154">
          <w:rPr>
            <w:rStyle w:val="Hyperlink"/>
            <w:rFonts w:ascii="Times New Roman" w:hAnsi="Times New Roman" w:cs="Times New Roman"/>
          </w:rPr>
          <w:t>http://www.laget.igeo.ufrj.br/egler/pdf../Gestao.pdf</w:t>
        </w:r>
      </w:hyperlink>
      <w:r w:rsidRPr="009D5154">
        <w:rPr>
          <w:rFonts w:ascii="Times New Roman" w:hAnsi="Times New Roman" w:cs="Times New Roman"/>
        </w:rPr>
        <w:t>. Acesso em: 25 jul. 2013.</w:t>
      </w:r>
    </w:p>
    <w:p w14:paraId="0BD2AF78" w14:textId="77777777" w:rsidR="007D3B38" w:rsidRPr="009D5154" w:rsidRDefault="00FE32C3" w:rsidP="009D5154">
      <w:pPr>
        <w:widowControl w:val="0"/>
        <w:autoSpaceDE w:val="0"/>
        <w:autoSpaceDN w:val="0"/>
        <w:adjustRightInd w:val="0"/>
        <w:spacing w:after="240"/>
        <w:rPr>
          <w:rFonts w:ascii="Times New Roman" w:hAnsi="Times New Roman" w:cs="Times New Roman"/>
        </w:rPr>
      </w:pPr>
      <w:r w:rsidRPr="009D5154">
        <w:rPr>
          <w:rFonts w:ascii="Times New Roman" w:hAnsi="Times New Roman" w:cs="Times New Roman"/>
        </w:rPr>
        <w:lastRenderedPageBreak/>
        <w:t xml:space="preserve">FERREIRA, C.R.; SOUZA, S.C.I. </w:t>
      </w:r>
      <w:r w:rsidRPr="009D5154">
        <w:rPr>
          <w:rFonts w:ascii="Times New Roman" w:hAnsi="Times New Roman" w:cs="Times New Roman"/>
          <w:b/>
        </w:rPr>
        <w:t xml:space="preserve">Dados sobre concentração de renda no Brasil-1981-2011. </w:t>
      </w:r>
      <w:r w:rsidRPr="009D5154">
        <w:rPr>
          <w:rFonts w:ascii="Times New Roman" w:hAnsi="Times New Roman" w:cs="Times New Roman"/>
        </w:rPr>
        <w:t>Londrina: UEL, 2013.</w:t>
      </w:r>
    </w:p>
    <w:p w14:paraId="2CA24A8A" w14:textId="77777777" w:rsidR="007D3B38" w:rsidRPr="009D5154" w:rsidRDefault="007D3B38" w:rsidP="009D5154">
      <w:pPr>
        <w:widowControl w:val="0"/>
        <w:autoSpaceDE w:val="0"/>
        <w:autoSpaceDN w:val="0"/>
        <w:adjustRightInd w:val="0"/>
        <w:spacing w:after="240"/>
        <w:rPr>
          <w:rFonts w:ascii="Times New Roman" w:hAnsi="Times New Roman" w:cs="Times New Roman"/>
        </w:rPr>
      </w:pPr>
      <w:r w:rsidRPr="009D5154">
        <w:rPr>
          <w:rFonts w:ascii="Times New Roman" w:hAnsi="Times New Roman" w:cs="Times New Roman"/>
        </w:rPr>
        <w:t xml:space="preserve">GIAMBIAGI, F.; VILLELA, A; CASTRO L.B.; HERMANN, J. </w:t>
      </w:r>
      <w:r w:rsidR="00ED3950" w:rsidRPr="00410522">
        <w:rPr>
          <w:rFonts w:ascii="Times New Roman" w:hAnsi="Times New Roman" w:cs="Times New Roman"/>
        </w:rPr>
        <w:t>(Org.)</w:t>
      </w:r>
      <w:r w:rsidR="00ED3950">
        <w:rPr>
          <w:rFonts w:ascii="Times New Roman" w:hAnsi="Times New Roman" w:cs="Times New Roman"/>
        </w:rPr>
        <w:t xml:space="preserve">. </w:t>
      </w:r>
      <w:r w:rsidRPr="009D5154">
        <w:rPr>
          <w:rFonts w:ascii="Times New Roman" w:hAnsi="Times New Roman" w:cs="Times New Roman"/>
          <w:b/>
        </w:rPr>
        <w:t>Economia Brasileira Contemporânea</w:t>
      </w:r>
      <w:r w:rsidRPr="009D5154">
        <w:rPr>
          <w:rFonts w:ascii="Times New Roman" w:hAnsi="Times New Roman" w:cs="Times New Roman"/>
        </w:rPr>
        <w:t xml:space="preserve">. </w:t>
      </w:r>
      <w:r w:rsidR="00992543" w:rsidRPr="009D5154">
        <w:rPr>
          <w:rFonts w:ascii="Times New Roman" w:hAnsi="Times New Roman" w:cs="Times New Roman"/>
        </w:rPr>
        <w:t>Rio de Janeiro</w:t>
      </w:r>
      <w:r w:rsidR="00ED3950">
        <w:rPr>
          <w:rFonts w:ascii="Times New Roman" w:hAnsi="Times New Roman" w:cs="Times New Roman"/>
        </w:rPr>
        <w:t>:</w:t>
      </w:r>
      <w:r w:rsidRPr="009D5154">
        <w:rPr>
          <w:rFonts w:ascii="Times New Roman" w:hAnsi="Times New Roman" w:cs="Times New Roman"/>
        </w:rPr>
        <w:t xml:space="preserve"> Elsevier, 2005.</w:t>
      </w:r>
      <w:r w:rsidR="00992543" w:rsidRPr="009D5154">
        <w:rPr>
          <w:rFonts w:ascii="Times New Roman" w:hAnsi="Times New Roman" w:cs="Times New Roman"/>
        </w:rPr>
        <w:t xml:space="preserve"> p. 166-196</w:t>
      </w:r>
      <w:r w:rsidR="00ED3950">
        <w:rPr>
          <w:rFonts w:ascii="Times New Roman" w:hAnsi="Times New Roman" w:cs="Times New Roman"/>
        </w:rPr>
        <w:t>.</w:t>
      </w:r>
    </w:p>
    <w:p w14:paraId="69124F98" w14:textId="77777777" w:rsidR="007D3FA3" w:rsidRPr="009D5154" w:rsidRDefault="00ED3950" w:rsidP="009D5154">
      <w:pPr>
        <w:widowControl w:val="0"/>
        <w:autoSpaceDE w:val="0"/>
        <w:autoSpaceDN w:val="0"/>
        <w:adjustRightInd w:val="0"/>
        <w:spacing w:after="240"/>
        <w:rPr>
          <w:rFonts w:ascii="Times New Roman" w:hAnsi="Times New Roman" w:cs="Times New Roman"/>
        </w:rPr>
      </w:pPr>
      <w:r>
        <w:rPr>
          <w:rFonts w:ascii="Times New Roman" w:hAnsi="Times New Roman" w:cs="Times New Roman"/>
        </w:rPr>
        <w:t>______</w:t>
      </w:r>
      <w:r w:rsidR="00992543" w:rsidRPr="009D5154">
        <w:rPr>
          <w:rFonts w:ascii="Times New Roman" w:hAnsi="Times New Roman" w:cs="Times New Roman"/>
        </w:rPr>
        <w:t xml:space="preserve">. </w:t>
      </w:r>
      <w:r w:rsidRPr="00410522">
        <w:rPr>
          <w:rFonts w:ascii="Times New Roman" w:hAnsi="Times New Roman" w:cs="Times New Roman"/>
        </w:rPr>
        <w:t>(Org.)</w:t>
      </w:r>
      <w:r>
        <w:rPr>
          <w:rFonts w:ascii="Times New Roman" w:hAnsi="Times New Roman" w:cs="Times New Roman"/>
        </w:rPr>
        <w:t xml:space="preserve">. </w:t>
      </w:r>
      <w:r w:rsidR="00992543" w:rsidRPr="009D5154">
        <w:rPr>
          <w:rFonts w:ascii="Times New Roman" w:hAnsi="Times New Roman" w:cs="Times New Roman"/>
          <w:b/>
        </w:rPr>
        <w:t>Economia Brasileira Contemporânea</w:t>
      </w:r>
      <w:r w:rsidR="00992543" w:rsidRPr="009D5154">
        <w:rPr>
          <w:rFonts w:ascii="Times New Roman" w:hAnsi="Times New Roman" w:cs="Times New Roman"/>
        </w:rPr>
        <w:t>. Rio de Janeiro</w:t>
      </w:r>
      <w:r>
        <w:rPr>
          <w:rFonts w:ascii="Times New Roman" w:hAnsi="Times New Roman" w:cs="Times New Roman"/>
        </w:rPr>
        <w:t>:</w:t>
      </w:r>
      <w:r w:rsidR="0022250E" w:rsidRPr="009D5154">
        <w:rPr>
          <w:rFonts w:ascii="Times New Roman" w:hAnsi="Times New Roman" w:cs="Times New Roman"/>
        </w:rPr>
        <w:t xml:space="preserve"> </w:t>
      </w:r>
      <w:r w:rsidR="00992543" w:rsidRPr="009D5154">
        <w:rPr>
          <w:rFonts w:ascii="Times New Roman" w:hAnsi="Times New Roman" w:cs="Times New Roman"/>
        </w:rPr>
        <w:t xml:space="preserve"> Elsevier, 2011. p. 197-237</w:t>
      </w:r>
      <w:r>
        <w:rPr>
          <w:rFonts w:ascii="Times New Roman" w:hAnsi="Times New Roman" w:cs="Times New Roman"/>
        </w:rPr>
        <w:t>.</w:t>
      </w:r>
    </w:p>
    <w:p w14:paraId="7E8474A6" w14:textId="77777777" w:rsidR="00992565" w:rsidRPr="009D5154" w:rsidRDefault="005409A4" w:rsidP="009D5154">
      <w:pPr>
        <w:widowControl w:val="0"/>
        <w:autoSpaceDE w:val="0"/>
        <w:autoSpaceDN w:val="0"/>
        <w:adjustRightInd w:val="0"/>
        <w:spacing w:after="240"/>
        <w:rPr>
          <w:rFonts w:ascii="Times New Roman" w:hAnsi="Times New Roman" w:cs="Times New Roman"/>
        </w:rPr>
      </w:pPr>
      <w:r w:rsidRPr="009D5154">
        <w:rPr>
          <w:rFonts w:ascii="Times New Roman" w:hAnsi="Times New Roman" w:cs="Times New Roman"/>
        </w:rPr>
        <w:t>HOFFMANN, R.</w:t>
      </w:r>
      <w:r w:rsidR="00FE32C3" w:rsidRPr="009D5154">
        <w:rPr>
          <w:rFonts w:ascii="Times New Roman" w:hAnsi="Times New Roman" w:cs="Times New Roman"/>
        </w:rPr>
        <w:t xml:space="preserve"> A distribuição da renda no Brasil no período 1992-2001. </w:t>
      </w:r>
      <w:r w:rsidR="00FE32C3" w:rsidRPr="009D5154">
        <w:rPr>
          <w:rFonts w:ascii="Times New Roman" w:hAnsi="Times New Roman" w:cs="Times New Roman"/>
          <w:b/>
        </w:rPr>
        <w:t>Economia e Sociedade,</w:t>
      </w:r>
      <w:r w:rsidR="00FE32C3" w:rsidRPr="009D5154">
        <w:rPr>
          <w:rFonts w:ascii="Times New Roman" w:hAnsi="Times New Roman" w:cs="Times New Roman"/>
        </w:rPr>
        <w:t xml:space="preserve"> Campinas, v. 11, n. 2 (19), p. 213-235, 2002.</w:t>
      </w:r>
    </w:p>
    <w:p w14:paraId="3A7BFCDD" w14:textId="77777777" w:rsidR="00A97482" w:rsidRPr="009D5154" w:rsidRDefault="00ED3950" w:rsidP="009D5154">
      <w:pPr>
        <w:widowControl w:val="0"/>
        <w:autoSpaceDE w:val="0"/>
        <w:autoSpaceDN w:val="0"/>
        <w:adjustRightInd w:val="0"/>
        <w:spacing w:after="240"/>
        <w:rPr>
          <w:rFonts w:ascii="Times New Roman" w:hAnsi="Times New Roman" w:cs="Times New Roman"/>
        </w:rPr>
      </w:pPr>
      <w:r>
        <w:rPr>
          <w:rFonts w:ascii="Times New Roman" w:hAnsi="Times New Roman" w:cs="Times New Roman"/>
        </w:rPr>
        <w:t>_____</w:t>
      </w:r>
      <w:r w:rsidR="00A97482" w:rsidRPr="009D5154">
        <w:rPr>
          <w:rFonts w:ascii="Times New Roman" w:hAnsi="Times New Roman" w:cs="Times New Roman"/>
        </w:rPr>
        <w:t xml:space="preserve">. Desigualdade de renda e das despesas </w:t>
      </w:r>
      <w:r w:rsidR="00A97482" w:rsidRPr="009D5154">
        <w:rPr>
          <w:rFonts w:ascii="Times New Roman" w:hAnsi="Times New Roman" w:cs="Times New Roman"/>
          <w:i/>
        </w:rPr>
        <w:t>per capita</w:t>
      </w:r>
      <w:r w:rsidR="00A97482" w:rsidRPr="009D5154">
        <w:rPr>
          <w:rFonts w:ascii="Times New Roman" w:hAnsi="Times New Roman" w:cs="Times New Roman"/>
        </w:rPr>
        <w:t xml:space="preserve"> no Brasil, em 2002-2003 e 2008-2009, e avaliação, do grau de progressividade ou regressividade de parcelas da renda familiar. </w:t>
      </w:r>
      <w:r w:rsidR="00A97482" w:rsidRPr="009D5154">
        <w:rPr>
          <w:rFonts w:ascii="Times New Roman" w:hAnsi="Times New Roman" w:cs="Times New Roman"/>
          <w:b/>
        </w:rPr>
        <w:t>Economia e Sociedade</w:t>
      </w:r>
      <w:r w:rsidR="00A97482" w:rsidRPr="009D5154">
        <w:rPr>
          <w:rFonts w:ascii="Times New Roman" w:hAnsi="Times New Roman" w:cs="Times New Roman"/>
        </w:rPr>
        <w:t>, Campinas, v.19, n.3(40), p.647-661, dez. 2010.</w:t>
      </w:r>
    </w:p>
    <w:p w14:paraId="41A08E2A" w14:textId="77777777" w:rsidR="00992565" w:rsidRPr="009D5154" w:rsidRDefault="00CE0CBF" w:rsidP="009D5154">
      <w:pPr>
        <w:widowControl w:val="0"/>
        <w:autoSpaceDE w:val="0"/>
        <w:autoSpaceDN w:val="0"/>
        <w:adjustRightInd w:val="0"/>
        <w:spacing w:after="240"/>
        <w:outlineLvl w:val="0"/>
        <w:rPr>
          <w:rFonts w:ascii="Times New Roman" w:hAnsi="Times New Roman" w:cs="Times New Roman"/>
          <w:noProof/>
        </w:rPr>
      </w:pPr>
      <w:r w:rsidRPr="009D5154">
        <w:rPr>
          <w:rFonts w:ascii="Times New Roman" w:hAnsi="Times New Roman" w:cs="Times New Roman"/>
          <w:noProof/>
        </w:rPr>
        <w:t xml:space="preserve">IBGE. </w:t>
      </w:r>
      <w:r w:rsidR="005409A4" w:rsidRPr="009D5154">
        <w:rPr>
          <w:rFonts w:ascii="Times New Roman" w:hAnsi="Times New Roman" w:cs="Times New Roman"/>
          <w:noProof/>
        </w:rPr>
        <w:t>Instituto Brasileir</w:t>
      </w:r>
      <w:r w:rsidR="00A73799" w:rsidRPr="009D5154">
        <w:rPr>
          <w:rFonts w:ascii="Times New Roman" w:hAnsi="Times New Roman" w:cs="Times New Roman"/>
          <w:noProof/>
        </w:rPr>
        <w:t>o</w:t>
      </w:r>
      <w:r w:rsidR="005409A4" w:rsidRPr="009D5154">
        <w:rPr>
          <w:rFonts w:ascii="Times New Roman" w:hAnsi="Times New Roman" w:cs="Times New Roman"/>
          <w:noProof/>
        </w:rPr>
        <w:t xml:space="preserve"> de Geogr</w:t>
      </w:r>
      <w:r w:rsidR="00ED3950">
        <w:rPr>
          <w:rFonts w:ascii="Times New Roman" w:hAnsi="Times New Roman" w:cs="Times New Roman"/>
          <w:noProof/>
        </w:rPr>
        <w:t>a</w:t>
      </w:r>
      <w:r w:rsidR="005409A4" w:rsidRPr="009D5154">
        <w:rPr>
          <w:rFonts w:ascii="Times New Roman" w:hAnsi="Times New Roman" w:cs="Times New Roman"/>
          <w:noProof/>
        </w:rPr>
        <w:t>fia e Estatística. Disponível em</w:t>
      </w:r>
      <w:r w:rsidR="00A73799" w:rsidRPr="009D5154">
        <w:rPr>
          <w:rFonts w:ascii="Times New Roman" w:hAnsi="Times New Roman" w:cs="Times New Roman"/>
          <w:noProof/>
        </w:rPr>
        <w:t>:</w:t>
      </w:r>
      <w:r w:rsidR="005409A4" w:rsidRPr="009D5154">
        <w:rPr>
          <w:rFonts w:ascii="Times New Roman" w:hAnsi="Times New Roman" w:cs="Times New Roman"/>
          <w:noProof/>
        </w:rPr>
        <w:t xml:space="preserve"> &lt; </w:t>
      </w:r>
      <w:hyperlink r:id="rId81" w:history="1">
        <w:r w:rsidR="001A09FD" w:rsidRPr="009D5154">
          <w:rPr>
            <w:rStyle w:val="Hyperlink"/>
            <w:rFonts w:ascii="Times New Roman" w:hAnsi="Times New Roman" w:cs="Times New Roman"/>
            <w:noProof/>
            <w:color w:val="auto"/>
          </w:rPr>
          <w:t>http://www.ibge.gov.br/home/</w:t>
        </w:r>
      </w:hyperlink>
      <w:r w:rsidR="0094747F" w:rsidRPr="009D5154">
        <w:rPr>
          <w:rFonts w:ascii="Times New Roman" w:hAnsi="Times New Roman" w:cs="Times New Roman"/>
          <w:noProof/>
        </w:rPr>
        <w:t xml:space="preserve"> </w:t>
      </w:r>
      <w:r w:rsidR="005409A4" w:rsidRPr="009D5154">
        <w:rPr>
          <w:rFonts w:ascii="Times New Roman" w:hAnsi="Times New Roman" w:cs="Times New Roman"/>
          <w:noProof/>
        </w:rPr>
        <w:t>Acesso em</w:t>
      </w:r>
      <w:r w:rsidR="00A73799" w:rsidRPr="009D5154">
        <w:rPr>
          <w:rFonts w:ascii="Times New Roman" w:hAnsi="Times New Roman" w:cs="Times New Roman"/>
          <w:noProof/>
        </w:rPr>
        <w:t>:</w:t>
      </w:r>
      <w:r w:rsidR="005409A4" w:rsidRPr="009D5154">
        <w:rPr>
          <w:rFonts w:ascii="Times New Roman" w:hAnsi="Times New Roman" w:cs="Times New Roman"/>
          <w:noProof/>
        </w:rPr>
        <w:t xml:space="preserve"> </w:t>
      </w:r>
      <w:r w:rsidR="00A97482" w:rsidRPr="009D5154">
        <w:rPr>
          <w:rFonts w:ascii="Times New Roman" w:hAnsi="Times New Roman" w:cs="Times New Roman"/>
          <w:noProof/>
        </w:rPr>
        <w:t>07 mai</w:t>
      </w:r>
      <w:r w:rsidR="005409A4" w:rsidRPr="009D5154">
        <w:rPr>
          <w:rFonts w:ascii="Times New Roman" w:hAnsi="Times New Roman" w:cs="Times New Roman"/>
          <w:noProof/>
        </w:rPr>
        <w:t>.</w:t>
      </w:r>
      <w:r w:rsidR="00A97482" w:rsidRPr="009D5154">
        <w:rPr>
          <w:rFonts w:ascii="Times New Roman" w:hAnsi="Times New Roman" w:cs="Times New Roman"/>
          <w:noProof/>
        </w:rPr>
        <w:t xml:space="preserve"> 2014.</w:t>
      </w:r>
    </w:p>
    <w:p w14:paraId="477ABFF8" w14:textId="77777777" w:rsidR="007D3FA3" w:rsidRPr="009D5154" w:rsidRDefault="007D3FA3" w:rsidP="009D5154">
      <w:pPr>
        <w:widowControl w:val="0"/>
        <w:autoSpaceDE w:val="0"/>
        <w:autoSpaceDN w:val="0"/>
        <w:adjustRightInd w:val="0"/>
        <w:spacing w:after="240"/>
        <w:rPr>
          <w:rFonts w:ascii="Times New Roman" w:hAnsi="Times New Roman" w:cs="Times New Roman"/>
        </w:rPr>
      </w:pPr>
      <w:r w:rsidRPr="009D5154">
        <w:rPr>
          <w:rFonts w:ascii="Times New Roman" w:hAnsi="Times New Roman" w:cs="Times New Roman"/>
        </w:rPr>
        <w:t>IBGE. In</w:t>
      </w:r>
      <w:r w:rsidR="00ED3950">
        <w:rPr>
          <w:rFonts w:ascii="Times New Roman" w:hAnsi="Times New Roman" w:cs="Times New Roman"/>
        </w:rPr>
        <w:t>s</w:t>
      </w:r>
      <w:r w:rsidRPr="009D5154">
        <w:rPr>
          <w:rFonts w:ascii="Times New Roman" w:hAnsi="Times New Roman" w:cs="Times New Roman"/>
        </w:rPr>
        <w:t>tituto Brasileiro de Geogr</w:t>
      </w:r>
      <w:r w:rsidR="00ED3950">
        <w:rPr>
          <w:rFonts w:ascii="Times New Roman" w:hAnsi="Times New Roman" w:cs="Times New Roman"/>
        </w:rPr>
        <w:t>a</w:t>
      </w:r>
      <w:r w:rsidRPr="009D5154">
        <w:rPr>
          <w:rFonts w:ascii="Times New Roman" w:hAnsi="Times New Roman" w:cs="Times New Roman"/>
        </w:rPr>
        <w:t xml:space="preserve">fia e Estatística. Disponível em: </w:t>
      </w:r>
      <w:r w:rsidRPr="009D5154">
        <w:rPr>
          <w:rFonts w:ascii="Times New Roman" w:hAnsi="Times New Roman" w:cs="Times New Roman"/>
          <w:u w:val="single" w:color="0F59C2"/>
        </w:rPr>
        <w:t>http://brasilemsintese.ibge.gov.br/trabalho.</w:t>
      </w:r>
      <w:r w:rsidRPr="009D5154">
        <w:rPr>
          <w:rFonts w:ascii="Times New Roman" w:hAnsi="Times New Roman" w:cs="Times New Roman"/>
        </w:rPr>
        <w:t xml:space="preserve"> Acesso em 7 mai. 2014</w:t>
      </w:r>
      <w:r w:rsidR="00ED3950">
        <w:rPr>
          <w:rFonts w:ascii="Times New Roman" w:hAnsi="Times New Roman" w:cs="Times New Roman"/>
        </w:rPr>
        <w:t>.</w:t>
      </w:r>
    </w:p>
    <w:p w14:paraId="4B235759" w14:textId="77777777" w:rsidR="00992565" w:rsidRPr="009D5154" w:rsidRDefault="00FE32C3" w:rsidP="009D5154">
      <w:pPr>
        <w:widowControl w:val="0"/>
        <w:autoSpaceDE w:val="0"/>
        <w:autoSpaceDN w:val="0"/>
        <w:adjustRightInd w:val="0"/>
        <w:spacing w:after="240"/>
        <w:rPr>
          <w:rFonts w:ascii="Times New Roman" w:hAnsi="Times New Roman" w:cs="Times New Roman"/>
        </w:rPr>
      </w:pPr>
      <w:r w:rsidRPr="009D5154">
        <w:rPr>
          <w:rFonts w:ascii="Times New Roman" w:hAnsi="Times New Roman" w:cs="Times New Roman"/>
        </w:rPr>
        <w:t xml:space="preserve">IPEA. </w:t>
      </w:r>
      <w:hyperlink r:id="rId82" w:history="1">
        <w:r w:rsidRPr="009D5154">
          <w:rPr>
            <w:rFonts w:ascii="Times New Roman" w:hAnsi="Times New Roman" w:cs="Times New Roman"/>
          </w:rPr>
          <w:t>Instituto de Pesquisa Econômica Aplicada (IPEA)</w:t>
        </w:r>
      </w:hyperlink>
      <w:r w:rsidRPr="009D5154">
        <w:rPr>
          <w:rFonts w:ascii="Times New Roman" w:hAnsi="Times New Roman" w:cs="Times New Roman"/>
        </w:rPr>
        <w:t>.  IPEADATA. Disponível em: &lt;</w:t>
      </w:r>
      <w:hyperlink r:id="rId83" w:history="1">
        <w:r w:rsidRPr="009D5154">
          <w:rPr>
            <w:rStyle w:val="Hyperlink"/>
            <w:rFonts w:ascii="Times New Roman" w:hAnsi="Times New Roman" w:cs="Times New Roman"/>
            <w:color w:val="auto"/>
          </w:rPr>
          <w:t>www.ipeadata.gov.br</w:t>
        </w:r>
      </w:hyperlink>
      <w:r w:rsidRPr="009D5154">
        <w:rPr>
          <w:rFonts w:ascii="Times New Roman" w:hAnsi="Times New Roman" w:cs="Times New Roman"/>
        </w:rPr>
        <w:t xml:space="preserve"> . Acesso em:</w:t>
      </w:r>
      <w:r w:rsidR="00A97482" w:rsidRPr="009D5154">
        <w:rPr>
          <w:rFonts w:ascii="Times New Roman" w:hAnsi="Times New Roman" w:cs="Times New Roman"/>
        </w:rPr>
        <w:t xml:space="preserve"> 07 mai</w:t>
      </w:r>
      <w:r w:rsidRPr="009D5154">
        <w:rPr>
          <w:rFonts w:ascii="Times New Roman" w:hAnsi="Times New Roman" w:cs="Times New Roman"/>
        </w:rPr>
        <w:t>.</w:t>
      </w:r>
      <w:r w:rsidR="00A97482" w:rsidRPr="009D5154">
        <w:rPr>
          <w:rFonts w:ascii="Times New Roman" w:hAnsi="Times New Roman" w:cs="Times New Roman"/>
        </w:rPr>
        <w:t xml:space="preserve"> 2014.</w:t>
      </w:r>
    </w:p>
    <w:p w14:paraId="25DACB66" w14:textId="77777777" w:rsidR="00992565" w:rsidRPr="009D5154" w:rsidRDefault="00FE32C3" w:rsidP="009D5154">
      <w:pPr>
        <w:widowControl w:val="0"/>
        <w:autoSpaceDE w:val="0"/>
        <w:autoSpaceDN w:val="0"/>
        <w:adjustRightInd w:val="0"/>
        <w:spacing w:after="240"/>
        <w:rPr>
          <w:rFonts w:ascii="Times New Roman" w:hAnsi="Times New Roman" w:cs="Times New Roman"/>
        </w:rPr>
      </w:pPr>
      <w:r w:rsidRPr="009D5154">
        <w:rPr>
          <w:rFonts w:ascii="Times New Roman" w:hAnsi="Times New Roman" w:cs="Times New Roman"/>
        </w:rPr>
        <w:t xml:space="preserve">______.  </w:t>
      </w:r>
      <w:r w:rsidRPr="009D5154">
        <w:rPr>
          <w:rFonts w:ascii="Times New Roman" w:hAnsi="Times New Roman" w:cs="Times New Roman"/>
          <w:b/>
        </w:rPr>
        <w:t xml:space="preserve">Situação Social nos </w:t>
      </w:r>
      <w:r w:rsidRPr="009D5154">
        <w:rPr>
          <w:rFonts w:ascii="Times New Roman" w:hAnsi="Times New Roman" w:cs="Times New Roman"/>
        </w:rPr>
        <w:t>Estados: Paraná. Relatórios do IPEA. Brasília, 2012.</w:t>
      </w:r>
    </w:p>
    <w:p w14:paraId="55B9C844" w14:textId="77777777" w:rsidR="00992565" w:rsidRPr="009D5154" w:rsidRDefault="00FE32C3" w:rsidP="009D5154">
      <w:pPr>
        <w:widowControl w:val="0"/>
        <w:autoSpaceDE w:val="0"/>
        <w:autoSpaceDN w:val="0"/>
        <w:adjustRightInd w:val="0"/>
        <w:spacing w:after="240"/>
        <w:rPr>
          <w:rFonts w:ascii="Times New Roman" w:hAnsi="Times New Roman" w:cs="Times New Roman"/>
        </w:rPr>
      </w:pPr>
      <w:r w:rsidRPr="009D5154">
        <w:rPr>
          <w:rFonts w:ascii="Times New Roman" w:hAnsi="Times New Roman" w:cs="Times New Roman"/>
        </w:rPr>
        <w:t xml:space="preserve">______. </w:t>
      </w:r>
      <w:r w:rsidRPr="009D5154">
        <w:rPr>
          <w:rFonts w:ascii="Times New Roman" w:hAnsi="Times New Roman" w:cs="Times New Roman"/>
          <w:b/>
        </w:rPr>
        <w:t>Situação Social nos Estados</w:t>
      </w:r>
      <w:r w:rsidRPr="009D5154">
        <w:rPr>
          <w:rFonts w:ascii="Times New Roman" w:hAnsi="Times New Roman" w:cs="Times New Roman"/>
        </w:rPr>
        <w:t>: Rio Grande do Sul. Relatórios do IPEA. Brasília, 2012.</w:t>
      </w:r>
    </w:p>
    <w:p w14:paraId="5344CC18" w14:textId="77777777" w:rsidR="00992565" w:rsidRPr="009D5154" w:rsidRDefault="00FE32C3" w:rsidP="009D5154">
      <w:pPr>
        <w:widowControl w:val="0"/>
        <w:autoSpaceDE w:val="0"/>
        <w:autoSpaceDN w:val="0"/>
        <w:adjustRightInd w:val="0"/>
        <w:spacing w:after="240"/>
        <w:rPr>
          <w:rFonts w:ascii="Times New Roman" w:hAnsi="Times New Roman" w:cs="Times New Roman"/>
        </w:rPr>
      </w:pPr>
      <w:r w:rsidRPr="009D5154">
        <w:rPr>
          <w:rFonts w:ascii="Times New Roman" w:hAnsi="Times New Roman" w:cs="Times New Roman"/>
        </w:rPr>
        <w:t xml:space="preserve">______. </w:t>
      </w:r>
      <w:r w:rsidRPr="009D5154">
        <w:rPr>
          <w:rFonts w:ascii="Times New Roman" w:hAnsi="Times New Roman" w:cs="Times New Roman"/>
          <w:b/>
        </w:rPr>
        <w:t>Situação Social nos Estados</w:t>
      </w:r>
      <w:r w:rsidRPr="009D5154">
        <w:rPr>
          <w:rFonts w:ascii="Times New Roman" w:hAnsi="Times New Roman" w:cs="Times New Roman"/>
        </w:rPr>
        <w:t>: Santa Catarina. Relatórios do IPEA. Brasília, 2012.</w:t>
      </w:r>
    </w:p>
    <w:p w14:paraId="11568412" w14:textId="77777777" w:rsidR="00A97482" w:rsidRPr="009D5154" w:rsidRDefault="00A97482" w:rsidP="009D5154">
      <w:pPr>
        <w:widowControl w:val="0"/>
        <w:autoSpaceDE w:val="0"/>
        <w:autoSpaceDN w:val="0"/>
        <w:adjustRightInd w:val="0"/>
        <w:spacing w:after="240"/>
        <w:rPr>
          <w:rFonts w:ascii="Times New Roman" w:hAnsi="Times New Roman" w:cs="Times New Roman"/>
        </w:rPr>
      </w:pPr>
      <w:r w:rsidRPr="009D5154">
        <w:rPr>
          <w:rFonts w:ascii="Times New Roman" w:hAnsi="Times New Roman" w:cs="Times New Roman"/>
        </w:rPr>
        <w:t xml:space="preserve">MAIA, A. G. Estrutura de ocupações e distribuição de rendimentos: uma análise da experiência brasileira nos anos 2000. </w:t>
      </w:r>
      <w:r w:rsidRPr="009D5154">
        <w:rPr>
          <w:rFonts w:ascii="Times New Roman" w:hAnsi="Times New Roman" w:cs="Times New Roman"/>
          <w:b/>
        </w:rPr>
        <w:t>Rev. Econ. Contemp.</w:t>
      </w:r>
      <w:r w:rsidRPr="009D5154">
        <w:rPr>
          <w:rFonts w:ascii="Times New Roman" w:hAnsi="Times New Roman" w:cs="Times New Roman"/>
        </w:rPr>
        <w:t>, Rio de Janeiro, v.17, n.2, p.</w:t>
      </w:r>
      <w:r w:rsidR="00E276F8" w:rsidRPr="009D5154">
        <w:rPr>
          <w:rFonts w:ascii="Times New Roman" w:hAnsi="Times New Roman" w:cs="Times New Roman"/>
        </w:rPr>
        <w:t>276-301, mai.-ago./2013.</w:t>
      </w:r>
    </w:p>
    <w:p w14:paraId="3F1567BA" w14:textId="77777777" w:rsidR="00E276F8" w:rsidRPr="009D5154" w:rsidRDefault="00E276F8" w:rsidP="009D5154">
      <w:pPr>
        <w:widowControl w:val="0"/>
        <w:autoSpaceDE w:val="0"/>
        <w:autoSpaceDN w:val="0"/>
        <w:adjustRightInd w:val="0"/>
        <w:spacing w:after="240"/>
        <w:rPr>
          <w:rFonts w:ascii="Times New Roman" w:hAnsi="Times New Roman" w:cs="Times New Roman"/>
        </w:rPr>
      </w:pPr>
      <w:r w:rsidRPr="009D5154">
        <w:rPr>
          <w:rFonts w:ascii="Times New Roman" w:hAnsi="Times New Roman" w:cs="Times New Roman"/>
        </w:rPr>
        <w:t xml:space="preserve">MARINHO, E.; LINHARES, F.; CAMPELO, G. Os Programas de Transferência de Renda do Governo Impactam a Pobreza no Brasil? </w:t>
      </w:r>
      <w:r w:rsidRPr="009D5154">
        <w:rPr>
          <w:rFonts w:ascii="Times New Roman" w:hAnsi="Times New Roman" w:cs="Times New Roman"/>
          <w:b/>
        </w:rPr>
        <w:t>RBE</w:t>
      </w:r>
      <w:r w:rsidRPr="009D5154">
        <w:rPr>
          <w:rFonts w:ascii="Times New Roman" w:hAnsi="Times New Roman" w:cs="Times New Roman"/>
        </w:rPr>
        <w:t>, Rio de Janeiro, v.65, p. 267-288, jul.-set. 2011.</w:t>
      </w:r>
    </w:p>
    <w:p w14:paraId="33392576" w14:textId="77777777" w:rsidR="00A73799" w:rsidRPr="009D5154" w:rsidRDefault="00A73799" w:rsidP="009D5154">
      <w:pPr>
        <w:widowControl w:val="0"/>
        <w:autoSpaceDE w:val="0"/>
        <w:autoSpaceDN w:val="0"/>
        <w:adjustRightInd w:val="0"/>
        <w:spacing w:after="240"/>
        <w:rPr>
          <w:rFonts w:ascii="Times New Roman" w:hAnsi="Times New Roman" w:cs="Times New Roman"/>
          <w:b/>
          <w:bCs/>
        </w:rPr>
      </w:pPr>
      <w:r w:rsidRPr="009D5154">
        <w:rPr>
          <w:rFonts w:ascii="Times New Roman" w:hAnsi="Times New Roman" w:cs="Times New Roman"/>
        </w:rPr>
        <w:t>NERI, M.</w:t>
      </w:r>
      <w:r w:rsidR="00A97482" w:rsidRPr="009D5154">
        <w:rPr>
          <w:rFonts w:ascii="Times New Roman" w:hAnsi="Times New Roman" w:cs="Times New Roman"/>
        </w:rPr>
        <w:t xml:space="preserve"> </w:t>
      </w:r>
      <w:r w:rsidRPr="009D5154">
        <w:rPr>
          <w:rFonts w:ascii="Times New Roman" w:hAnsi="Times New Roman" w:cs="Times New Roman"/>
        </w:rPr>
        <w:t xml:space="preserve">C. </w:t>
      </w:r>
      <w:r w:rsidRPr="009D5154">
        <w:rPr>
          <w:rFonts w:ascii="Times New Roman" w:hAnsi="Times New Roman" w:cs="Times New Roman"/>
          <w:b/>
        </w:rPr>
        <w:t>Evolução dos Indicadores Sociais baseados em Renda.</w:t>
      </w:r>
      <w:r w:rsidRPr="009D5154">
        <w:rPr>
          <w:rFonts w:ascii="Times New Roman" w:hAnsi="Times New Roman" w:cs="Times New Roman"/>
        </w:rPr>
        <w:t xml:space="preserve"> Desigualdade de Renda na Década. Rio de Janeiro</w:t>
      </w:r>
      <w:r w:rsidRPr="009D5154">
        <w:rPr>
          <w:rFonts w:ascii="Times New Roman" w:hAnsi="Times New Roman" w:cs="Times New Roman"/>
          <w:b/>
        </w:rPr>
        <w:t xml:space="preserve">: </w:t>
      </w:r>
      <w:r w:rsidRPr="009D5154">
        <w:rPr>
          <w:rFonts w:ascii="Times New Roman" w:hAnsi="Times New Roman" w:cs="Times New Roman"/>
        </w:rPr>
        <w:t xml:space="preserve">FGV/CPS, 2001 Disponível em: </w:t>
      </w:r>
      <w:hyperlink r:id="rId84" w:history="1">
        <w:r w:rsidRPr="009D5154">
          <w:rPr>
            <w:rStyle w:val="Hyperlink"/>
            <w:rFonts w:ascii="Times New Roman" w:hAnsi="Times New Roman" w:cs="Times New Roman"/>
            <w:color w:val="auto"/>
          </w:rPr>
          <w:t>http://www.dpnet.com.br/imagens/2011/05/04/fgvneri.pdf</w:t>
        </w:r>
      </w:hyperlink>
      <w:r w:rsidRPr="009D5154">
        <w:rPr>
          <w:rFonts w:ascii="Times New Roman" w:hAnsi="Times New Roman" w:cs="Times New Roman"/>
        </w:rPr>
        <w:t>. Acesso em: 13 ago. 2013.</w:t>
      </w:r>
    </w:p>
    <w:p w14:paraId="325EE002" w14:textId="77777777" w:rsidR="00A73799" w:rsidRPr="009D5154" w:rsidRDefault="00FE32C3" w:rsidP="009D5154">
      <w:pPr>
        <w:widowControl w:val="0"/>
        <w:autoSpaceDE w:val="0"/>
        <w:autoSpaceDN w:val="0"/>
        <w:adjustRightInd w:val="0"/>
        <w:spacing w:after="240"/>
        <w:rPr>
          <w:rFonts w:ascii="Times New Roman" w:hAnsi="Times New Roman" w:cs="Times New Roman"/>
        </w:rPr>
      </w:pPr>
      <w:r w:rsidRPr="009D5154">
        <w:rPr>
          <w:rFonts w:ascii="Times New Roman" w:hAnsi="Times New Roman" w:cs="Times New Roman"/>
        </w:rPr>
        <w:t>PNUD</w:t>
      </w:r>
      <w:r w:rsidR="00A73799" w:rsidRPr="009D5154">
        <w:rPr>
          <w:rFonts w:ascii="Times New Roman" w:hAnsi="Times New Roman" w:cs="Times New Roman"/>
        </w:rPr>
        <w:t>.</w:t>
      </w:r>
      <w:r w:rsidRPr="009D5154">
        <w:rPr>
          <w:rFonts w:ascii="Times New Roman" w:hAnsi="Times New Roman" w:cs="Times New Roman"/>
        </w:rPr>
        <w:t xml:space="preserve"> Programa das Nações Unidas para o Desenvolvimento. </w:t>
      </w:r>
      <w:r w:rsidRPr="009D5154">
        <w:rPr>
          <w:rFonts w:ascii="Times New Roman" w:hAnsi="Times New Roman" w:cs="Times New Roman"/>
          <w:b/>
        </w:rPr>
        <w:t>Erradicar a extrema pobreza e a fome:</w:t>
      </w:r>
      <w:r w:rsidRPr="009D5154">
        <w:rPr>
          <w:rFonts w:ascii="Times New Roman" w:hAnsi="Times New Roman" w:cs="Times New Roman"/>
        </w:rPr>
        <w:t xml:space="preserve"> os Objetivos de Desenvolvimento do Milênio. Disponível em: &lt; </w:t>
      </w:r>
      <w:hyperlink r:id="rId85" w:history="1">
        <w:r w:rsidRPr="009D5154">
          <w:rPr>
            <w:rStyle w:val="Hyperlink"/>
            <w:rFonts w:ascii="Times New Roman" w:hAnsi="Times New Roman" w:cs="Times New Roman"/>
            <w:color w:val="auto"/>
          </w:rPr>
          <w:t>www.pnud.org.br/ODM1.aspx</w:t>
        </w:r>
      </w:hyperlink>
      <w:r w:rsidRPr="009D5154">
        <w:rPr>
          <w:rFonts w:ascii="Times New Roman" w:hAnsi="Times New Roman" w:cs="Times New Roman"/>
        </w:rPr>
        <w:t xml:space="preserve"> &gt;. Acesso em: </w:t>
      </w:r>
      <w:r w:rsidR="00A97482" w:rsidRPr="009D5154">
        <w:rPr>
          <w:rFonts w:ascii="Times New Roman" w:hAnsi="Times New Roman" w:cs="Times New Roman"/>
        </w:rPr>
        <w:t>07 mai</w:t>
      </w:r>
      <w:r w:rsidRPr="009D5154">
        <w:rPr>
          <w:rFonts w:ascii="Times New Roman" w:hAnsi="Times New Roman" w:cs="Times New Roman"/>
        </w:rPr>
        <w:t>.</w:t>
      </w:r>
      <w:r w:rsidR="00A97482" w:rsidRPr="009D5154">
        <w:rPr>
          <w:rFonts w:ascii="Times New Roman" w:hAnsi="Times New Roman" w:cs="Times New Roman"/>
        </w:rPr>
        <w:t xml:space="preserve"> 2014.</w:t>
      </w:r>
    </w:p>
    <w:p w14:paraId="7CC472C8" w14:textId="77777777" w:rsidR="00C51E33" w:rsidRPr="009D5154" w:rsidRDefault="00C51E33" w:rsidP="009D5154">
      <w:pPr>
        <w:widowControl w:val="0"/>
        <w:autoSpaceDE w:val="0"/>
        <w:autoSpaceDN w:val="0"/>
        <w:adjustRightInd w:val="0"/>
        <w:spacing w:after="240"/>
        <w:rPr>
          <w:rFonts w:ascii="Times New Roman" w:hAnsi="Times New Roman" w:cs="Times New Roman"/>
        </w:rPr>
      </w:pPr>
      <w:r w:rsidRPr="009D5154">
        <w:rPr>
          <w:rFonts w:ascii="Times New Roman" w:hAnsi="Times New Roman" w:cs="Times New Roman"/>
        </w:rPr>
        <w:t xml:space="preserve">REIS, M. C.; RAMOS, L. Escolaridade dos Pais, Desempenho no Mercado de Trabalho e Desigualdade de Rendimentos. </w:t>
      </w:r>
      <w:r w:rsidRPr="009D5154">
        <w:rPr>
          <w:rFonts w:ascii="Times New Roman" w:hAnsi="Times New Roman" w:cs="Times New Roman"/>
          <w:b/>
        </w:rPr>
        <w:t>RBE</w:t>
      </w:r>
      <w:r w:rsidRPr="009D5154">
        <w:rPr>
          <w:rFonts w:ascii="Times New Roman" w:hAnsi="Times New Roman" w:cs="Times New Roman"/>
        </w:rPr>
        <w:t>, Rio de Janeiro, v.65 n.2, p.177-205, abr.-jun. 2011.</w:t>
      </w:r>
    </w:p>
    <w:p w14:paraId="17745C7E" w14:textId="77777777" w:rsidR="00C51E33" w:rsidRPr="009D5154" w:rsidRDefault="00C51E33" w:rsidP="009D5154">
      <w:pPr>
        <w:widowControl w:val="0"/>
        <w:autoSpaceDE w:val="0"/>
        <w:autoSpaceDN w:val="0"/>
        <w:adjustRightInd w:val="0"/>
        <w:spacing w:after="240"/>
        <w:rPr>
          <w:rFonts w:ascii="Times New Roman" w:hAnsi="Times New Roman" w:cs="Times New Roman"/>
        </w:rPr>
      </w:pPr>
      <w:r w:rsidRPr="009D5154">
        <w:rPr>
          <w:rFonts w:ascii="Times New Roman" w:hAnsi="Times New Roman" w:cs="Times New Roman"/>
        </w:rPr>
        <w:t xml:space="preserve">RIBEIRO, R.; NEDER, H. Desigualdade dos rendimentos do trabalho: estudo comparativo </w:t>
      </w:r>
      <w:r w:rsidRPr="009D5154">
        <w:rPr>
          <w:rFonts w:ascii="Times New Roman" w:hAnsi="Times New Roman" w:cs="Times New Roman"/>
        </w:rPr>
        <w:lastRenderedPageBreak/>
        <w:t xml:space="preserve">para as regiões Nordeste e Sudeste do Brasil. </w:t>
      </w:r>
      <w:r w:rsidRPr="009D5154">
        <w:rPr>
          <w:rFonts w:ascii="Times New Roman" w:hAnsi="Times New Roman" w:cs="Times New Roman"/>
          <w:b/>
        </w:rPr>
        <w:t>Revista Análise Econômica</w:t>
      </w:r>
      <w:r w:rsidRPr="009D5154">
        <w:rPr>
          <w:rFonts w:ascii="Times New Roman" w:hAnsi="Times New Roman" w:cs="Times New Roman"/>
        </w:rPr>
        <w:t>, Porto Alegre, ano 24, n.45, p.265-285, mar. 2006.</w:t>
      </w:r>
    </w:p>
    <w:p w14:paraId="660D0EBC" w14:textId="77777777" w:rsidR="007D3FA3" w:rsidRPr="009D5154" w:rsidRDefault="00C51E33" w:rsidP="009D5154">
      <w:pPr>
        <w:widowControl w:val="0"/>
        <w:autoSpaceDE w:val="0"/>
        <w:autoSpaceDN w:val="0"/>
        <w:adjustRightInd w:val="0"/>
        <w:spacing w:after="240"/>
        <w:rPr>
          <w:rFonts w:ascii="Times New Roman" w:hAnsi="Times New Roman" w:cs="Times New Roman"/>
        </w:rPr>
      </w:pPr>
      <w:r w:rsidRPr="009D5154">
        <w:rPr>
          <w:rFonts w:ascii="Times New Roman" w:hAnsi="Times New Roman" w:cs="Times New Roman"/>
        </w:rPr>
        <w:t xml:space="preserve">SOARES, F. V.; SOARES, S.; MEDEIROS, M.; OSÓRIO R.G. </w:t>
      </w:r>
      <w:r w:rsidRPr="009D5154">
        <w:rPr>
          <w:rFonts w:ascii="Times New Roman" w:hAnsi="Times New Roman" w:cs="Times New Roman"/>
          <w:b/>
        </w:rPr>
        <w:t>Programas de transferência de renda no Brasil:</w:t>
      </w:r>
      <w:r w:rsidRPr="009D5154">
        <w:rPr>
          <w:rFonts w:ascii="Times New Roman" w:hAnsi="Times New Roman" w:cs="Times New Roman"/>
        </w:rPr>
        <w:t xml:space="preserve"> impactos sobre a desigualdade. IPEA, Brasília, out. 2006. (texto para discussão n.1228</w:t>
      </w:r>
      <w:r w:rsidR="00ED3950">
        <w:rPr>
          <w:rFonts w:ascii="Times New Roman" w:hAnsi="Times New Roman" w:cs="Times New Roman"/>
        </w:rPr>
        <w:t>).</w:t>
      </w:r>
    </w:p>
    <w:p w14:paraId="1DFB2EA5" w14:textId="77777777" w:rsidR="00AC6918" w:rsidRDefault="00AC6918" w:rsidP="00347B57">
      <w:pPr>
        <w:spacing w:after="120" w:line="360" w:lineRule="auto"/>
        <w:jc w:val="both"/>
        <w:rPr>
          <w:rFonts w:ascii="Times" w:hAnsi="Times" w:cs="Times"/>
          <w:b/>
          <w:sz w:val="16"/>
          <w:szCs w:val="16"/>
        </w:rPr>
      </w:pPr>
    </w:p>
    <w:sectPr w:rsidR="00AC6918" w:rsidSect="00300DD1">
      <w:headerReference w:type="even" r:id="rId86"/>
      <w:headerReference w:type="default" r:id="rId87"/>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8BAB4" w14:textId="77777777" w:rsidR="001D7B40" w:rsidRDefault="001D7B40" w:rsidP="009E35D8">
      <w:r>
        <w:separator/>
      </w:r>
    </w:p>
  </w:endnote>
  <w:endnote w:type="continuationSeparator" w:id="0">
    <w:p w14:paraId="7A18FCC3" w14:textId="77777777" w:rsidR="001D7B40" w:rsidRDefault="001D7B40" w:rsidP="009E3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DF388" w14:textId="77777777" w:rsidR="001D7B40" w:rsidRDefault="001D7B40" w:rsidP="009E35D8">
      <w:r>
        <w:separator/>
      </w:r>
    </w:p>
  </w:footnote>
  <w:footnote w:type="continuationSeparator" w:id="0">
    <w:p w14:paraId="1C8FA804" w14:textId="77777777" w:rsidR="001D7B40" w:rsidRDefault="001D7B40" w:rsidP="009E35D8">
      <w:r>
        <w:continuationSeparator/>
      </w:r>
    </w:p>
  </w:footnote>
  <w:footnote w:id="1">
    <w:p w14:paraId="41908A63" w14:textId="3B15A714" w:rsidR="00E1293D" w:rsidRDefault="00E1293D" w:rsidP="00501BC4">
      <w:pPr>
        <w:pStyle w:val="Textodenotaderodap"/>
        <w:jc w:val="both"/>
      </w:pPr>
      <w:r>
        <w:rPr>
          <w:rStyle w:val="Refdenotaderodap"/>
        </w:rPr>
        <w:footnoteRef/>
      </w:r>
      <w:r>
        <w:t xml:space="preserve"> No Brasil essa metodologia foi utilizada por Ferreira (2003), Neder (2001) e Mariano e Lima (1998), e recentemente por outros pesquisadores.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87658" w14:textId="77777777" w:rsidR="00E1293D" w:rsidRDefault="00E1293D" w:rsidP="005A069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40E4E3" w14:textId="77777777" w:rsidR="00E1293D" w:rsidRDefault="00E1293D" w:rsidP="001C520E">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53FAA" w14:textId="69D731DA" w:rsidR="00E1293D" w:rsidRDefault="00E1293D" w:rsidP="005A069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56497">
      <w:rPr>
        <w:rStyle w:val="Nmerodepgina"/>
        <w:noProof/>
      </w:rPr>
      <w:t>23</w:t>
    </w:r>
    <w:r>
      <w:rPr>
        <w:rStyle w:val="Nmerodepgina"/>
      </w:rPr>
      <w:fldChar w:fldCharType="end"/>
    </w:r>
  </w:p>
  <w:p w14:paraId="058842BD" w14:textId="77777777" w:rsidR="00E1293D" w:rsidRDefault="00E1293D" w:rsidP="001C520E">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C34AC"/>
    <w:multiLevelType w:val="hybridMultilevel"/>
    <w:tmpl w:val="9D5C4C98"/>
    <w:lvl w:ilvl="0" w:tplc="AC0611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pt-BR"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68E"/>
    <w:rsid w:val="000012E4"/>
    <w:rsid w:val="00002042"/>
    <w:rsid w:val="00004986"/>
    <w:rsid w:val="00006B95"/>
    <w:rsid w:val="00010ED8"/>
    <w:rsid w:val="00011B73"/>
    <w:rsid w:val="00013B61"/>
    <w:rsid w:val="00013D45"/>
    <w:rsid w:val="00017472"/>
    <w:rsid w:val="00023777"/>
    <w:rsid w:val="0002469C"/>
    <w:rsid w:val="0002590C"/>
    <w:rsid w:val="00026F87"/>
    <w:rsid w:val="00033BB7"/>
    <w:rsid w:val="0003499D"/>
    <w:rsid w:val="000364C0"/>
    <w:rsid w:val="0004216B"/>
    <w:rsid w:val="000421F9"/>
    <w:rsid w:val="0004416A"/>
    <w:rsid w:val="00046898"/>
    <w:rsid w:val="0005103D"/>
    <w:rsid w:val="0005221F"/>
    <w:rsid w:val="00055C15"/>
    <w:rsid w:val="00055D79"/>
    <w:rsid w:val="000609A3"/>
    <w:rsid w:val="00063167"/>
    <w:rsid w:val="000650EE"/>
    <w:rsid w:val="0006651E"/>
    <w:rsid w:val="00066FBF"/>
    <w:rsid w:val="00067416"/>
    <w:rsid w:val="00070A1E"/>
    <w:rsid w:val="00071421"/>
    <w:rsid w:val="0007433D"/>
    <w:rsid w:val="00075C4D"/>
    <w:rsid w:val="00083122"/>
    <w:rsid w:val="00083901"/>
    <w:rsid w:val="00085C5E"/>
    <w:rsid w:val="000902D2"/>
    <w:rsid w:val="00092452"/>
    <w:rsid w:val="00092E0A"/>
    <w:rsid w:val="0009452E"/>
    <w:rsid w:val="000A09BC"/>
    <w:rsid w:val="000A16F0"/>
    <w:rsid w:val="000B0DCD"/>
    <w:rsid w:val="000B1379"/>
    <w:rsid w:val="000B17F7"/>
    <w:rsid w:val="000B3899"/>
    <w:rsid w:val="000B7C0B"/>
    <w:rsid w:val="000C17EC"/>
    <w:rsid w:val="000C364E"/>
    <w:rsid w:val="000C4E24"/>
    <w:rsid w:val="000C579B"/>
    <w:rsid w:val="000C6676"/>
    <w:rsid w:val="000C6B22"/>
    <w:rsid w:val="000C6F2E"/>
    <w:rsid w:val="000D0582"/>
    <w:rsid w:val="000D173C"/>
    <w:rsid w:val="000D4CE8"/>
    <w:rsid w:val="000D7D1E"/>
    <w:rsid w:val="000E253D"/>
    <w:rsid w:val="000E5FBB"/>
    <w:rsid w:val="000F08A6"/>
    <w:rsid w:val="000F157C"/>
    <w:rsid w:val="000F1B16"/>
    <w:rsid w:val="000F22AE"/>
    <w:rsid w:val="000F31CD"/>
    <w:rsid w:val="000F6C75"/>
    <w:rsid w:val="000F6D23"/>
    <w:rsid w:val="000F6EB8"/>
    <w:rsid w:val="000F7A58"/>
    <w:rsid w:val="00102281"/>
    <w:rsid w:val="0010228C"/>
    <w:rsid w:val="00102DCD"/>
    <w:rsid w:val="00103DBD"/>
    <w:rsid w:val="00104775"/>
    <w:rsid w:val="00104FB4"/>
    <w:rsid w:val="00105C9E"/>
    <w:rsid w:val="00107952"/>
    <w:rsid w:val="00112BD0"/>
    <w:rsid w:val="00113212"/>
    <w:rsid w:val="00117C44"/>
    <w:rsid w:val="00121D83"/>
    <w:rsid w:val="00124729"/>
    <w:rsid w:val="00127FDB"/>
    <w:rsid w:val="001307CB"/>
    <w:rsid w:val="00131F53"/>
    <w:rsid w:val="001322A5"/>
    <w:rsid w:val="00137112"/>
    <w:rsid w:val="001406F5"/>
    <w:rsid w:val="00142041"/>
    <w:rsid w:val="0014231E"/>
    <w:rsid w:val="00144F51"/>
    <w:rsid w:val="00146F56"/>
    <w:rsid w:val="0015027E"/>
    <w:rsid w:val="00150970"/>
    <w:rsid w:val="00152116"/>
    <w:rsid w:val="0015270F"/>
    <w:rsid w:val="001541AC"/>
    <w:rsid w:val="001606C9"/>
    <w:rsid w:val="00160768"/>
    <w:rsid w:val="00162E3D"/>
    <w:rsid w:val="001645EC"/>
    <w:rsid w:val="0016487D"/>
    <w:rsid w:val="00164ECA"/>
    <w:rsid w:val="00165543"/>
    <w:rsid w:val="00165ED4"/>
    <w:rsid w:val="001669F6"/>
    <w:rsid w:val="00167DF1"/>
    <w:rsid w:val="00175178"/>
    <w:rsid w:val="00175A78"/>
    <w:rsid w:val="00176990"/>
    <w:rsid w:val="00176DD7"/>
    <w:rsid w:val="001771A8"/>
    <w:rsid w:val="00182502"/>
    <w:rsid w:val="00183065"/>
    <w:rsid w:val="00184AF6"/>
    <w:rsid w:val="00187FCD"/>
    <w:rsid w:val="00190036"/>
    <w:rsid w:val="00191B0A"/>
    <w:rsid w:val="00191E25"/>
    <w:rsid w:val="0019356C"/>
    <w:rsid w:val="001975E4"/>
    <w:rsid w:val="00197648"/>
    <w:rsid w:val="001A09FD"/>
    <w:rsid w:val="001A166D"/>
    <w:rsid w:val="001A3C17"/>
    <w:rsid w:val="001A4517"/>
    <w:rsid w:val="001A55C2"/>
    <w:rsid w:val="001A5F10"/>
    <w:rsid w:val="001A65FF"/>
    <w:rsid w:val="001A7080"/>
    <w:rsid w:val="001A7703"/>
    <w:rsid w:val="001B4936"/>
    <w:rsid w:val="001C2DED"/>
    <w:rsid w:val="001C324E"/>
    <w:rsid w:val="001C520E"/>
    <w:rsid w:val="001C5946"/>
    <w:rsid w:val="001C64B4"/>
    <w:rsid w:val="001C797E"/>
    <w:rsid w:val="001D0877"/>
    <w:rsid w:val="001D23E8"/>
    <w:rsid w:val="001D4D4E"/>
    <w:rsid w:val="001D6B72"/>
    <w:rsid w:val="001D7B40"/>
    <w:rsid w:val="001E4BBD"/>
    <w:rsid w:val="001E4D6B"/>
    <w:rsid w:val="001F06BA"/>
    <w:rsid w:val="001F1F61"/>
    <w:rsid w:val="001F5193"/>
    <w:rsid w:val="001F5355"/>
    <w:rsid w:val="001F6E92"/>
    <w:rsid w:val="001F7E48"/>
    <w:rsid w:val="002015AB"/>
    <w:rsid w:val="00201BA4"/>
    <w:rsid w:val="00211C1C"/>
    <w:rsid w:val="00217ABC"/>
    <w:rsid w:val="002204F1"/>
    <w:rsid w:val="00222464"/>
    <w:rsid w:val="0022250E"/>
    <w:rsid w:val="00225FFA"/>
    <w:rsid w:val="0023024C"/>
    <w:rsid w:val="00230BDB"/>
    <w:rsid w:val="00230BDD"/>
    <w:rsid w:val="00233AE7"/>
    <w:rsid w:val="00235302"/>
    <w:rsid w:val="00235834"/>
    <w:rsid w:val="00235E2A"/>
    <w:rsid w:val="00236DE5"/>
    <w:rsid w:val="00241D80"/>
    <w:rsid w:val="00243C6D"/>
    <w:rsid w:val="00246B90"/>
    <w:rsid w:val="002475F5"/>
    <w:rsid w:val="002527D4"/>
    <w:rsid w:val="00252DAB"/>
    <w:rsid w:val="00257784"/>
    <w:rsid w:val="00257D07"/>
    <w:rsid w:val="0026342D"/>
    <w:rsid w:val="00270BC2"/>
    <w:rsid w:val="00270D71"/>
    <w:rsid w:val="00272368"/>
    <w:rsid w:val="00272E41"/>
    <w:rsid w:val="00275B1F"/>
    <w:rsid w:val="002776E8"/>
    <w:rsid w:val="00282B85"/>
    <w:rsid w:val="0029267B"/>
    <w:rsid w:val="00292BCA"/>
    <w:rsid w:val="002931F5"/>
    <w:rsid w:val="002944B4"/>
    <w:rsid w:val="00294D3C"/>
    <w:rsid w:val="002962A1"/>
    <w:rsid w:val="002A285F"/>
    <w:rsid w:val="002A548A"/>
    <w:rsid w:val="002B652F"/>
    <w:rsid w:val="002B78DB"/>
    <w:rsid w:val="002C20CA"/>
    <w:rsid w:val="002C2785"/>
    <w:rsid w:val="002C7B83"/>
    <w:rsid w:val="002D1E6A"/>
    <w:rsid w:val="002D3F26"/>
    <w:rsid w:val="002D6471"/>
    <w:rsid w:val="002D66D4"/>
    <w:rsid w:val="002D6F73"/>
    <w:rsid w:val="002D733A"/>
    <w:rsid w:val="002E403F"/>
    <w:rsid w:val="002E6465"/>
    <w:rsid w:val="002F0164"/>
    <w:rsid w:val="002F1581"/>
    <w:rsid w:val="002F295F"/>
    <w:rsid w:val="002F2C57"/>
    <w:rsid w:val="002F5E11"/>
    <w:rsid w:val="002F5FF7"/>
    <w:rsid w:val="002F75AC"/>
    <w:rsid w:val="002F7D5D"/>
    <w:rsid w:val="00300DD1"/>
    <w:rsid w:val="003025C9"/>
    <w:rsid w:val="003026B6"/>
    <w:rsid w:val="003036D8"/>
    <w:rsid w:val="0030419C"/>
    <w:rsid w:val="003079C0"/>
    <w:rsid w:val="00314DA3"/>
    <w:rsid w:val="00315A04"/>
    <w:rsid w:val="00317582"/>
    <w:rsid w:val="0031775A"/>
    <w:rsid w:val="00320318"/>
    <w:rsid w:val="0032539A"/>
    <w:rsid w:val="003258CD"/>
    <w:rsid w:val="0032773F"/>
    <w:rsid w:val="003321DD"/>
    <w:rsid w:val="003335FB"/>
    <w:rsid w:val="00334831"/>
    <w:rsid w:val="0033499F"/>
    <w:rsid w:val="00337D98"/>
    <w:rsid w:val="00341768"/>
    <w:rsid w:val="00343383"/>
    <w:rsid w:val="003434C9"/>
    <w:rsid w:val="00345B5C"/>
    <w:rsid w:val="00345E9C"/>
    <w:rsid w:val="0034763E"/>
    <w:rsid w:val="00347B09"/>
    <w:rsid w:val="00347B57"/>
    <w:rsid w:val="00351273"/>
    <w:rsid w:val="00352D51"/>
    <w:rsid w:val="00352EB9"/>
    <w:rsid w:val="00355723"/>
    <w:rsid w:val="00355951"/>
    <w:rsid w:val="003608C2"/>
    <w:rsid w:val="00361D3C"/>
    <w:rsid w:val="003622FE"/>
    <w:rsid w:val="003625B7"/>
    <w:rsid w:val="0036756E"/>
    <w:rsid w:val="00371FAD"/>
    <w:rsid w:val="00372726"/>
    <w:rsid w:val="00373CA9"/>
    <w:rsid w:val="0037474B"/>
    <w:rsid w:val="003770FA"/>
    <w:rsid w:val="00382591"/>
    <w:rsid w:val="003832AE"/>
    <w:rsid w:val="00383B26"/>
    <w:rsid w:val="0038524D"/>
    <w:rsid w:val="003871A7"/>
    <w:rsid w:val="00387A6E"/>
    <w:rsid w:val="00393C85"/>
    <w:rsid w:val="0039480A"/>
    <w:rsid w:val="00395128"/>
    <w:rsid w:val="00395151"/>
    <w:rsid w:val="0039587C"/>
    <w:rsid w:val="00396D80"/>
    <w:rsid w:val="003A0563"/>
    <w:rsid w:val="003A0B8A"/>
    <w:rsid w:val="003A1CC3"/>
    <w:rsid w:val="003A39AD"/>
    <w:rsid w:val="003A4607"/>
    <w:rsid w:val="003A49C3"/>
    <w:rsid w:val="003A49F3"/>
    <w:rsid w:val="003A7750"/>
    <w:rsid w:val="003A7EC9"/>
    <w:rsid w:val="003B2896"/>
    <w:rsid w:val="003B3055"/>
    <w:rsid w:val="003B3D98"/>
    <w:rsid w:val="003B5543"/>
    <w:rsid w:val="003C0C32"/>
    <w:rsid w:val="003C1A86"/>
    <w:rsid w:val="003C3C3B"/>
    <w:rsid w:val="003C3E0C"/>
    <w:rsid w:val="003C4F75"/>
    <w:rsid w:val="003C6157"/>
    <w:rsid w:val="003C6A87"/>
    <w:rsid w:val="003D0D49"/>
    <w:rsid w:val="003D0E0C"/>
    <w:rsid w:val="003D2472"/>
    <w:rsid w:val="003D2BD7"/>
    <w:rsid w:val="003D3408"/>
    <w:rsid w:val="003D45B7"/>
    <w:rsid w:val="003D520F"/>
    <w:rsid w:val="003D6F0C"/>
    <w:rsid w:val="003D73D2"/>
    <w:rsid w:val="003E2153"/>
    <w:rsid w:val="003E236D"/>
    <w:rsid w:val="003E3578"/>
    <w:rsid w:val="003F0A15"/>
    <w:rsid w:val="003F197D"/>
    <w:rsid w:val="003F1D4C"/>
    <w:rsid w:val="003F4D84"/>
    <w:rsid w:val="003F5CDB"/>
    <w:rsid w:val="003F7E76"/>
    <w:rsid w:val="004002B6"/>
    <w:rsid w:val="0040331F"/>
    <w:rsid w:val="00403DAE"/>
    <w:rsid w:val="00404903"/>
    <w:rsid w:val="004062D5"/>
    <w:rsid w:val="00407B99"/>
    <w:rsid w:val="00407D86"/>
    <w:rsid w:val="00412530"/>
    <w:rsid w:val="004133A9"/>
    <w:rsid w:val="00413D7B"/>
    <w:rsid w:val="00413F83"/>
    <w:rsid w:val="004162E4"/>
    <w:rsid w:val="004219C6"/>
    <w:rsid w:val="00421DB3"/>
    <w:rsid w:val="004250A9"/>
    <w:rsid w:val="00426384"/>
    <w:rsid w:val="00426465"/>
    <w:rsid w:val="004306AB"/>
    <w:rsid w:val="004314DF"/>
    <w:rsid w:val="00431A28"/>
    <w:rsid w:val="00432E56"/>
    <w:rsid w:val="00437CAC"/>
    <w:rsid w:val="004415FF"/>
    <w:rsid w:val="004422D1"/>
    <w:rsid w:val="00446B89"/>
    <w:rsid w:val="00451A09"/>
    <w:rsid w:val="00451F17"/>
    <w:rsid w:val="00452FD8"/>
    <w:rsid w:val="00453FAF"/>
    <w:rsid w:val="004542FA"/>
    <w:rsid w:val="004607C0"/>
    <w:rsid w:val="00460BFC"/>
    <w:rsid w:val="00462A66"/>
    <w:rsid w:val="00462EE4"/>
    <w:rsid w:val="00465932"/>
    <w:rsid w:val="0046717D"/>
    <w:rsid w:val="004723D1"/>
    <w:rsid w:val="004724AC"/>
    <w:rsid w:val="00474797"/>
    <w:rsid w:val="00477DC4"/>
    <w:rsid w:val="00480FC6"/>
    <w:rsid w:val="00481B3C"/>
    <w:rsid w:val="00483374"/>
    <w:rsid w:val="00484DB1"/>
    <w:rsid w:val="00492E9C"/>
    <w:rsid w:val="0049359B"/>
    <w:rsid w:val="00493F1B"/>
    <w:rsid w:val="00494508"/>
    <w:rsid w:val="00495752"/>
    <w:rsid w:val="004A02CC"/>
    <w:rsid w:val="004A2E98"/>
    <w:rsid w:val="004A4546"/>
    <w:rsid w:val="004A5F92"/>
    <w:rsid w:val="004A6EA4"/>
    <w:rsid w:val="004A7DB3"/>
    <w:rsid w:val="004B54E8"/>
    <w:rsid w:val="004C0183"/>
    <w:rsid w:val="004C49B9"/>
    <w:rsid w:val="004C556F"/>
    <w:rsid w:val="004C74DF"/>
    <w:rsid w:val="004D6AA4"/>
    <w:rsid w:val="004E0E3B"/>
    <w:rsid w:val="004E23C8"/>
    <w:rsid w:val="004E481F"/>
    <w:rsid w:val="004E4BA0"/>
    <w:rsid w:val="004E788F"/>
    <w:rsid w:val="004F167B"/>
    <w:rsid w:val="004F2123"/>
    <w:rsid w:val="004F360C"/>
    <w:rsid w:val="004F4283"/>
    <w:rsid w:val="004F496D"/>
    <w:rsid w:val="004F5991"/>
    <w:rsid w:val="004F5FC0"/>
    <w:rsid w:val="00501BC4"/>
    <w:rsid w:val="00504CEE"/>
    <w:rsid w:val="00506DC6"/>
    <w:rsid w:val="005171E0"/>
    <w:rsid w:val="00523F59"/>
    <w:rsid w:val="005265F6"/>
    <w:rsid w:val="00527AF5"/>
    <w:rsid w:val="00527D20"/>
    <w:rsid w:val="00535003"/>
    <w:rsid w:val="005379F5"/>
    <w:rsid w:val="005409A4"/>
    <w:rsid w:val="00540A98"/>
    <w:rsid w:val="00547114"/>
    <w:rsid w:val="00552F3C"/>
    <w:rsid w:val="00555A27"/>
    <w:rsid w:val="00556ACD"/>
    <w:rsid w:val="005576D7"/>
    <w:rsid w:val="0056006E"/>
    <w:rsid w:val="00561AD5"/>
    <w:rsid w:val="00564373"/>
    <w:rsid w:val="0056485D"/>
    <w:rsid w:val="00564F5F"/>
    <w:rsid w:val="00565F16"/>
    <w:rsid w:val="00566104"/>
    <w:rsid w:val="00566D9B"/>
    <w:rsid w:val="00567644"/>
    <w:rsid w:val="00571370"/>
    <w:rsid w:val="00571762"/>
    <w:rsid w:val="00572F06"/>
    <w:rsid w:val="00573277"/>
    <w:rsid w:val="00574173"/>
    <w:rsid w:val="00574279"/>
    <w:rsid w:val="005763EB"/>
    <w:rsid w:val="00581659"/>
    <w:rsid w:val="00581DC2"/>
    <w:rsid w:val="005837B9"/>
    <w:rsid w:val="005863DC"/>
    <w:rsid w:val="00586957"/>
    <w:rsid w:val="0059140C"/>
    <w:rsid w:val="00591513"/>
    <w:rsid w:val="0059361C"/>
    <w:rsid w:val="005940BF"/>
    <w:rsid w:val="0059415F"/>
    <w:rsid w:val="00596606"/>
    <w:rsid w:val="005A069E"/>
    <w:rsid w:val="005A5B3D"/>
    <w:rsid w:val="005B028B"/>
    <w:rsid w:val="005B14C1"/>
    <w:rsid w:val="005B2C45"/>
    <w:rsid w:val="005B3D05"/>
    <w:rsid w:val="005B4436"/>
    <w:rsid w:val="005B5301"/>
    <w:rsid w:val="005B6395"/>
    <w:rsid w:val="005B6CC3"/>
    <w:rsid w:val="005B75C0"/>
    <w:rsid w:val="005C18D7"/>
    <w:rsid w:val="005C406F"/>
    <w:rsid w:val="005C551A"/>
    <w:rsid w:val="005D4A77"/>
    <w:rsid w:val="005D5E12"/>
    <w:rsid w:val="005E087F"/>
    <w:rsid w:val="005E0C20"/>
    <w:rsid w:val="005E2058"/>
    <w:rsid w:val="005E46CC"/>
    <w:rsid w:val="005E50B5"/>
    <w:rsid w:val="005E6845"/>
    <w:rsid w:val="005F070E"/>
    <w:rsid w:val="005F35B5"/>
    <w:rsid w:val="005F612A"/>
    <w:rsid w:val="00602E4D"/>
    <w:rsid w:val="00604BF3"/>
    <w:rsid w:val="00606711"/>
    <w:rsid w:val="00606D9C"/>
    <w:rsid w:val="00607280"/>
    <w:rsid w:val="006077AF"/>
    <w:rsid w:val="00607838"/>
    <w:rsid w:val="006119A1"/>
    <w:rsid w:val="00611DE9"/>
    <w:rsid w:val="0061636A"/>
    <w:rsid w:val="00620031"/>
    <w:rsid w:val="00620B23"/>
    <w:rsid w:val="00622C9E"/>
    <w:rsid w:val="00623F85"/>
    <w:rsid w:val="00626A71"/>
    <w:rsid w:val="00627EFA"/>
    <w:rsid w:val="00633A32"/>
    <w:rsid w:val="00640863"/>
    <w:rsid w:val="0064175E"/>
    <w:rsid w:val="00642F53"/>
    <w:rsid w:val="006432AA"/>
    <w:rsid w:val="006436FA"/>
    <w:rsid w:val="00645990"/>
    <w:rsid w:val="006509D2"/>
    <w:rsid w:val="00651A71"/>
    <w:rsid w:val="00652D7C"/>
    <w:rsid w:val="006535CF"/>
    <w:rsid w:val="006537BF"/>
    <w:rsid w:val="0065403D"/>
    <w:rsid w:val="0066084A"/>
    <w:rsid w:val="00662391"/>
    <w:rsid w:val="00662ABD"/>
    <w:rsid w:val="00665ED2"/>
    <w:rsid w:val="006719E9"/>
    <w:rsid w:val="00671F4E"/>
    <w:rsid w:val="006722ED"/>
    <w:rsid w:val="00673CDF"/>
    <w:rsid w:val="00677958"/>
    <w:rsid w:val="00684A8B"/>
    <w:rsid w:val="00687B06"/>
    <w:rsid w:val="00687E9D"/>
    <w:rsid w:val="006919C9"/>
    <w:rsid w:val="00691DA2"/>
    <w:rsid w:val="0069223F"/>
    <w:rsid w:val="006935A5"/>
    <w:rsid w:val="00696BEB"/>
    <w:rsid w:val="006973D2"/>
    <w:rsid w:val="006A37C4"/>
    <w:rsid w:val="006A675F"/>
    <w:rsid w:val="006A708B"/>
    <w:rsid w:val="006A7CAC"/>
    <w:rsid w:val="006B0862"/>
    <w:rsid w:val="006B11F2"/>
    <w:rsid w:val="006B411C"/>
    <w:rsid w:val="006B4422"/>
    <w:rsid w:val="006B5748"/>
    <w:rsid w:val="006B7CC3"/>
    <w:rsid w:val="006C6168"/>
    <w:rsid w:val="006C799C"/>
    <w:rsid w:val="006D4332"/>
    <w:rsid w:val="006D469A"/>
    <w:rsid w:val="006D4C35"/>
    <w:rsid w:val="006D4DFE"/>
    <w:rsid w:val="006E00D6"/>
    <w:rsid w:val="006E3888"/>
    <w:rsid w:val="006E61B0"/>
    <w:rsid w:val="006E660F"/>
    <w:rsid w:val="006F0070"/>
    <w:rsid w:val="006F6CEF"/>
    <w:rsid w:val="006F707D"/>
    <w:rsid w:val="0070085D"/>
    <w:rsid w:val="00701461"/>
    <w:rsid w:val="00702DF6"/>
    <w:rsid w:val="00711054"/>
    <w:rsid w:val="0071114A"/>
    <w:rsid w:val="007140F0"/>
    <w:rsid w:val="00714283"/>
    <w:rsid w:val="00720383"/>
    <w:rsid w:val="007216EF"/>
    <w:rsid w:val="00724744"/>
    <w:rsid w:val="00724FB5"/>
    <w:rsid w:val="00727223"/>
    <w:rsid w:val="00730967"/>
    <w:rsid w:val="007377A2"/>
    <w:rsid w:val="0074030A"/>
    <w:rsid w:val="00743F28"/>
    <w:rsid w:val="00744C91"/>
    <w:rsid w:val="00744DED"/>
    <w:rsid w:val="007474EA"/>
    <w:rsid w:val="00747611"/>
    <w:rsid w:val="00754612"/>
    <w:rsid w:val="00755597"/>
    <w:rsid w:val="00756145"/>
    <w:rsid w:val="007565E1"/>
    <w:rsid w:val="0075752B"/>
    <w:rsid w:val="00766870"/>
    <w:rsid w:val="007677F6"/>
    <w:rsid w:val="00767AB6"/>
    <w:rsid w:val="00770976"/>
    <w:rsid w:val="00771CB2"/>
    <w:rsid w:val="00776DFA"/>
    <w:rsid w:val="00780E01"/>
    <w:rsid w:val="0078717E"/>
    <w:rsid w:val="0079143C"/>
    <w:rsid w:val="00791D2B"/>
    <w:rsid w:val="007945A9"/>
    <w:rsid w:val="007A053E"/>
    <w:rsid w:val="007A081B"/>
    <w:rsid w:val="007A110E"/>
    <w:rsid w:val="007A1738"/>
    <w:rsid w:val="007A2FC9"/>
    <w:rsid w:val="007A71D5"/>
    <w:rsid w:val="007B0D3A"/>
    <w:rsid w:val="007B1A78"/>
    <w:rsid w:val="007B2EA2"/>
    <w:rsid w:val="007B5905"/>
    <w:rsid w:val="007B686D"/>
    <w:rsid w:val="007C14F0"/>
    <w:rsid w:val="007C238F"/>
    <w:rsid w:val="007C4D92"/>
    <w:rsid w:val="007C5950"/>
    <w:rsid w:val="007C5A21"/>
    <w:rsid w:val="007C5F6F"/>
    <w:rsid w:val="007D160D"/>
    <w:rsid w:val="007D23D7"/>
    <w:rsid w:val="007D2F38"/>
    <w:rsid w:val="007D3B38"/>
    <w:rsid w:val="007D3FA3"/>
    <w:rsid w:val="007D4347"/>
    <w:rsid w:val="007D7984"/>
    <w:rsid w:val="007E038E"/>
    <w:rsid w:val="007E0E9A"/>
    <w:rsid w:val="007E1598"/>
    <w:rsid w:val="007E444A"/>
    <w:rsid w:val="007E7FCD"/>
    <w:rsid w:val="007F0DA8"/>
    <w:rsid w:val="007F0EFC"/>
    <w:rsid w:val="007F6E97"/>
    <w:rsid w:val="00800480"/>
    <w:rsid w:val="00800CBA"/>
    <w:rsid w:val="00803304"/>
    <w:rsid w:val="008036C5"/>
    <w:rsid w:val="00804CAF"/>
    <w:rsid w:val="00813340"/>
    <w:rsid w:val="0081481C"/>
    <w:rsid w:val="008158B2"/>
    <w:rsid w:val="00815EFA"/>
    <w:rsid w:val="00816D41"/>
    <w:rsid w:val="00821930"/>
    <w:rsid w:val="00821972"/>
    <w:rsid w:val="00823D89"/>
    <w:rsid w:val="00824C35"/>
    <w:rsid w:val="00825B23"/>
    <w:rsid w:val="0082607B"/>
    <w:rsid w:val="00826BBB"/>
    <w:rsid w:val="00827F44"/>
    <w:rsid w:val="00832D21"/>
    <w:rsid w:val="00833FBE"/>
    <w:rsid w:val="00836542"/>
    <w:rsid w:val="00837F9C"/>
    <w:rsid w:val="00841050"/>
    <w:rsid w:val="008459E9"/>
    <w:rsid w:val="00845D24"/>
    <w:rsid w:val="008460AF"/>
    <w:rsid w:val="0084660E"/>
    <w:rsid w:val="00847259"/>
    <w:rsid w:val="00852807"/>
    <w:rsid w:val="00852958"/>
    <w:rsid w:val="00852F66"/>
    <w:rsid w:val="00853843"/>
    <w:rsid w:val="00854AFC"/>
    <w:rsid w:val="00855E2A"/>
    <w:rsid w:val="0085676A"/>
    <w:rsid w:val="00860063"/>
    <w:rsid w:val="00863D85"/>
    <w:rsid w:val="00865295"/>
    <w:rsid w:val="00865CD5"/>
    <w:rsid w:val="00866075"/>
    <w:rsid w:val="00870482"/>
    <w:rsid w:val="00873FD5"/>
    <w:rsid w:val="008772A2"/>
    <w:rsid w:val="00880EBF"/>
    <w:rsid w:val="008825FF"/>
    <w:rsid w:val="0088279A"/>
    <w:rsid w:val="00886F5A"/>
    <w:rsid w:val="00891CF0"/>
    <w:rsid w:val="00896DC6"/>
    <w:rsid w:val="008974ED"/>
    <w:rsid w:val="008A0234"/>
    <w:rsid w:val="008A0C57"/>
    <w:rsid w:val="008A29F7"/>
    <w:rsid w:val="008A633C"/>
    <w:rsid w:val="008A658D"/>
    <w:rsid w:val="008B2D2F"/>
    <w:rsid w:val="008B35C7"/>
    <w:rsid w:val="008B48EA"/>
    <w:rsid w:val="008B6671"/>
    <w:rsid w:val="008B70FE"/>
    <w:rsid w:val="008B7A9B"/>
    <w:rsid w:val="008C063E"/>
    <w:rsid w:val="008C0BDC"/>
    <w:rsid w:val="008C0CC6"/>
    <w:rsid w:val="008C146A"/>
    <w:rsid w:val="008C333B"/>
    <w:rsid w:val="008C3F21"/>
    <w:rsid w:val="008C56A9"/>
    <w:rsid w:val="008D0819"/>
    <w:rsid w:val="008D1485"/>
    <w:rsid w:val="008D2485"/>
    <w:rsid w:val="008D5521"/>
    <w:rsid w:val="008D64F0"/>
    <w:rsid w:val="008E5F3C"/>
    <w:rsid w:val="008E779D"/>
    <w:rsid w:val="00902882"/>
    <w:rsid w:val="00902CD5"/>
    <w:rsid w:val="00902D35"/>
    <w:rsid w:val="00903032"/>
    <w:rsid w:val="00903631"/>
    <w:rsid w:val="00904E68"/>
    <w:rsid w:val="009053A4"/>
    <w:rsid w:val="009072FB"/>
    <w:rsid w:val="00907EF4"/>
    <w:rsid w:val="009135BF"/>
    <w:rsid w:val="00913712"/>
    <w:rsid w:val="00914B03"/>
    <w:rsid w:val="00922ED3"/>
    <w:rsid w:val="0092349D"/>
    <w:rsid w:val="00923AA3"/>
    <w:rsid w:val="009309C6"/>
    <w:rsid w:val="00930D3E"/>
    <w:rsid w:val="0093368E"/>
    <w:rsid w:val="00936C07"/>
    <w:rsid w:val="00940AA8"/>
    <w:rsid w:val="0094120C"/>
    <w:rsid w:val="009440F2"/>
    <w:rsid w:val="0094499A"/>
    <w:rsid w:val="009467CB"/>
    <w:rsid w:val="0094747F"/>
    <w:rsid w:val="00952423"/>
    <w:rsid w:val="00952F38"/>
    <w:rsid w:val="009601B2"/>
    <w:rsid w:val="00960B67"/>
    <w:rsid w:val="00960B78"/>
    <w:rsid w:val="0096514B"/>
    <w:rsid w:val="009669A7"/>
    <w:rsid w:val="00966D6F"/>
    <w:rsid w:val="00967E7F"/>
    <w:rsid w:val="009729A5"/>
    <w:rsid w:val="00974BE1"/>
    <w:rsid w:val="00975136"/>
    <w:rsid w:val="009764BC"/>
    <w:rsid w:val="009770E1"/>
    <w:rsid w:val="00982253"/>
    <w:rsid w:val="0098309B"/>
    <w:rsid w:val="009850E9"/>
    <w:rsid w:val="009864DC"/>
    <w:rsid w:val="009869AC"/>
    <w:rsid w:val="00987FCF"/>
    <w:rsid w:val="00992543"/>
    <w:rsid w:val="00992565"/>
    <w:rsid w:val="009927C1"/>
    <w:rsid w:val="009928BE"/>
    <w:rsid w:val="0099398E"/>
    <w:rsid w:val="009942D3"/>
    <w:rsid w:val="00996EC0"/>
    <w:rsid w:val="009A0C4C"/>
    <w:rsid w:val="009A1877"/>
    <w:rsid w:val="009A41B2"/>
    <w:rsid w:val="009A7607"/>
    <w:rsid w:val="009A768B"/>
    <w:rsid w:val="009B03DE"/>
    <w:rsid w:val="009B09EE"/>
    <w:rsid w:val="009B113D"/>
    <w:rsid w:val="009B16A7"/>
    <w:rsid w:val="009B2544"/>
    <w:rsid w:val="009B7A07"/>
    <w:rsid w:val="009C146F"/>
    <w:rsid w:val="009C34DF"/>
    <w:rsid w:val="009C359D"/>
    <w:rsid w:val="009C36C7"/>
    <w:rsid w:val="009C6A02"/>
    <w:rsid w:val="009D22F0"/>
    <w:rsid w:val="009D230C"/>
    <w:rsid w:val="009D3479"/>
    <w:rsid w:val="009D5154"/>
    <w:rsid w:val="009E14CA"/>
    <w:rsid w:val="009E35D8"/>
    <w:rsid w:val="009E500B"/>
    <w:rsid w:val="009F2ED9"/>
    <w:rsid w:val="00A008DF"/>
    <w:rsid w:val="00A01730"/>
    <w:rsid w:val="00A02ECF"/>
    <w:rsid w:val="00A03EFE"/>
    <w:rsid w:val="00A042B6"/>
    <w:rsid w:val="00A07316"/>
    <w:rsid w:val="00A10268"/>
    <w:rsid w:val="00A1244A"/>
    <w:rsid w:val="00A134BF"/>
    <w:rsid w:val="00A20DB2"/>
    <w:rsid w:val="00A21670"/>
    <w:rsid w:val="00A223B9"/>
    <w:rsid w:val="00A257A8"/>
    <w:rsid w:val="00A266B7"/>
    <w:rsid w:val="00A2693E"/>
    <w:rsid w:val="00A2711F"/>
    <w:rsid w:val="00A33D1C"/>
    <w:rsid w:val="00A3455D"/>
    <w:rsid w:val="00A34926"/>
    <w:rsid w:val="00A34E38"/>
    <w:rsid w:val="00A35B84"/>
    <w:rsid w:val="00A35D4E"/>
    <w:rsid w:val="00A421A2"/>
    <w:rsid w:val="00A4393F"/>
    <w:rsid w:val="00A44A0C"/>
    <w:rsid w:val="00A44A93"/>
    <w:rsid w:val="00A46023"/>
    <w:rsid w:val="00A4714A"/>
    <w:rsid w:val="00A524D6"/>
    <w:rsid w:val="00A529F4"/>
    <w:rsid w:val="00A5325E"/>
    <w:rsid w:val="00A54366"/>
    <w:rsid w:val="00A61BBA"/>
    <w:rsid w:val="00A6284A"/>
    <w:rsid w:val="00A63215"/>
    <w:rsid w:val="00A656FB"/>
    <w:rsid w:val="00A67D65"/>
    <w:rsid w:val="00A71E33"/>
    <w:rsid w:val="00A73799"/>
    <w:rsid w:val="00A73C6B"/>
    <w:rsid w:val="00A77CC8"/>
    <w:rsid w:val="00A77E8E"/>
    <w:rsid w:val="00A82307"/>
    <w:rsid w:val="00A82E21"/>
    <w:rsid w:val="00A84A82"/>
    <w:rsid w:val="00A8545B"/>
    <w:rsid w:val="00A86984"/>
    <w:rsid w:val="00A92F97"/>
    <w:rsid w:val="00A93E41"/>
    <w:rsid w:val="00A94944"/>
    <w:rsid w:val="00A97482"/>
    <w:rsid w:val="00AA0C83"/>
    <w:rsid w:val="00AA22E6"/>
    <w:rsid w:val="00AA3268"/>
    <w:rsid w:val="00AA5260"/>
    <w:rsid w:val="00AB054C"/>
    <w:rsid w:val="00AB3368"/>
    <w:rsid w:val="00AB3AEC"/>
    <w:rsid w:val="00AB3C65"/>
    <w:rsid w:val="00AB68AE"/>
    <w:rsid w:val="00AC2026"/>
    <w:rsid w:val="00AC43EB"/>
    <w:rsid w:val="00AC6113"/>
    <w:rsid w:val="00AC6918"/>
    <w:rsid w:val="00AC6932"/>
    <w:rsid w:val="00AC7457"/>
    <w:rsid w:val="00AD6E82"/>
    <w:rsid w:val="00AD7019"/>
    <w:rsid w:val="00AE22B1"/>
    <w:rsid w:val="00AF1A84"/>
    <w:rsid w:val="00AF2234"/>
    <w:rsid w:val="00AF2585"/>
    <w:rsid w:val="00AF27CC"/>
    <w:rsid w:val="00AF29E3"/>
    <w:rsid w:val="00B0365F"/>
    <w:rsid w:val="00B03A7B"/>
    <w:rsid w:val="00B04290"/>
    <w:rsid w:val="00B06093"/>
    <w:rsid w:val="00B12D80"/>
    <w:rsid w:val="00B13A7F"/>
    <w:rsid w:val="00B17103"/>
    <w:rsid w:val="00B21D78"/>
    <w:rsid w:val="00B22CE4"/>
    <w:rsid w:val="00B27CBA"/>
    <w:rsid w:val="00B3009E"/>
    <w:rsid w:val="00B318AB"/>
    <w:rsid w:val="00B323C4"/>
    <w:rsid w:val="00B362AB"/>
    <w:rsid w:val="00B40069"/>
    <w:rsid w:val="00B43167"/>
    <w:rsid w:val="00B46358"/>
    <w:rsid w:val="00B4668E"/>
    <w:rsid w:val="00B4709B"/>
    <w:rsid w:val="00B50ED1"/>
    <w:rsid w:val="00B528BC"/>
    <w:rsid w:val="00B5479F"/>
    <w:rsid w:val="00B55047"/>
    <w:rsid w:val="00B55402"/>
    <w:rsid w:val="00B55AD3"/>
    <w:rsid w:val="00B56C8B"/>
    <w:rsid w:val="00B61B6A"/>
    <w:rsid w:val="00B620D5"/>
    <w:rsid w:val="00B62484"/>
    <w:rsid w:val="00B70C7B"/>
    <w:rsid w:val="00B71F5E"/>
    <w:rsid w:val="00B720E9"/>
    <w:rsid w:val="00B72DF2"/>
    <w:rsid w:val="00B776DD"/>
    <w:rsid w:val="00B80D70"/>
    <w:rsid w:val="00B82DFB"/>
    <w:rsid w:val="00B83AEE"/>
    <w:rsid w:val="00B90B78"/>
    <w:rsid w:val="00B92191"/>
    <w:rsid w:val="00B94199"/>
    <w:rsid w:val="00B96766"/>
    <w:rsid w:val="00BA0587"/>
    <w:rsid w:val="00BA05DE"/>
    <w:rsid w:val="00BA0712"/>
    <w:rsid w:val="00BA771D"/>
    <w:rsid w:val="00BB210E"/>
    <w:rsid w:val="00BB2E7E"/>
    <w:rsid w:val="00BB3F98"/>
    <w:rsid w:val="00BB63BF"/>
    <w:rsid w:val="00BB6DD3"/>
    <w:rsid w:val="00BC0E13"/>
    <w:rsid w:val="00BC4760"/>
    <w:rsid w:val="00BC4D67"/>
    <w:rsid w:val="00BC4DE6"/>
    <w:rsid w:val="00BC54AD"/>
    <w:rsid w:val="00BC6FCD"/>
    <w:rsid w:val="00BD18B8"/>
    <w:rsid w:val="00BD4734"/>
    <w:rsid w:val="00BE1E6F"/>
    <w:rsid w:val="00BE37D7"/>
    <w:rsid w:val="00BE5386"/>
    <w:rsid w:val="00BE550E"/>
    <w:rsid w:val="00BE6346"/>
    <w:rsid w:val="00BE6DFE"/>
    <w:rsid w:val="00BF06E2"/>
    <w:rsid w:val="00BF3BDB"/>
    <w:rsid w:val="00BF4894"/>
    <w:rsid w:val="00BF4C1A"/>
    <w:rsid w:val="00C0069C"/>
    <w:rsid w:val="00C02383"/>
    <w:rsid w:val="00C05DBE"/>
    <w:rsid w:val="00C134B6"/>
    <w:rsid w:val="00C13D8B"/>
    <w:rsid w:val="00C23D58"/>
    <w:rsid w:val="00C264B6"/>
    <w:rsid w:val="00C31F8A"/>
    <w:rsid w:val="00C32DE7"/>
    <w:rsid w:val="00C336E6"/>
    <w:rsid w:val="00C340F8"/>
    <w:rsid w:val="00C371FD"/>
    <w:rsid w:val="00C43605"/>
    <w:rsid w:val="00C45CA0"/>
    <w:rsid w:val="00C45D38"/>
    <w:rsid w:val="00C4614B"/>
    <w:rsid w:val="00C51E33"/>
    <w:rsid w:val="00C53B43"/>
    <w:rsid w:val="00C56497"/>
    <w:rsid w:val="00C57698"/>
    <w:rsid w:val="00C60470"/>
    <w:rsid w:val="00C60D9E"/>
    <w:rsid w:val="00C66136"/>
    <w:rsid w:val="00C72D48"/>
    <w:rsid w:val="00C762AB"/>
    <w:rsid w:val="00C76E36"/>
    <w:rsid w:val="00C7788B"/>
    <w:rsid w:val="00C80231"/>
    <w:rsid w:val="00C80826"/>
    <w:rsid w:val="00C811AE"/>
    <w:rsid w:val="00C81445"/>
    <w:rsid w:val="00C81E3E"/>
    <w:rsid w:val="00C83A5F"/>
    <w:rsid w:val="00C90F2E"/>
    <w:rsid w:val="00C91B49"/>
    <w:rsid w:val="00C93853"/>
    <w:rsid w:val="00C940B1"/>
    <w:rsid w:val="00C94172"/>
    <w:rsid w:val="00C95089"/>
    <w:rsid w:val="00C96C0F"/>
    <w:rsid w:val="00CA0AC0"/>
    <w:rsid w:val="00CA26B8"/>
    <w:rsid w:val="00CA312B"/>
    <w:rsid w:val="00CB0719"/>
    <w:rsid w:val="00CB104F"/>
    <w:rsid w:val="00CB17E5"/>
    <w:rsid w:val="00CB1BCC"/>
    <w:rsid w:val="00CB1F12"/>
    <w:rsid w:val="00CB55E6"/>
    <w:rsid w:val="00CB65E5"/>
    <w:rsid w:val="00CB70E2"/>
    <w:rsid w:val="00CC1702"/>
    <w:rsid w:val="00CC176B"/>
    <w:rsid w:val="00CC2EAD"/>
    <w:rsid w:val="00CC3DEE"/>
    <w:rsid w:val="00CC5563"/>
    <w:rsid w:val="00CC671E"/>
    <w:rsid w:val="00CC7607"/>
    <w:rsid w:val="00CD26CE"/>
    <w:rsid w:val="00CD3918"/>
    <w:rsid w:val="00CD5666"/>
    <w:rsid w:val="00CD682E"/>
    <w:rsid w:val="00CE0CBF"/>
    <w:rsid w:val="00CE19AF"/>
    <w:rsid w:val="00CE263A"/>
    <w:rsid w:val="00CE4BD2"/>
    <w:rsid w:val="00CE5F34"/>
    <w:rsid w:val="00CE7660"/>
    <w:rsid w:val="00CE79B0"/>
    <w:rsid w:val="00CF47A7"/>
    <w:rsid w:val="00CF5443"/>
    <w:rsid w:val="00CF5DCF"/>
    <w:rsid w:val="00CF6698"/>
    <w:rsid w:val="00CF689F"/>
    <w:rsid w:val="00CF73C4"/>
    <w:rsid w:val="00CF7553"/>
    <w:rsid w:val="00CF7838"/>
    <w:rsid w:val="00D00879"/>
    <w:rsid w:val="00D023FD"/>
    <w:rsid w:val="00D024F9"/>
    <w:rsid w:val="00D05439"/>
    <w:rsid w:val="00D06079"/>
    <w:rsid w:val="00D12ED6"/>
    <w:rsid w:val="00D1353F"/>
    <w:rsid w:val="00D14B2D"/>
    <w:rsid w:val="00D1507A"/>
    <w:rsid w:val="00D16297"/>
    <w:rsid w:val="00D178BF"/>
    <w:rsid w:val="00D1792D"/>
    <w:rsid w:val="00D200E7"/>
    <w:rsid w:val="00D20F4B"/>
    <w:rsid w:val="00D24213"/>
    <w:rsid w:val="00D244D9"/>
    <w:rsid w:val="00D2479F"/>
    <w:rsid w:val="00D30473"/>
    <w:rsid w:val="00D32176"/>
    <w:rsid w:val="00D3227C"/>
    <w:rsid w:val="00D33A57"/>
    <w:rsid w:val="00D37636"/>
    <w:rsid w:val="00D37826"/>
    <w:rsid w:val="00D411C2"/>
    <w:rsid w:val="00D4272E"/>
    <w:rsid w:val="00D42A5C"/>
    <w:rsid w:val="00D47323"/>
    <w:rsid w:val="00D53E92"/>
    <w:rsid w:val="00D55382"/>
    <w:rsid w:val="00D562E6"/>
    <w:rsid w:val="00D56354"/>
    <w:rsid w:val="00D569EF"/>
    <w:rsid w:val="00D57B39"/>
    <w:rsid w:val="00D60843"/>
    <w:rsid w:val="00D62E25"/>
    <w:rsid w:val="00D63C15"/>
    <w:rsid w:val="00D63CBB"/>
    <w:rsid w:val="00D65F8B"/>
    <w:rsid w:val="00D7014D"/>
    <w:rsid w:val="00D712BE"/>
    <w:rsid w:val="00D717BB"/>
    <w:rsid w:val="00D727AD"/>
    <w:rsid w:val="00D75657"/>
    <w:rsid w:val="00D7599C"/>
    <w:rsid w:val="00D75D1E"/>
    <w:rsid w:val="00D76AC6"/>
    <w:rsid w:val="00D804F1"/>
    <w:rsid w:val="00D80BD3"/>
    <w:rsid w:val="00D81A6B"/>
    <w:rsid w:val="00D82E94"/>
    <w:rsid w:val="00D84358"/>
    <w:rsid w:val="00D85EF3"/>
    <w:rsid w:val="00D875A4"/>
    <w:rsid w:val="00D87A34"/>
    <w:rsid w:val="00D97BCD"/>
    <w:rsid w:val="00DA0D99"/>
    <w:rsid w:val="00DA20DD"/>
    <w:rsid w:val="00DA4742"/>
    <w:rsid w:val="00DA5F3C"/>
    <w:rsid w:val="00DA68BC"/>
    <w:rsid w:val="00DB03DF"/>
    <w:rsid w:val="00DB42B3"/>
    <w:rsid w:val="00DB7487"/>
    <w:rsid w:val="00DC15AE"/>
    <w:rsid w:val="00DC2223"/>
    <w:rsid w:val="00DD0BA6"/>
    <w:rsid w:val="00DD203E"/>
    <w:rsid w:val="00DD40E0"/>
    <w:rsid w:val="00DD53F2"/>
    <w:rsid w:val="00DD7687"/>
    <w:rsid w:val="00DE3131"/>
    <w:rsid w:val="00DE36D6"/>
    <w:rsid w:val="00DE4847"/>
    <w:rsid w:val="00DE7E1A"/>
    <w:rsid w:val="00DF19AB"/>
    <w:rsid w:val="00DF3785"/>
    <w:rsid w:val="00DF6F45"/>
    <w:rsid w:val="00E00E67"/>
    <w:rsid w:val="00E01536"/>
    <w:rsid w:val="00E05D8E"/>
    <w:rsid w:val="00E06FE7"/>
    <w:rsid w:val="00E072F5"/>
    <w:rsid w:val="00E1293D"/>
    <w:rsid w:val="00E134FF"/>
    <w:rsid w:val="00E15770"/>
    <w:rsid w:val="00E22667"/>
    <w:rsid w:val="00E23CB5"/>
    <w:rsid w:val="00E24F54"/>
    <w:rsid w:val="00E276F8"/>
    <w:rsid w:val="00E30501"/>
    <w:rsid w:val="00E315FF"/>
    <w:rsid w:val="00E32BDF"/>
    <w:rsid w:val="00E33B47"/>
    <w:rsid w:val="00E34605"/>
    <w:rsid w:val="00E347A1"/>
    <w:rsid w:val="00E34A58"/>
    <w:rsid w:val="00E35163"/>
    <w:rsid w:val="00E3698F"/>
    <w:rsid w:val="00E40325"/>
    <w:rsid w:val="00E41550"/>
    <w:rsid w:val="00E427BD"/>
    <w:rsid w:val="00E45322"/>
    <w:rsid w:val="00E45A42"/>
    <w:rsid w:val="00E46032"/>
    <w:rsid w:val="00E47EF0"/>
    <w:rsid w:val="00E50BBE"/>
    <w:rsid w:val="00E5273F"/>
    <w:rsid w:val="00E56E1B"/>
    <w:rsid w:val="00E65D36"/>
    <w:rsid w:val="00E66F70"/>
    <w:rsid w:val="00E6733C"/>
    <w:rsid w:val="00E67C89"/>
    <w:rsid w:val="00E76C18"/>
    <w:rsid w:val="00E80211"/>
    <w:rsid w:val="00E816E8"/>
    <w:rsid w:val="00E860A6"/>
    <w:rsid w:val="00E935BD"/>
    <w:rsid w:val="00E93EA4"/>
    <w:rsid w:val="00E94091"/>
    <w:rsid w:val="00E942B6"/>
    <w:rsid w:val="00E94ECF"/>
    <w:rsid w:val="00E9636F"/>
    <w:rsid w:val="00E96BAF"/>
    <w:rsid w:val="00EA1A02"/>
    <w:rsid w:val="00EA2BA7"/>
    <w:rsid w:val="00EA3044"/>
    <w:rsid w:val="00EA529A"/>
    <w:rsid w:val="00EA5F99"/>
    <w:rsid w:val="00EB11E6"/>
    <w:rsid w:val="00EB393D"/>
    <w:rsid w:val="00EC1E4F"/>
    <w:rsid w:val="00EC3AA3"/>
    <w:rsid w:val="00EC3E2F"/>
    <w:rsid w:val="00EC4063"/>
    <w:rsid w:val="00EC4C5D"/>
    <w:rsid w:val="00EC518D"/>
    <w:rsid w:val="00EC523C"/>
    <w:rsid w:val="00EC584A"/>
    <w:rsid w:val="00EC6615"/>
    <w:rsid w:val="00ED0A37"/>
    <w:rsid w:val="00ED0C5B"/>
    <w:rsid w:val="00ED3950"/>
    <w:rsid w:val="00EE2E0D"/>
    <w:rsid w:val="00EE32A6"/>
    <w:rsid w:val="00EE5023"/>
    <w:rsid w:val="00EE5A4F"/>
    <w:rsid w:val="00EE6E93"/>
    <w:rsid w:val="00EF497F"/>
    <w:rsid w:val="00EF63DB"/>
    <w:rsid w:val="00EF7051"/>
    <w:rsid w:val="00EF7872"/>
    <w:rsid w:val="00F03AE5"/>
    <w:rsid w:val="00F067EE"/>
    <w:rsid w:val="00F10A0C"/>
    <w:rsid w:val="00F1143B"/>
    <w:rsid w:val="00F119B1"/>
    <w:rsid w:val="00F1445A"/>
    <w:rsid w:val="00F16B10"/>
    <w:rsid w:val="00F20790"/>
    <w:rsid w:val="00F21AD8"/>
    <w:rsid w:val="00F24F4E"/>
    <w:rsid w:val="00F25A4C"/>
    <w:rsid w:val="00F32C5A"/>
    <w:rsid w:val="00F334FA"/>
    <w:rsid w:val="00F3474A"/>
    <w:rsid w:val="00F3514A"/>
    <w:rsid w:val="00F35354"/>
    <w:rsid w:val="00F37656"/>
    <w:rsid w:val="00F43F14"/>
    <w:rsid w:val="00F44351"/>
    <w:rsid w:val="00F4601F"/>
    <w:rsid w:val="00F46A48"/>
    <w:rsid w:val="00F55878"/>
    <w:rsid w:val="00F55949"/>
    <w:rsid w:val="00F55AD3"/>
    <w:rsid w:val="00F602F0"/>
    <w:rsid w:val="00F61000"/>
    <w:rsid w:val="00F62D39"/>
    <w:rsid w:val="00F6359D"/>
    <w:rsid w:val="00F73219"/>
    <w:rsid w:val="00F800FB"/>
    <w:rsid w:val="00F802A5"/>
    <w:rsid w:val="00F84272"/>
    <w:rsid w:val="00F937FD"/>
    <w:rsid w:val="00F94060"/>
    <w:rsid w:val="00F9641C"/>
    <w:rsid w:val="00F97481"/>
    <w:rsid w:val="00FA0618"/>
    <w:rsid w:val="00FA0BBD"/>
    <w:rsid w:val="00FA2559"/>
    <w:rsid w:val="00FA36A8"/>
    <w:rsid w:val="00FA3E39"/>
    <w:rsid w:val="00FA60D9"/>
    <w:rsid w:val="00FA721A"/>
    <w:rsid w:val="00FB1B0C"/>
    <w:rsid w:val="00FB36BB"/>
    <w:rsid w:val="00FB74AE"/>
    <w:rsid w:val="00FC0B25"/>
    <w:rsid w:val="00FC14BB"/>
    <w:rsid w:val="00FC2193"/>
    <w:rsid w:val="00FC6649"/>
    <w:rsid w:val="00FD07DA"/>
    <w:rsid w:val="00FD1E12"/>
    <w:rsid w:val="00FE189E"/>
    <w:rsid w:val="00FE32C3"/>
    <w:rsid w:val="00FE330F"/>
    <w:rsid w:val="00FE36B3"/>
    <w:rsid w:val="00FE4F6E"/>
    <w:rsid w:val="00FE569F"/>
    <w:rsid w:val="00FE7713"/>
    <w:rsid w:val="00FE77C4"/>
    <w:rsid w:val="00FF012B"/>
    <w:rsid w:val="00FF0EFC"/>
    <w:rsid w:val="00FF390D"/>
    <w:rsid w:val="00FF4AB9"/>
    <w:rsid w:val="00FF595C"/>
    <w:rsid w:val="00FF72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05AB3D97"/>
  <w15:docId w15:val="{878110E4-E015-400A-A04D-5CC9684E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4668E"/>
  </w:style>
  <w:style w:type="paragraph" w:styleId="Ttulo2">
    <w:name w:val="heading 2"/>
    <w:basedOn w:val="Normal"/>
    <w:next w:val="Normal"/>
    <w:link w:val="Ttulo2Char"/>
    <w:uiPriority w:val="9"/>
    <w:qFormat/>
    <w:rsid w:val="00F334FA"/>
    <w:pPr>
      <w:keepNext/>
      <w:keepLines/>
      <w:spacing w:after="120" w:line="300" w:lineRule="auto"/>
      <w:outlineLvl w:val="1"/>
    </w:pPr>
    <w:rPr>
      <w:rFonts w:ascii="Times New Roman" w:eastAsia="Times New Roman" w:hAnsi="Times New Roman" w:cs="Times New Roman"/>
      <w:bCs/>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B46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B4668E"/>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B4668E"/>
    <w:rPr>
      <w:rFonts w:ascii="Lucida Grande" w:hAnsi="Lucida Grande" w:cs="Lucida Grande"/>
      <w:sz w:val="18"/>
      <w:szCs w:val="18"/>
    </w:rPr>
  </w:style>
  <w:style w:type="table" w:styleId="SombreamentoClaro">
    <w:name w:val="Light Shading"/>
    <w:basedOn w:val="Tabelanormal"/>
    <w:uiPriority w:val="60"/>
    <w:rsid w:val="005379F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Fontepargpadro"/>
    <w:uiPriority w:val="99"/>
    <w:unhideWhenUsed/>
    <w:rsid w:val="0014231E"/>
    <w:rPr>
      <w:color w:val="0000FF" w:themeColor="hyperlink"/>
      <w:u w:val="single"/>
    </w:rPr>
  </w:style>
  <w:style w:type="character" w:styleId="Refdecomentrio">
    <w:name w:val="annotation reference"/>
    <w:basedOn w:val="Fontepargpadro"/>
    <w:uiPriority w:val="99"/>
    <w:semiHidden/>
    <w:unhideWhenUsed/>
    <w:rsid w:val="006F0070"/>
    <w:rPr>
      <w:sz w:val="16"/>
      <w:szCs w:val="16"/>
    </w:rPr>
  </w:style>
  <w:style w:type="paragraph" w:styleId="Textodecomentrio">
    <w:name w:val="annotation text"/>
    <w:basedOn w:val="Normal"/>
    <w:link w:val="TextodecomentrioChar"/>
    <w:uiPriority w:val="99"/>
    <w:semiHidden/>
    <w:unhideWhenUsed/>
    <w:rsid w:val="006F0070"/>
    <w:rPr>
      <w:sz w:val="20"/>
      <w:szCs w:val="20"/>
    </w:rPr>
  </w:style>
  <w:style w:type="character" w:customStyle="1" w:styleId="TextodecomentrioChar">
    <w:name w:val="Texto de comentário Char"/>
    <w:basedOn w:val="Fontepargpadro"/>
    <w:link w:val="Textodecomentrio"/>
    <w:uiPriority w:val="99"/>
    <w:semiHidden/>
    <w:rsid w:val="006F0070"/>
    <w:rPr>
      <w:sz w:val="20"/>
      <w:szCs w:val="20"/>
    </w:rPr>
  </w:style>
  <w:style w:type="paragraph" w:styleId="Assuntodocomentrio">
    <w:name w:val="annotation subject"/>
    <w:basedOn w:val="Textodecomentrio"/>
    <w:next w:val="Textodecomentrio"/>
    <w:link w:val="AssuntodocomentrioChar"/>
    <w:uiPriority w:val="99"/>
    <w:semiHidden/>
    <w:unhideWhenUsed/>
    <w:rsid w:val="006F0070"/>
    <w:rPr>
      <w:b/>
      <w:bCs/>
    </w:rPr>
  </w:style>
  <w:style w:type="character" w:customStyle="1" w:styleId="AssuntodocomentrioChar">
    <w:name w:val="Assunto do comentário Char"/>
    <w:basedOn w:val="TextodecomentrioChar"/>
    <w:link w:val="Assuntodocomentrio"/>
    <w:uiPriority w:val="99"/>
    <w:semiHidden/>
    <w:rsid w:val="006F0070"/>
    <w:rPr>
      <w:b/>
      <w:bCs/>
      <w:sz w:val="20"/>
      <w:szCs w:val="20"/>
    </w:rPr>
  </w:style>
  <w:style w:type="character" w:styleId="HiperlinkVisitado">
    <w:name w:val="FollowedHyperlink"/>
    <w:basedOn w:val="Fontepargpadro"/>
    <w:uiPriority w:val="99"/>
    <w:semiHidden/>
    <w:unhideWhenUsed/>
    <w:rsid w:val="00E06FE7"/>
    <w:rPr>
      <w:color w:val="800080" w:themeColor="followedHyperlink"/>
      <w:u w:val="single"/>
    </w:rPr>
  </w:style>
  <w:style w:type="paragraph" w:styleId="PargrafodaLista">
    <w:name w:val="List Paragraph"/>
    <w:basedOn w:val="Normal"/>
    <w:uiPriority w:val="34"/>
    <w:qFormat/>
    <w:rsid w:val="006A37C4"/>
    <w:pPr>
      <w:ind w:left="720"/>
      <w:contextualSpacing/>
    </w:pPr>
  </w:style>
  <w:style w:type="paragraph" w:styleId="Cabealho">
    <w:name w:val="header"/>
    <w:basedOn w:val="Normal"/>
    <w:link w:val="CabealhoChar"/>
    <w:uiPriority w:val="99"/>
    <w:unhideWhenUsed/>
    <w:rsid w:val="009E35D8"/>
    <w:pPr>
      <w:tabs>
        <w:tab w:val="center" w:pos="4320"/>
        <w:tab w:val="right" w:pos="8640"/>
      </w:tabs>
    </w:pPr>
  </w:style>
  <w:style w:type="character" w:customStyle="1" w:styleId="CabealhoChar">
    <w:name w:val="Cabeçalho Char"/>
    <w:basedOn w:val="Fontepargpadro"/>
    <w:link w:val="Cabealho"/>
    <w:uiPriority w:val="99"/>
    <w:rsid w:val="009E35D8"/>
  </w:style>
  <w:style w:type="paragraph" w:styleId="Rodap">
    <w:name w:val="footer"/>
    <w:basedOn w:val="Normal"/>
    <w:link w:val="RodapChar"/>
    <w:uiPriority w:val="99"/>
    <w:unhideWhenUsed/>
    <w:rsid w:val="009E35D8"/>
    <w:pPr>
      <w:tabs>
        <w:tab w:val="center" w:pos="4320"/>
        <w:tab w:val="right" w:pos="8640"/>
      </w:tabs>
    </w:pPr>
  </w:style>
  <w:style w:type="character" w:customStyle="1" w:styleId="RodapChar">
    <w:name w:val="Rodapé Char"/>
    <w:basedOn w:val="Fontepargpadro"/>
    <w:link w:val="Rodap"/>
    <w:uiPriority w:val="99"/>
    <w:rsid w:val="009E35D8"/>
  </w:style>
  <w:style w:type="table" w:styleId="SombreamentoClaro-nfase1">
    <w:name w:val="Light Shading Accent 1"/>
    <w:basedOn w:val="Tabelanormal"/>
    <w:uiPriority w:val="60"/>
    <w:rsid w:val="005E205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Claro-nfase4">
    <w:name w:val="Light Shading Accent 4"/>
    <w:basedOn w:val="Tabelanormal"/>
    <w:uiPriority w:val="60"/>
    <w:rsid w:val="005E205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Normaljustificado">
    <w:name w:val="Normal justificado"/>
    <w:basedOn w:val="Normal"/>
    <w:rsid w:val="008B7A9B"/>
    <w:pPr>
      <w:autoSpaceDE w:val="0"/>
      <w:autoSpaceDN w:val="0"/>
      <w:jc w:val="both"/>
    </w:pPr>
    <w:rPr>
      <w:rFonts w:ascii="Times New Roman" w:eastAsia="Times New Roman" w:hAnsi="Times New Roman" w:cs="Times New Roman"/>
      <w:sz w:val="22"/>
      <w:szCs w:val="20"/>
      <w:lang w:eastAsia="pt-BR"/>
    </w:rPr>
  </w:style>
  <w:style w:type="character" w:customStyle="1" w:styleId="Ttulo2Char">
    <w:name w:val="Título 2 Char"/>
    <w:basedOn w:val="Fontepargpadro"/>
    <w:link w:val="Ttulo2"/>
    <w:uiPriority w:val="9"/>
    <w:rsid w:val="00F334FA"/>
    <w:rPr>
      <w:rFonts w:ascii="Times New Roman" w:eastAsia="Times New Roman" w:hAnsi="Times New Roman" w:cs="Times New Roman"/>
      <w:bCs/>
      <w:szCs w:val="26"/>
    </w:rPr>
  </w:style>
  <w:style w:type="paragraph" w:customStyle="1" w:styleId="Pargrafo">
    <w:name w:val="Parágrafo"/>
    <w:basedOn w:val="Normal"/>
    <w:rsid w:val="00F334FA"/>
    <w:pPr>
      <w:widowControl w:val="0"/>
      <w:tabs>
        <w:tab w:val="left" w:pos="1701"/>
      </w:tabs>
      <w:spacing w:line="360" w:lineRule="auto"/>
      <w:ind w:firstLine="1701"/>
      <w:jc w:val="both"/>
    </w:pPr>
    <w:rPr>
      <w:rFonts w:ascii="Arial" w:eastAsia="Times New Roman" w:hAnsi="Arial" w:cs="Times New Roman"/>
      <w:snapToGrid w:val="0"/>
      <w:szCs w:val="20"/>
      <w:lang w:eastAsia="pt-BR"/>
    </w:rPr>
  </w:style>
  <w:style w:type="paragraph" w:styleId="Textodenotaderodap">
    <w:name w:val="footnote text"/>
    <w:basedOn w:val="Normal"/>
    <w:link w:val="TextodenotaderodapChar"/>
    <w:unhideWhenUsed/>
    <w:rsid w:val="0082607B"/>
    <w:rPr>
      <w:sz w:val="20"/>
      <w:szCs w:val="20"/>
    </w:rPr>
  </w:style>
  <w:style w:type="character" w:customStyle="1" w:styleId="TextodenotaderodapChar">
    <w:name w:val="Texto de nota de rodapé Char"/>
    <w:basedOn w:val="Fontepargpadro"/>
    <w:link w:val="Textodenotaderodap"/>
    <w:uiPriority w:val="99"/>
    <w:rsid w:val="0082607B"/>
    <w:rPr>
      <w:sz w:val="20"/>
      <w:szCs w:val="20"/>
    </w:rPr>
  </w:style>
  <w:style w:type="character" w:styleId="Refdenotaderodap">
    <w:name w:val="footnote reference"/>
    <w:basedOn w:val="Fontepargpadro"/>
    <w:unhideWhenUsed/>
    <w:rsid w:val="0082607B"/>
    <w:rPr>
      <w:vertAlign w:val="superscript"/>
    </w:rPr>
  </w:style>
  <w:style w:type="paragraph" w:styleId="Textodenotadefim">
    <w:name w:val="endnote text"/>
    <w:basedOn w:val="Normal"/>
    <w:link w:val="TextodenotadefimChar"/>
    <w:uiPriority w:val="99"/>
    <w:semiHidden/>
    <w:unhideWhenUsed/>
    <w:rsid w:val="00BB63BF"/>
    <w:rPr>
      <w:sz w:val="20"/>
      <w:szCs w:val="20"/>
    </w:rPr>
  </w:style>
  <w:style w:type="character" w:customStyle="1" w:styleId="TextodenotadefimChar">
    <w:name w:val="Texto de nota de fim Char"/>
    <w:basedOn w:val="Fontepargpadro"/>
    <w:link w:val="Textodenotadefim"/>
    <w:uiPriority w:val="99"/>
    <w:semiHidden/>
    <w:rsid w:val="00BB63BF"/>
    <w:rPr>
      <w:sz w:val="20"/>
      <w:szCs w:val="20"/>
    </w:rPr>
  </w:style>
  <w:style w:type="character" w:styleId="Refdenotadefim">
    <w:name w:val="endnote reference"/>
    <w:basedOn w:val="Fontepargpadro"/>
    <w:uiPriority w:val="99"/>
    <w:semiHidden/>
    <w:unhideWhenUsed/>
    <w:rsid w:val="00BB63BF"/>
    <w:rPr>
      <w:vertAlign w:val="superscript"/>
    </w:rPr>
  </w:style>
  <w:style w:type="character" w:styleId="Nmerodepgina">
    <w:name w:val="page number"/>
    <w:basedOn w:val="Fontepargpadro"/>
    <w:uiPriority w:val="99"/>
    <w:semiHidden/>
    <w:unhideWhenUsed/>
    <w:rsid w:val="001C5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62978">
      <w:bodyDiv w:val="1"/>
      <w:marLeft w:val="0"/>
      <w:marRight w:val="0"/>
      <w:marTop w:val="0"/>
      <w:marBottom w:val="0"/>
      <w:divBdr>
        <w:top w:val="none" w:sz="0" w:space="0" w:color="auto"/>
        <w:left w:val="none" w:sz="0" w:space="0" w:color="auto"/>
        <w:bottom w:val="none" w:sz="0" w:space="0" w:color="auto"/>
        <w:right w:val="none" w:sz="0" w:space="0" w:color="auto"/>
      </w:divBdr>
    </w:div>
    <w:div w:id="122164645">
      <w:bodyDiv w:val="1"/>
      <w:marLeft w:val="0"/>
      <w:marRight w:val="0"/>
      <w:marTop w:val="0"/>
      <w:marBottom w:val="0"/>
      <w:divBdr>
        <w:top w:val="none" w:sz="0" w:space="0" w:color="auto"/>
        <w:left w:val="none" w:sz="0" w:space="0" w:color="auto"/>
        <w:bottom w:val="none" w:sz="0" w:space="0" w:color="auto"/>
        <w:right w:val="none" w:sz="0" w:space="0" w:color="auto"/>
      </w:divBdr>
    </w:div>
    <w:div w:id="269320116">
      <w:bodyDiv w:val="1"/>
      <w:marLeft w:val="0"/>
      <w:marRight w:val="0"/>
      <w:marTop w:val="0"/>
      <w:marBottom w:val="0"/>
      <w:divBdr>
        <w:top w:val="none" w:sz="0" w:space="0" w:color="auto"/>
        <w:left w:val="none" w:sz="0" w:space="0" w:color="auto"/>
        <w:bottom w:val="none" w:sz="0" w:space="0" w:color="auto"/>
        <w:right w:val="none" w:sz="0" w:space="0" w:color="auto"/>
      </w:divBdr>
    </w:div>
    <w:div w:id="762380703">
      <w:bodyDiv w:val="1"/>
      <w:marLeft w:val="0"/>
      <w:marRight w:val="0"/>
      <w:marTop w:val="0"/>
      <w:marBottom w:val="0"/>
      <w:divBdr>
        <w:top w:val="none" w:sz="0" w:space="0" w:color="auto"/>
        <w:left w:val="none" w:sz="0" w:space="0" w:color="auto"/>
        <w:bottom w:val="none" w:sz="0" w:space="0" w:color="auto"/>
        <w:right w:val="none" w:sz="0" w:space="0" w:color="auto"/>
      </w:divBdr>
    </w:div>
    <w:div w:id="805316003">
      <w:bodyDiv w:val="1"/>
      <w:marLeft w:val="0"/>
      <w:marRight w:val="0"/>
      <w:marTop w:val="0"/>
      <w:marBottom w:val="0"/>
      <w:divBdr>
        <w:top w:val="none" w:sz="0" w:space="0" w:color="auto"/>
        <w:left w:val="none" w:sz="0" w:space="0" w:color="auto"/>
        <w:bottom w:val="none" w:sz="0" w:space="0" w:color="auto"/>
        <w:right w:val="none" w:sz="0" w:space="0" w:color="auto"/>
      </w:divBdr>
    </w:div>
    <w:div w:id="886452344">
      <w:bodyDiv w:val="1"/>
      <w:marLeft w:val="0"/>
      <w:marRight w:val="0"/>
      <w:marTop w:val="0"/>
      <w:marBottom w:val="0"/>
      <w:divBdr>
        <w:top w:val="none" w:sz="0" w:space="0" w:color="auto"/>
        <w:left w:val="none" w:sz="0" w:space="0" w:color="auto"/>
        <w:bottom w:val="none" w:sz="0" w:space="0" w:color="auto"/>
        <w:right w:val="none" w:sz="0" w:space="0" w:color="auto"/>
      </w:divBdr>
    </w:div>
    <w:div w:id="974481107">
      <w:bodyDiv w:val="1"/>
      <w:marLeft w:val="0"/>
      <w:marRight w:val="0"/>
      <w:marTop w:val="0"/>
      <w:marBottom w:val="0"/>
      <w:divBdr>
        <w:top w:val="none" w:sz="0" w:space="0" w:color="auto"/>
        <w:left w:val="none" w:sz="0" w:space="0" w:color="auto"/>
        <w:bottom w:val="none" w:sz="0" w:space="0" w:color="auto"/>
        <w:right w:val="none" w:sz="0" w:space="0" w:color="auto"/>
      </w:divBdr>
    </w:div>
    <w:div w:id="1060448059">
      <w:bodyDiv w:val="1"/>
      <w:marLeft w:val="0"/>
      <w:marRight w:val="0"/>
      <w:marTop w:val="0"/>
      <w:marBottom w:val="0"/>
      <w:divBdr>
        <w:top w:val="none" w:sz="0" w:space="0" w:color="auto"/>
        <w:left w:val="none" w:sz="0" w:space="0" w:color="auto"/>
        <w:bottom w:val="none" w:sz="0" w:space="0" w:color="auto"/>
        <w:right w:val="none" w:sz="0" w:space="0" w:color="auto"/>
      </w:divBdr>
    </w:div>
    <w:div w:id="1426531891">
      <w:bodyDiv w:val="1"/>
      <w:marLeft w:val="0"/>
      <w:marRight w:val="0"/>
      <w:marTop w:val="0"/>
      <w:marBottom w:val="0"/>
      <w:divBdr>
        <w:top w:val="none" w:sz="0" w:space="0" w:color="auto"/>
        <w:left w:val="none" w:sz="0" w:space="0" w:color="auto"/>
        <w:bottom w:val="none" w:sz="0" w:space="0" w:color="auto"/>
        <w:right w:val="none" w:sz="0" w:space="0" w:color="auto"/>
      </w:divBdr>
    </w:div>
    <w:div w:id="1438018945">
      <w:bodyDiv w:val="1"/>
      <w:marLeft w:val="0"/>
      <w:marRight w:val="0"/>
      <w:marTop w:val="0"/>
      <w:marBottom w:val="0"/>
      <w:divBdr>
        <w:top w:val="none" w:sz="0" w:space="0" w:color="auto"/>
        <w:left w:val="none" w:sz="0" w:space="0" w:color="auto"/>
        <w:bottom w:val="none" w:sz="0" w:space="0" w:color="auto"/>
        <w:right w:val="none" w:sz="0" w:space="0" w:color="auto"/>
      </w:divBdr>
    </w:div>
    <w:div w:id="1557080693">
      <w:bodyDiv w:val="1"/>
      <w:marLeft w:val="0"/>
      <w:marRight w:val="0"/>
      <w:marTop w:val="0"/>
      <w:marBottom w:val="0"/>
      <w:divBdr>
        <w:top w:val="none" w:sz="0" w:space="0" w:color="auto"/>
        <w:left w:val="none" w:sz="0" w:space="0" w:color="auto"/>
        <w:bottom w:val="none" w:sz="0" w:space="0" w:color="auto"/>
        <w:right w:val="none" w:sz="0" w:space="0" w:color="auto"/>
      </w:divBdr>
    </w:div>
    <w:div w:id="1759253558">
      <w:bodyDiv w:val="1"/>
      <w:marLeft w:val="0"/>
      <w:marRight w:val="0"/>
      <w:marTop w:val="0"/>
      <w:marBottom w:val="0"/>
      <w:divBdr>
        <w:top w:val="none" w:sz="0" w:space="0" w:color="auto"/>
        <w:left w:val="none" w:sz="0" w:space="0" w:color="auto"/>
        <w:bottom w:val="none" w:sz="0" w:space="0" w:color="auto"/>
        <w:right w:val="none" w:sz="0" w:space="0" w:color="auto"/>
      </w:divBdr>
    </w:div>
    <w:div w:id="1914967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18.wmf"/><Relationship Id="rId50" Type="http://schemas.openxmlformats.org/officeDocument/2006/relationships/oleObject" Target="embeddings/oleObject19.bin"/><Relationship Id="rId55" Type="http://schemas.openxmlformats.org/officeDocument/2006/relationships/image" Target="media/image22.wmf"/><Relationship Id="rId63" Type="http://schemas.openxmlformats.org/officeDocument/2006/relationships/image" Target="media/image26.wmf"/><Relationship Id="rId68" Type="http://schemas.openxmlformats.org/officeDocument/2006/relationships/oleObject" Target="embeddings/oleObject28.bin"/><Relationship Id="rId76" Type="http://schemas.openxmlformats.org/officeDocument/2006/relationships/chart" Target="charts/chart4.xml"/><Relationship Id="rId84" Type="http://schemas.openxmlformats.org/officeDocument/2006/relationships/hyperlink" Target="http://www.dpnet.com.br/imagens/2011/05/04/fgvneri.pdf"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0.wmf"/><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9.wmf"/><Relationship Id="rId11" Type="http://schemas.openxmlformats.org/officeDocument/2006/relationships/chart" Target="charts/chart1.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3.wmf"/><Relationship Id="rId40" Type="http://schemas.openxmlformats.org/officeDocument/2006/relationships/oleObject" Target="embeddings/oleObject14.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23.bin"/><Relationship Id="rId66" Type="http://schemas.openxmlformats.org/officeDocument/2006/relationships/oleObject" Target="embeddings/oleObject27.bin"/><Relationship Id="rId74" Type="http://schemas.openxmlformats.org/officeDocument/2006/relationships/oleObject" Target="embeddings/oleObject31.bin"/><Relationship Id="rId79" Type="http://schemas.openxmlformats.org/officeDocument/2006/relationships/chart" Target="charts/chart7.xml"/><Relationship Id="rId87"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image" Target="media/image25.wmf"/><Relationship Id="rId82" Type="http://schemas.openxmlformats.org/officeDocument/2006/relationships/hyperlink" Target="http://www.ipea.gov.br/" TargetMode="Externa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mailto:isadib@hotmail.co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29.wmf"/><Relationship Id="rId77" Type="http://schemas.openxmlformats.org/officeDocument/2006/relationships/chart" Target="charts/chart5.xml"/><Relationship Id="rId8" Type="http://schemas.openxmlformats.org/officeDocument/2006/relationships/hyperlink" Target="mailto:solangecassia@uol.com.br" TargetMode="External"/><Relationship Id="rId51" Type="http://schemas.openxmlformats.org/officeDocument/2006/relationships/image" Target="media/image20.wmf"/><Relationship Id="rId72" Type="http://schemas.openxmlformats.org/officeDocument/2006/relationships/oleObject" Target="embeddings/oleObject30.bin"/><Relationship Id="rId80" Type="http://schemas.openxmlformats.org/officeDocument/2006/relationships/hyperlink" Target="http://www.laget.igeo.ufrj.br/egler/pdf../Gestao.pdf" TargetMode="External"/><Relationship Id="rId85" Type="http://schemas.openxmlformats.org/officeDocument/2006/relationships/hyperlink" Target="http://www.pnud.org.br/ODM1.aspx" TargetMode="Externa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oleObject" Target="embeddings/oleObject4.bin"/><Relationship Id="rId41" Type="http://schemas.openxmlformats.org/officeDocument/2006/relationships/image" Target="media/image15.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chart" Target="charts/chart3.xml"/><Relationship Id="rId83" Type="http://schemas.openxmlformats.org/officeDocument/2006/relationships/hyperlink" Target="http://www.ipeadata.gov.br"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19.wmf"/><Relationship Id="rId57" Type="http://schemas.openxmlformats.org/officeDocument/2006/relationships/image" Target="media/image23.wmf"/><Relationship Id="rId10" Type="http://schemas.openxmlformats.org/officeDocument/2006/relationships/hyperlink" Target="mailto:robert@uel.br" TargetMode="External"/><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chart" Target="charts/chart6.xml"/><Relationship Id="rId81" Type="http://schemas.openxmlformats.org/officeDocument/2006/relationships/hyperlink" Target="http://www.ibge.gov.br/home/" TargetMode="External"/><Relationship Id="rId86"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isadoradiboliveira:Downloads:ipeadata%5b15-05-2013-05-28%5d.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isadoradiboliveira:Downloads:grafico%20renda%2020%25+80%25-%20.csv"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isadoradiboliveira:Desktop:projeto%20novo:GRAFICO%20GOVERN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isadoradiboliveira:Desktop:projeto%20novo:GRAFICOS%2019051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isadoradiboliveira:Desktop:projeto%20novo:GRAFICOS%2019051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isadoradiboliveira:Desktop:projeto%20novo:GRAFICOS%2019051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Workbook3"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lineChart>
        <c:grouping val="standard"/>
        <c:varyColors val="0"/>
        <c:ser>
          <c:idx val="0"/>
          <c:order val="0"/>
          <c:tx>
            <c:strRef>
              <c:f>Séries!$C$40</c:f>
              <c:strCache>
                <c:ptCount val="1"/>
                <c:pt idx="0">
                  <c:v>Taxa de pobreza (%)</c:v>
                </c:pt>
              </c:strCache>
            </c:strRef>
          </c:tx>
          <c:cat>
            <c:multiLvlStrRef>
              <c:f>Séries!$D$38:$V$39</c:f>
              <c:multiLvlStrCache>
                <c:ptCount val="19"/>
                <c:lvl>
                  <c:pt idx="0">
                    <c:v>1990</c:v>
                  </c:pt>
                  <c:pt idx="1">
                    <c:v>1992</c:v>
                  </c:pt>
                  <c:pt idx="2">
                    <c:v>1993</c:v>
                  </c:pt>
                  <c:pt idx="3">
                    <c:v>1995</c:v>
                  </c:pt>
                  <c:pt idx="4">
                    <c:v>1996</c:v>
                  </c:pt>
                  <c:pt idx="5">
                    <c:v>1997</c:v>
                  </c:pt>
                  <c:pt idx="6">
                    <c:v>1998</c:v>
                  </c:pt>
                  <c:pt idx="7">
                    <c:v>1999</c:v>
                  </c:pt>
                  <c:pt idx="8">
                    <c:v>2001</c:v>
                  </c:pt>
                  <c:pt idx="9">
                    <c:v>2002</c:v>
                  </c:pt>
                  <c:pt idx="10">
                    <c:v>2003</c:v>
                  </c:pt>
                  <c:pt idx="11">
                    <c:v>2004</c:v>
                  </c:pt>
                  <c:pt idx="12">
                    <c:v>2005</c:v>
                  </c:pt>
                  <c:pt idx="13">
                    <c:v>2006</c:v>
                  </c:pt>
                  <c:pt idx="14">
                    <c:v>2007</c:v>
                  </c:pt>
                  <c:pt idx="15">
                    <c:v>2008</c:v>
                  </c:pt>
                  <c:pt idx="16">
                    <c:v>2009</c:v>
                  </c:pt>
                  <c:pt idx="17">
                    <c:v>2011</c:v>
                  </c:pt>
                  <c:pt idx="18">
                    <c:v>2012</c:v>
                  </c:pt>
                </c:lvl>
                <c:lvl>
                  <c:pt idx="0">
                    <c:v>Antes FHC</c:v>
                  </c:pt>
                  <c:pt idx="3">
                    <c:v>FHC</c:v>
                  </c:pt>
                  <c:pt idx="10">
                    <c:v>LULA</c:v>
                  </c:pt>
                  <c:pt idx="17">
                    <c:v>DILMA</c:v>
                  </c:pt>
                </c:lvl>
              </c:multiLvlStrCache>
            </c:multiLvlStrRef>
          </c:cat>
          <c:val>
            <c:numRef>
              <c:f>Séries!$D$40:$V$40</c:f>
              <c:numCache>
                <c:formatCode>#,##0.00</c:formatCode>
                <c:ptCount val="19"/>
                <c:pt idx="0">
                  <c:v>41.922599588500013</c:v>
                </c:pt>
                <c:pt idx="1">
                  <c:v>42.092428012900115</c:v>
                </c:pt>
                <c:pt idx="2">
                  <c:v>42.979920946400107</c:v>
                </c:pt>
                <c:pt idx="3">
                  <c:v>35.079395235000106</c:v>
                </c:pt>
                <c:pt idx="4">
                  <c:v>34.728973241600144</c:v>
                </c:pt>
                <c:pt idx="5">
                  <c:v>35.175568555799998</c:v>
                </c:pt>
                <c:pt idx="6">
                  <c:v>33.974690938900011</c:v>
                </c:pt>
                <c:pt idx="7">
                  <c:v>35.256397545000006</c:v>
                </c:pt>
                <c:pt idx="8">
                  <c:v>35.166629158500001</c:v>
                </c:pt>
                <c:pt idx="9">
                  <c:v>34.40308036159999</c:v>
                </c:pt>
                <c:pt idx="10">
                  <c:v>35.785351154400011</c:v>
                </c:pt>
                <c:pt idx="11">
                  <c:v>33.701522071900001</c:v>
                </c:pt>
                <c:pt idx="12">
                  <c:v>30.8227555512</c:v>
                </c:pt>
                <c:pt idx="13">
                  <c:v>26.751137461100001</c:v>
                </c:pt>
                <c:pt idx="14">
                  <c:v>24.243573619799953</c:v>
                </c:pt>
                <c:pt idx="15">
                  <c:v>22.591800421900068</c:v>
                </c:pt>
                <c:pt idx="16">
                  <c:v>21.420109036699881</c:v>
                </c:pt>
                <c:pt idx="17">
                  <c:v>18.45</c:v>
                </c:pt>
                <c:pt idx="18">
                  <c:v>15.96</c:v>
                </c:pt>
              </c:numCache>
            </c:numRef>
          </c:val>
          <c:smooth val="0"/>
          <c:extLst>
            <c:ext xmlns:c16="http://schemas.microsoft.com/office/drawing/2014/chart" uri="{C3380CC4-5D6E-409C-BE32-E72D297353CC}">
              <c16:uniqueId val="{00000000-9F16-472C-8DD0-942DAF71F05E}"/>
            </c:ext>
          </c:extLst>
        </c:ser>
        <c:dLbls>
          <c:showLegendKey val="0"/>
          <c:showVal val="0"/>
          <c:showCatName val="0"/>
          <c:showSerName val="0"/>
          <c:showPercent val="0"/>
          <c:showBubbleSize val="0"/>
        </c:dLbls>
        <c:marker val="1"/>
        <c:smooth val="0"/>
        <c:axId val="352683368"/>
        <c:axId val="352682976"/>
      </c:lineChart>
      <c:catAx>
        <c:axId val="352683368"/>
        <c:scaling>
          <c:orientation val="minMax"/>
        </c:scaling>
        <c:delete val="0"/>
        <c:axPos val="b"/>
        <c:numFmt formatCode="General" sourceLinked="0"/>
        <c:majorTickMark val="out"/>
        <c:minorTickMark val="none"/>
        <c:tickLblPos val="nextTo"/>
        <c:crossAx val="352682976"/>
        <c:crosses val="autoZero"/>
        <c:auto val="1"/>
        <c:lblAlgn val="ctr"/>
        <c:lblOffset val="100"/>
        <c:noMultiLvlLbl val="0"/>
      </c:catAx>
      <c:valAx>
        <c:axId val="352682976"/>
        <c:scaling>
          <c:orientation val="minMax"/>
        </c:scaling>
        <c:delete val="0"/>
        <c:axPos val="l"/>
        <c:majorGridlines/>
        <c:numFmt formatCode="#,##0.00" sourceLinked="1"/>
        <c:majorTickMark val="out"/>
        <c:minorTickMark val="none"/>
        <c:tickLblPos val="nextTo"/>
        <c:crossAx val="35268336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'grafico renda 20%+80%- .csv'!$C$8</c:f>
              <c:strCache>
                <c:ptCount val="1"/>
                <c:pt idx="0">
                  <c:v>Paraná</c:v>
                </c:pt>
              </c:strCache>
            </c:strRef>
          </c:tx>
          <c:invertIfNegative val="0"/>
          <c:cat>
            <c:multiLvlStrRef>
              <c:f>'grafico renda 20%+80%- .csv'!$D$6:$I$7</c:f>
              <c:multiLvlStrCache>
                <c:ptCount val="6"/>
                <c:lvl>
                  <c:pt idx="0">
                    <c:v>20% + ricos</c:v>
                  </c:pt>
                  <c:pt idx="1">
                    <c:v>80%  +pobres</c:v>
                  </c:pt>
                  <c:pt idx="2">
                    <c:v>20% +</c:v>
                  </c:pt>
                  <c:pt idx="3">
                    <c:v>80% -</c:v>
                  </c:pt>
                  <c:pt idx="4">
                    <c:v>20% +</c:v>
                  </c:pt>
                  <c:pt idx="5">
                    <c:v>80% - </c:v>
                  </c:pt>
                </c:lvl>
                <c:lvl>
                  <c:pt idx="0">
                    <c:v>1991</c:v>
                  </c:pt>
                  <c:pt idx="2">
                    <c:v>2000</c:v>
                  </c:pt>
                  <c:pt idx="4">
                    <c:v>2010</c:v>
                  </c:pt>
                </c:lvl>
              </c:multiLvlStrCache>
            </c:multiLvlStrRef>
          </c:cat>
          <c:val>
            <c:numRef>
              <c:f>'grafico renda 20%+80%- .csv'!$D$8:$I$8</c:f>
              <c:numCache>
                <c:formatCode>General</c:formatCode>
                <c:ptCount val="6"/>
                <c:pt idx="0">
                  <c:v>64.149999999999991</c:v>
                </c:pt>
                <c:pt idx="1">
                  <c:v>35.85</c:v>
                </c:pt>
                <c:pt idx="2">
                  <c:v>64.64</c:v>
                </c:pt>
                <c:pt idx="3">
                  <c:v>35.36</c:v>
                </c:pt>
                <c:pt idx="4">
                  <c:v>58.57</c:v>
                </c:pt>
                <c:pt idx="5">
                  <c:v>41.43</c:v>
                </c:pt>
              </c:numCache>
            </c:numRef>
          </c:val>
          <c:extLst>
            <c:ext xmlns:c16="http://schemas.microsoft.com/office/drawing/2014/chart" uri="{C3380CC4-5D6E-409C-BE32-E72D297353CC}">
              <c16:uniqueId val="{00000000-F5C7-466B-83BC-6C48395A173A}"/>
            </c:ext>
          </c:extLst>
        </c:ser>
        <c:ser>
          <c:idx val="1"/>
          <c:order val="1"/>
          <c:tx>
            <c:strRef>
              <c:f>'grafico renda 20%+80%- .csv'!$C$9</c:f>
              <c:strCache>
                <c:ptCount val="1"/>
                <c:pt idx="0">
                  <c:v>Rio G. do Sul</c:v>
                </c:pt>
              </c:strCache>
            </c:strRef>
          </c:tx>
          <c:invertIfNegative val="0"/>
          <c:cat>
            <c:multiLvlStrRef>
              <c:f>'grafico renda 20%+80%- .csv'!$D$6:$I$7</c:f>
              <c:multiLvlStrCache>
                <c:ptCount val="6"/>
                <c:lvl>
                  <c:pt idx="0">
                    <c:v>20% + ricos</c:v>
                  </c:pt>
                  <c:pt idx="1">
                    <c:v>80%  +pobres</c:v>
                  </c:pt>
                  <c:pt idx="2">
                    <c:v>20% +</c:v>
                  </c:pt>
                  <c:pt idx="3">
                    <c:v>80% -</c:v>
                  </c:pt>
                  <c:pt idx="4">
                    <c:v>20% +</c:v>
                  </c:pt>
                  <c:pt idx="5">
                    <c:v>80% - </c:v>
                  </c:pt>
                </c:lvl>
                <c:lvl>
                  <c:pt idx="0">
                    <c:v>1991</c:v>
                  </c:pt>
                  <c:pt idx="2">
                    <c:v>2000</c:v>
                  </c:pt>
                  <c:pt idx="4">
                    <c:v>2010</c:v>
                  </c:pt>
                </c:lvl>
              </c:multiLvlStrCache>
            </c:multiLvlStrRef>
          </c:cat>
          <c:val>
            <c:numRef>
              <c:f>'grafico renda 20%+80%- .csv'!$D$9:$I$9</c:f>
              <c:numCache>
                <c:formatCode>General</c:formatCode>
                <c:ptCount val="6"/>
                <c:pt idx="0">
                  <c:v>62.84</c:v>
                </c:pt>
                <c:pt idx="1">
                  <c:v>37.160000000000011</c:v>
                </c:pt>
                <c:pt idx="2">
                  <c:v>62.53</c:v>
                </c:pt>
                <c:pt idx="3">
                  <c:v>37.47</c:v>
                </c:pt>
                <c:pt idx="4">
                  <c:v>58.720000000000013</c:v>
                </c:pt>
                <c:pt idx="5">
                  <c:v>41.28</c:v>
                </c:pt>
              </c:numCache>
            </c:numRef>
          </c:val>
          <c:extLst>
            <c:ext xmlns:c16="http://schemas.microsoft.com/office/drawing/2014/chart" uri="{C3380CC4-5D6E-409C-BE32-E72D297353CC}">
              <c16:uniqueId val="{00000001-F5C7-466B-83BC-6C48395A173A}"/>
            </c:ext>
          </c:extLst>
        </c:ser>
        <c:ser>
          <c:idx val="2"/>
          <c:order val="2"/>
          <c:tx>
            <c:strRef>
              <c:f>'grafico renda 20%+80%- .csv'!$C$10</c:f>
              <c:strCache>
                <c:ptCount val="1"/>
                <c:pt idx="0">
                  <c:v>Santa Catarina</c:v>
                </c:pt>
              </c:strCache>
            </c:strRef>
          </c:tx>
          <c:invertIfNegative val="0"/>
          <c:cat>
            <c:multiLvlStrRef>
              <c:f>'grafico renda 20%+80%- .csv'!$D$6:$I$7</c:f>
              <c:multiLvlStrCache>
                <c:ptCount val="6"/>
                <c:lvl>
                  <c:pt idx="0">
                    <c:v>20% + ricos</c:v>
                  </c:pt>
                  <c:pt idx="1">
                    <c:v>80%  +pobres</c:v>
                  </c:pt>
                  <c:pt idx="2">
                    <c:v>20% +</c:v>
                  </c:pt>
                  <c:pt idx="3">
                    <c:v>80% -</c:v>
                  </c:pt>
                  <c:pt idx="4">
                    <c:v>20% +</c:v>
                  </c:pt>
                  <c:pt idx="5">
                    <c:v>80% - </c:v>
                  </c:pt>
                </c:lvl>
                <c:lvl>
                  <c:pt idx="0">
                    <c:v>1991</c:v>
                  </c:pt>
                  <c:pt idx="2">
                    <c:v>2000</c:v>
                  </c:pt>
                  <c:pt idx="4">
                    <c:v>2010</c:v>
                  </c:pt>
                </c:lvl>
              </c:multiLvlStrCache>
            </c:multiLvlStrRef>
          </c:cat>
          <c:val>
            <c:numRef>
              <c:f>'grafico renda 20%+80%- .csv'!$D$10:$I$10</c:f>
              <c:numCache>
                <c:formatCode>General</c:formatCode>
                <c:ptCount val="6"/>
                <c:pt idx="0">
                  <c:v>58.88</c:v>
                </c:pt>
                <c:pt idx="1">
                  <c:v>41.120000000000012</c:v>
                </c:pt>
                <c:pt idx="2">
                  <c:v>60.620000000000012</c:v>
                </c:pt>
                <c:pt idx="3">
                  <c:v>39.380000000000003</c:v>
                </c:pt>
                <c:pt idx="4">
                  <c:v>54.09</c:v>
                </c:pt>
                <c:pt idx="5">
                  <c:v>45.91</c:v>
                </c:pt>
              </c:numCache>
            </c:numRef>
          </c:val>
          <c:extLst>
            <c:ext xmlns:c16="http://schemas.microsoft.com/office/drawing/2014/chart" uri="{C3380CC4-5D6E-409C-BE32-E72D297353CC}">
              <c16:uniqueId val="{00000002-F5C7-466B-83BC-6C48395A173A}"/>
            </c:ext>
          </c:extLst>
        </c:ser>
        <c:dLbls>
          <c:showLegendKey val="0"/>
          <c:showVal val="0"/>
          <c:showCatName val="0"/>
          <c:showSerName val="0"/>
          <c:showPercent val="0"/>
          <c:showBubbleSize val="0"/>
        </c:dLbls>
        <c:gapWidth val="150"/>
        <c:shape val="box"/>
        <c:axId val="471865552"/>
        <c:axId val="471863504"/>
        <c:axId val="0"/>
      </c:bar3DChart>
      <c:catAx>
        <c:axId val="471865552"/>
        <c:scaling>
          <c:orientation val="minMax"/>
        </c:scaling>
        <c:delete val="0"/>
        <c:axPos val="b"/>
        <c:numFmt formatCode="General" sourceLinked="0"/>
        <c:majorTickMark val="none"/>
        <c:minorTickMark val="none"/>
        <c:tickLblPos val="nextTo"/>
        <c:crossAx val="471863504"/>
        <c:crosses val="autoZero"/>
        <c:auto val="1"/>
        <c:lblAlgn val="ctr"/>
        <c:lblOffset val="100"/>
        <c:noMultiLvlLbl val="0"/>
      </c:catAx>
      <c:valAx>
        <c:axId val="471863504"/>
        <c:scaling>
          <c:orientation val="minMax"/>
        </c:scaling>
        <c:delete val="0"/>
        <c:axPos val="l"/>
        <c:majorGridlines/>
        <c:numFmt formatCode="General" sourceLinked="1"/>
        <c:majorTickMark val="none"/>
        <c:minorTickMark val="none"/>
        <c:tickLblPos val="nextTo"/>
        <c:crossAx val="47186555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standard"/>
        <c:varyColors val="0"/>
        <c:ser>
          <c:idx val="0"/>
          <c:order val="0"/>
          <c:tx>
            <c:strRef>
              <c:f>Sheet1!$C$2</c:f>
              <c:strCache>
                <c:ptCount val="1"/>
                <c:pt idx="0">
                  <c:v>SUL TP1 </c:v>
                </c:pt>
              </c:strCache>
            </c:strRef>
          </c:tx>
          <c:cat>
            <c:multiLvlStrRef>
              <c:f>Sheet1!$A$3:$B$27</c:f>
              <c:multiLvlStrCache>
                <c:ptCount val="25"/>
                <c:lvl>
                  <c:pt idx="0">
                    <c:v>1981</c:v>
                  </c:pt>
                  <c:pt idx="1">
                    <c:v>1983</c:v>
                  </c:pt>
                  <c:pt idx="2">
                    <c:v>1984</c:v>
                  </c:pt>
                  <c:pt idx="3">
                    <c:v>1985</c:v>
                  </c:pt>
                  <c:pt idx="4">
                    <c:v>1986</c:v>
                  </c:pt>
                  <c:pt idx="5">
                    <c:v>1988</c:v>
                  </c:pt>
                  <c:pt idx="6">
                    <c:v>1989</c:v>
                  </c:pt>
                  <c:pt idx="7">
                    <c:v>1990</c:v>
                  </c:pt>
                  <c:pt idx="8">
                    <c:v>1992</c:v>
                  </c:pt>
                  <c:pt idx="9">
                    <c:v>1993</c:v>
                  </c:pt>
                  <c:pt idx="10">
                    <c:v>1995</c:v>
                  </c:pt>
                  <c:pt idx="11">
                    <c:v>1996</c:v>
                  </c:pt>
                  <c:pt idx="12">
                    <c:v>1997</c:v>
                  </c:pt>
                  <c:pt idx="13">
                    <c:v>1998</c:v>
                  </c:pt>
                  <c:pt idx="14">
                    <c:v>1999</c:v>
                  </c:pt>
                  <c:pt idx="15">
                    <c:v>2001</c:v>
                  </c:pt>
                  <c:pt idx="16">
                    <c:v>2002</c:v>
                  </c:pt>
                  <c:pt idx="17">
                    <c:v>2003</c:v>
                  </c:pt>
                  <c:pt idx="18">
                    <c:v>2004</c:v>
                  </c:pt>
                  <c:pt idx="19">
                    <c:v>2005</c:v>
                  </c:pt>
                  <c:pt idx="20">
                    <c:v>2006</c:v>
                  </c:pt>
                  <c:pt idx="21">
                    <c:v>2007</c:v>
                  </c:pt>
                  <c:pt idx="22">
                    <c:v>2008</c:v>
                  </c:pt>
                  <c:pt idx="23">
                    <c:v>2009</c:v>
                  </c:pt>
                  <c:pt idx="24">
                    <c:v>2011</c:v>
                  </c:pt>
                </c:lvl>
                <c:lvl>
                  <c:pt idx="0">
                    <c:v>Antes FHC</c:v>
                  </c:pt>
                  <c:pt idx="10">
                    <c:v>FHC</c:v>
                  </c:pt>
                  <c:pt idx="17">
                    <c:v>LULA</c:v>
                  </c:pt>
                  <c:pt idx="24">
                    <c:v>DILMA</c:v>
                  </c:pt>
                </c:lvl>
              </c:multiLvlStrCache>
            </c:multiLvlStrRef>
          </c:cat>
          <c:val>
            <c:numRef>
              <c:f>Sheet1!$C$3:$C$27</c:f>
              <c:numCache>
                <c:formatCode>General</c:formatCode>
                <c:ptCount val="25"/>
                <c:pt idx="0">
                  <c:v>83.03</c:v>
                </c:pt>
                <c:pt idx="1">
                  <c:v>81.88</c:v>
                </c:pt>
                <c:pt idx="2">
                  <c:v>82.179999999999978</c:v>
                </c:pt>
                <c:pt idx="3">
                  <c:v>83.09</c:v>
                </c:pt>
                <c:pt idx="4">
                  <c:v>84.43</c:v>
                </c:pt>
                <c:pt idx="5">
                  <c:v>82.7</c:v>
                </c:pt>
                <c:pt idx="6">
                  <c:v>83</c:v>
                </c:pt>
                <c:pt idx="7">
                  <c:v>82.86999999999999</c:v>
                </c:pt>
                <c:pt idx="8">
                  <c:v>79.8</c:v>
                </c:pt>
                <c:pt idx="9">
                  <c:v>79.22</c:v>
                </c:pt>
                <c:pt idx="10">
                  <c:v>79.490000000000023</c:v>
                </c:pt>
                <c:pt idx="11">
                  <c:v>78.23</c:v>
                </c:pt>
                <c:pt idx="12">
                  <c:v>79.05</c:v>
                </c:pt>
                <c:pt idx="13">
                  <c:v>76.669999999999987</c:v>
                </c:pt>
                <c:pt idx="14">
                  <c:v>75.58</c:v>
                </c:pt>
                <c:pt idx="15">
                  <c:v>73.510000000000005</c:v>
                </c:pt>
                <c:pt idx="16">
                  <c:v>73.77</c:v>
                </c:pt>
                <c:pt idx="17">
                  <c:v>73.23</c:v>
                </c:pt>
                <c:pt idx="18">
                  <c:v>73.73</c:v>
                </c:pt>
                <c:pt idx="19">
                  <c:v>73.23</c:v>
                </c:pt>
                <c:pt idx="20">
                  <c:v>72.69</c:v>
                </c:pt>
                <c:pt idx="21">
                  <c:v>73.58</c:v>
                </c:pt>
                <c:pt idx="22">
                  <c:v>73.36999999999999</c:v>
                </c:pt>
                <c:pt idx="23">
                  <c:v>73.75</c:v>
                </c:pt>
                <c:pt idx="24">
                  <c:v>74.78</c:v>
                </c:pt>
              </c:numCache>
            </c:numRef>
          </c:val>
          <c:smooth val="0"/>
          <c:extLst>
            <c:ext xmlns:c16="http://schemas.microsoft.com/office/drawing/2014/chart" uri="{C3380CC4-5D6E-409C-BE32-E72D297353CC}">
              <c16:uniqueId val="{00000000-93AD-477C-8735-9C1337D68EA5}"/>
            </c:ext>
          </c:extLst>
        </c:ser>
        <c:ser>
          <c:idx val="1"/>
          <c:order val="1"/>
          <c:tx>
            <c:strRef>
              <c:f>Sheet1!$D$2</c:f>
              <c:strCache>
                <c:ptCount val="1"/>
                <c:pt idx="0">
                  <c:v>SUL AP2</c:v>
                </c:pt>
              </c:strCache>
            </c:strRef>
          </c:tx>
          <c:cat>
            <c:multiLvlStrRef>
              <c:f>Sheet1!$A$3:$B$27</c:f>
              <c:multiLvlStrCache>
                <c:ptCount val="25"/>
                <c:lvl>
                  <c:pt idx="0">
                    <c:v>1981</c:v>
                  </c:pt>
                  <c:pt idx="1">
                    <c:v>1983</c:v>
                  </c:pt>
                  <c:pt idx="2">
                    <c:v>1984</c:v>
                  </c:pt>
                  <c:pt idx="3">
                    <c:v>1985</c:v>
                  </c:pt>
                  <c:pt idx="4">
                    <c:v>1986</c:v>
                  </c:pt>
                  <c:pt idx="5">
                    <c:v>1988</c:v>
                  </c:pt>
                  <c:pt idx="6">
                    <c:v>1989</c:v>
                  </c:pt>
                  <c:pt idx="7">
                    <c:v>1990</c:v>
                  </c:pt>
                  <c:pt idx="8">
                    <c:v>1992</c:v>
                  </c:pt>
                  <c:pt idx="9">
                    <c:v>1993</c:v>
                  </c:pt>
                  <c:pt idx="10">
                    <c:v>1995</c:v>
                  </c:pt>
                  <c:pt idx="11">
                    <c:v>1996</c:v>
                  </c:pt>
                  <c:pt idx="12">
                    <c:v>1997</c:v>
                  </c:pt>
                  <c:pt idx="13">
                    <c:v>1998</c:v>
                  </c:pt>
                  <c:pt idx="14">
                    <c:v>1999</c:v>
                  </c:pt>
                  <c:pt idx="15">
                    <c:v>2001</c:v>
                  </c:pt>
                  <c:pt idx="16">
                    <c:v>2002</c:v>
                  </c:pt>
                  <c:pt idx="17">
                    <c:v>2003</c:v>
                  </c:pt>
                  <c:pt idx="18">
                    <c:v>2004</c:v>
                  </c:pt>
                  <c:pt idx="19">
                    <c:v>2005</c:v>
                  </c:pt>
                  <c:pt idx="20">
                    <c:v>2006</c:v>
                  </c:pt>
                  <c:pt idx="21">
                    <c:v>2007</c:v>
                  </c:pt>
                  <c:pt idx="22">
                    <c:v>2008</c:v>
                  </c:pt>
                  <c:pt idx="23">
                    <c:v>2009</c:v>
                  </c:pt>
                  <c:pt idx="24">
                    <c:v>2011</c:v>
                  </c:pt>
                </c:lvl>
                <c:lvl>
                  <c:pt idx="0">
                    <c:v>Antes FHC</c:v>
                  </c:pt>
                  <c:pt idx="10">
                    <c:v>FHC</c:v>
                  </c:pt>
                  <c:pt idx="17">
                    <c:v>LULA</c:v>
                  </c:pt>
                  <c:pt idx="24">
                    <c:v>DILMA</c:v>
                  </c:pt>
                </c:lvl>
              </c:multiLvlStrCache>
            </c:multiLvlStrRef>
          </c:cat>
          <c:val>
            <c:numRef>
              <c:f>Sheet1!$D$3:$D$27</c:f>
              <c:numCache>
                <c:formatCode>General</c:formatCode>
                <c:ptCount val="25"/>
                <c:pt idx="0">
                  <c:v>9.11</c:v>
                </c:pt>
                <c:pt idx="1">
                  <c:v>9.94</c:v>
                </c:pt>
                <c:pt idx="2">
                  <c:v>9.620000000000001</c:v>
                </c:pt>
                <c:pt idx="3">
                  <c:v>9.3700000000000028</c:v>
                </c:pt>
                <c:pt idx="4">
                  <c:v>8.34</c:v>
                </c:pt>
                <c:pt idx="5">
                  <c:v>9.4</c:v>
                </c:pt>
                <c:pt idx="6">
                  <c:v>9.19</c:v>
                </c:pt>
                <c:pt idx="7">
                  <c:v>10.06</c:v>
                </c:pt>
                <c:pt idx="8">
                  <c:v>12.56</c:v>
                </c:pt>
                <c:pt idx="9">
                  <c:v>12.62</c:v>
                </c:pt>
                <c:pt idx="10">
                  <c:v>13.02</c:v>
                </c:pt>
                <c:pt idx="11">
                  <c:v>14.21</c:v>
                </c:pt>
                <c:pt idx="12">
                  <c:v>14.3</c:v>
                </c:pt>
                <c:pt idx="13">
                  <c:v>16.3</c:v>
                </c:pt>
                <c:pt idx="14">
                  <c:v>16.82</c:v>
                </c:pt>
                <c:pt idx="15">
                  <c:v>18.83000000000003</c:v>
                </c:pt>
                <c:pt idx="16">
                  <c:v>19.100000000000001</c:v>
                </c:pt>
                <c:pt idx="17">
                  <c:v>19.55</c:v>
                </c:pt>
                <c:pt idx="18">
                  <c:v>18.73</c:v>
                </c:pt>
                <c:pt idx="19">
                  <c:v>19.55</c:v>
                </c:pt>
                <c:pt idx="20">
                  <c:v>19.239999999999988</c:v>
                </c:pt>
                <c:pt idx="21">
                  <c:v>19.2</c:v>
                </c:pt>
                <c:pt idx="22">
                  <c:v>19.51000000000003</c:v>
                </c:pt>
                <c:pt idx="23">
                  <c:v>19.77</c:v>
                </c:pt>
                <c:pt idx="24">
                  <c:v>19.66</c:v>
                </c:pt>
              </c:numCache>
            </c:numRef>
          </c:val>
          <c:smooth val="0"/>
          <c:extLst>
            <c:ext xmlns:c16="http://schemas.microsoft.com/office/drawing/2014/chart" uri="{C3380CC4-5D6E-409C-BE32-E72D297353CC}">
              <c16:uniqueId val="{00000001-93AD-477C-8735-9C1337D68EA5}"/>
            </c:ext>
          </c:extLst>
        </c:ser>
        <c:ser>
          <c:idx val="2"/>
          <c:order val="2"/>
          <c:tx>
            <c:strRef>
              <c:f>Sheet1!$E$2</c:f>
              <c:strCache>
                <c:ptCount val="1"/>
                <c:pt idx="0">
                  <c:v>SUL OR3</c:v>
                </c:pt>
              </c:strCache>
            </c:strRef>
          </c:tx>
          <c:cat>
            <c:multiLvlStrRef>
              <c:f>Sheet1!$A$3:$B$27</c:f>
              <c:multiLvlStrCache>
                <c:ptCount val="25"/>
                <c:lvl>
                  <c:pt idx="0">
                    <c:v>1981</c:v>
                  </c:pt>
                  <c:pt idx="1">
                    <c:v>1983</c:v>
                  </c:pt>
                  <c:pt idx="2">
                    <c:v>1984</c:v>
                  </c:pt>
                  <c:pt idx="3">
                    <c:v>1985</c:v>
                  </c:pt>
                  <c:pt idx="4">
                    <c:v>1986</c:v>
                  </c:pt>
                  <c:pt idx="5">
                    <c:v>1988</c:v>
                  </c:pt>
                  <c:pt idx="6">
                    <c:v>1989</c:v>
                  </c:pt>
                  <c:pt idx="7">
                    <c:v>1990</c:v>
                  </c:pt>
                  <c:pt idx="8">
                    <c:v>1992</c:v>
                  </c:pt>
                  <c:pt idx="9">
                    <c:v>1993</c:v>
                  </c:pt>
                  <c:pt idx="10">
                    <c:v>1995</c:v>
                  </c:pt>
                  <c:pt idx="11">
                    <c:v>1996</c:v>
                  </c:pt>
                  <c:pt idx="12">
                    <c:v>1997</c:v>
                  </c:pt>
                  <c:pt idx="13">
                    <c:v>1998</c:v>
                  </c:pt>
                  <c:pt idx="14">
                    <c:v>1999</c:v>
                  </c:pt>
                  <c:pt idx="15">
                    <c:v>2001</c:v>
                  </c:pt>
                  <c:pt idx="16">
                    <c:v>2002</c:v>
                  </c:pt>
                  <c:pt idx="17">
                    <c:v>2003</c:v>
                  </c:pt>
                  <c:pt idx="18">
                    <c:v>2004</c:v>
                  </c:pt>
                  <c:pt idx="19">
                    <c:v>2005</c:v>
                  </c:pt>
                  <c:pt idx="20">
                    <c:v>2006</c:v>
                  </c:pt>
                  <c:pt idx="21">
                    <c:v>2007</c:v>
                  </c:pt>
                  <c:pt idx="22">
                    <c:v>2008</c:v>
                  </c:pt>
                  <c:pt idx="23">
                    <c:v>2009</c:v>
                  </c:pt>
                  <c:pt idx="24">
                    <c:v>2011</c:v>
                  </c:pt>
                </c:lvl>
                <c:lvl>
                  <c:pt idx="0">
                    <c:v>Antes FHC</c:v>
                  </c:pt>
                  <c:pt idx="10">
                    <c:v>FHC</c:v>
                  </c:pt>
                  <c:pt idx="17">
                    <c:v>LULA</c:v>
                  </c:pt>
                  <c:pt idx="24">
                    <c:v>DILMA</c:v>
                  </c:pt>
                </c:lvl>
              </c:multiLvlStrCache>
            </c:multiLvlStrRef>
          </c:cat>
          <c:val>
            <c:numRef>
              <c:f>Sheet1!$E$3:$E$27</c:f>
              <c:numCache>
                <c:formatCode>General</c:formatCode>
                <c:ptCount val="25"/>
                <c:pt idx="0">
                  <c:v>2.4099999999999997</c:v>
                </c:pt>
                <c:pt idx="1">
                  <c:v>2.34</c:v>
                </c:pt>
                <c:pt idx="2">
                  <c:v>3.02</c:v>
                </c:pt>
                <c:pt idx="3">
                  <c:v>2.8</c:v>
                </c:pt>
                <c:pt idx="4">
                  <c:v>1.9400000000000028</c:v>
                </c:pt>
                <c:pt idx="5">
                  <c:v>2.65</c:v>
                </c:pt>
                <c:pt idx="6">
                  <c:v>2.23</c:v>
                </c:pt>
                <c:pt idx="7">
                  <c:v>1.46</c:v>
                </c:pt>
                <c:pt idx="8">
                  <c:v>2.36</c:v>
                </c:pt>
                <c:pt idx="9">
                  <c:v>3.55</c:v>
                </c:pt>
                <c:pt idx="10">
                  <c:v>1.04</c:v>
                </c:pt>
                <c:pt idx="11">
                  <c:v>1.05</c:v>
                </c:pt>
                <c:pt idx="12">
                  <c:v>0.78</c:v>
                </c:pt>
                <c:pt idx="13">
                  <c:v>1</c:v>
                </c:pt>
                <c:pt idx="14">
                  <c:v>1.02</c:v>
                </c:pt>
                <c:pt idx="15">
                  <c:v>1.25</c:v>
                </c:pt>
                <c:pt idx="16">
                  <c:v>0.99</c:v>
                </c:pt>
                <c:pt idx="17">
                  <c:v>1.6</c:v>
                </c:pt>
                <c:pt idx="18">
                  <c:v>1.61</c:v>
                </c:pt>
                <c:pt idx="19">
                  <c:v>1.6</c:v>
                </c:pt>
                <c:pt idx="20">
                  <c:v>2.0499999999999998</c:v>
                </c:pt>
                <c:pt idx="21">
                  <c:v>1.6400000000000001</c:v>
                </c:pt>
                <c:pt idx="22">
                  <c:v>1.8</c:v>
                </c:pt>
                <c:pt idx="23">
                  <c:v>1.1700000000000021</c:v>
                </c:pt>
                <c:pt idx="24">
                  <c:v>1.37</c:v>
                </c:pt>
              </c:numCache>
            </c:numRef>
          </c:val>
          <c:smooth val="0"/>
          <c:extLst>
            <c:ext xmlns:c16="http://schemas.microsoft.com/office/drawing/2014/chart" uri="{C3380CC4-5D6E-409C-BE32-E72D297353CC}">
              <c16:uniqueId val="{00000002-93AD-477C-8735-9C1337D68EA5}"/>
            </c:ext>
          </c:extLst>
        </c:ser>
        <c:ser>
          <c:idx val="3"/>
          <c:order val="3"/>
          <c:tx>
            <c:strRef>
              <c:f>Sheet1!$F$2</c:f>
              <c:strCache>
                <c:ptCount val="1"/>
                <c:pt idx="0">
                  <c:v>BRASIL TP1</c:v>
                </c:pt>
              </c:strCache>
            </c:strRef>
          </c:tx>
          <c:cat>
            <c:multiLvlStrRef>
              <c:f>Sheet1!$A$3:$B$27</c:f>
              <c:multiLvlStrCache>
                <c:ptCount val="25"/>
                <c:lvl>
                  <c:pt idx="0">
                    <c:v>1981</c:v>
                  </c:pt>
                  <c:pt idx="1">
                    <c:v>1983</c:v>
                  </c:pt>
                  <c:pt idx="2">
                    <c:v>1984</c:v>
                  </c:pt>
                  <c:pt idx="3">
                    <c:v>1985</c:v>
                  </c:pt>
                  <c:pt idx="4">
                    <c:v>1986</c:v>
                  </c:pt>
                  <c:pt idx="5">
                    <c:v>1988</c:v>
                  </c:pt>
                  <c:pt idx="6">
                    <c:v>1989</c:v>
                  </c:pt>
                  <c:pt idx="7">
                    <c:v>1990</c:v>
                  </c:pt>
                  <c:pt idx="8">
                    <c:v>1992</c:v>
                  </c:pt>
                  <c:pt idx="9">
                    <c:v>1993</c:v>
                  </c:pt>
                  <c:pt idx="10">
                    <c:v>1995</c:v>
                  </c:pt>
                  <c:pt idx="11">
                    <c:v>1996</c:v>
                  </c:pt>
                  <c:pt idx="12">
                    <c:v>1997</c:v>
                  </c:pt>
                  <c:pt idx="13">
                    <c:v>1998</c:v>
                  </c:pt>
                  <c:pt idx="14">
                    <c:v>1999</c:v>
                  </c:pt>
                  <c:pt idx="15">
                    <c:v>2001</c:v>
                  </c:pt>
                  <c:pt idx="16">
                    <c:v>2002</c:v>
                  </c:pt>
                  <c:pt idx="17">
                    <c:v>2003</c:v>
                  </c:pt>
                  <c:pt idx="18">
                    <c:v>2004</c:v>
                  </c:pt>
                  <c:pt idx="19">
                    <c:v>2005</c:v>
                  </c:pt>
                  <c:pt idx="20">
                    <c:v>2006</c:v>
                  </c:pt>
                  <c:pt idx="21">
                    <c:v>2007</c:v>
                  </c:pt>
                  <c:pt idx="22">
                    <c:v>2008</c:v>
                  </c:pt>
                  <c:pt idx="23">
                    <c:v>2009</c:v>
                  </c:pt>
                  <c:pt idx="24">
                    <c:v>2011</c:v>
                  </c:pt>
                </c:lvl>
                <c:lvl>
                  <c:pt idx="0">
                    <c:v>Antes FHC</c:v>
                  </c:pt>
                  <c:pt idx="10">
                    <c:v>FHC</c:v>
                  </c:pt>
                  <c:pt idx="17">
                    <c:v>LULA</c:v>
                  </c:pt>
                  <c:pt idx="24">
                    <c:v>DILMA</c:v>
                  </c:pt>
                </c:lvl>
              </c:multiLvlStrCache>
            </c:multiLvlStrRef>
          </c:cat>
          <c:val>
            <c:numRef>
              <c:f>Sheet1!$F$3:$F$27</c:f>
              <c:numCache>
                <c:formatCode>General</c:formatCode>
                <c:ptCount val="25"/>
                <c:pt idx="0">
                  <c:v>82.7</c:v>
                </c:pt>
                <c:pt idx="1">
                  <c:v>81.490000000000023</c:v>
                </c:pt>
                <c:pt idx="2">
                  <c:v>81.5</c:v>
                </c:pt>
                <c:pt idx="3">
                  <c:v>82.25</c:v>
                </c:pt>
                <c:pt idx="4">
                  <c:v>83.7</c:v>
                </c:pt>
                <c:pt idx="5">
                  <c:v>84.28</c:v>
                </c:pt>
                <c:pt idx="6">
                  <c:v>82.35</c:v>
                </c:pt>
                <c:pt idx="7">
                  <c:v>81.7</c:v>
                </c:pt>
                <c:pt idx="8">
                  <c:v>79.02</c:v>
                </c:pt>
                <c:pt idx="9">
                  <c:v>78.260000000000005</c:v>
                </c:pt>
                <c:pt idx="10">
                  <c:v>78.52</c:v>
                </c:pt>
                <c:pt idx="11">
                  <c:v>78.27</c:v>
                </c:pt>
                <c:pt idx="12">
                  <c:v>78.16</c:v>
                </c:pt>
                <c:pt idx="13">
                  <c:v>76.149999999999991</c:v>
                </c:pt>
                <c:pt idx="14">
                  <c:v>75.5</c:v>
                </c:pt>
                <c:pt idx="15">
                  <c:v>74.72</c:v>
                </c:pt>
                <c:pt idx="16">
                  <c:v>74.149999999999991</c:v>
                </c:pt>
                <c:pt idx="17">
                  <c:v>73.58</c:v>
                </c:pt>
                <c:pt idx="18">
                  <c:v>73.290000000000006</c:v>
                </c:pt>
                <c:pt idx="19">
                  <c:v>72.740000000000023</c:v>
                </c:pt>
                <c:pt idx="20">
                  <c:v>72.760000000000005</c:v>
                </c:pt>
                <c:pt idx="21">
                  <c:v>73.8</c:v>
                </c:pt>
                <c:pt idx="22">
                  <c:v>73.179999999999978</c:v>
                </c:pt>
                <c:pt idx="23">
                  <c:v>72.990000000000023</c:v>
                </c:pt>
                <c:pt idx="24">
                  <c:v>74.75</c:v>
                </c:pt>
              </c:numCache>
            </c:numRef>
          </c:val>
          <c:smooth val="0"/>
          <c:extLst>
            <c:ext xmlns:c16="http://schemas.microsoft.com/office/drawing/2014/chart" uri="{C3380CC4-5D6E-409C-BE32-E72D297353CC}">
              <c16:uniqueId val="{00000003-93AD-477C-8735-9C1337D68EA5}"/>
            </c:ext>
          </c:extLst>
        </c:ser>
        <c:ser>
          <c:idx val="4"/>
          <c:order val="4"/>
          <c:tx>
            <c:strRef>
              <c:f>Sheet1!$G$2</c:f>
              <c:strCache>
                <c:ptCount val="1"/>
                <c:pt idx="0">
                  <c:v>BRASIL AP2</c:v>
                </c:pt>
              </c:strCache>
            </c:strRef>
          </c:tx>
          <c:cat>
            <c:multiLvlStrRef>
              <c:f>Sheet1!$A$3:$B$27</c:f>
              <c:multiLvlStrCache>
                <c:ptCount val="25"/>
                <c:lvl>
                  <c:pt idx="0">
                    <c:v>1981</c:v>
                  </c:pt>
                  <c:pt idx="1">
                    <c:v>1983</c:v>
                  </c:pt>
                  <c:pt idx="2">
                    <c:v>1984</c:v>
                  </c:pt>
                  <c:pt idx="3">
                    <c:v>1985</c:v>
                  </c:pt>
                  <c:pt idx="4">
                    <c:v>1986</c:v>
                  </c:pt>
                  <c:pt idx="5">
                    <c:v>1988</c:v>
                  </c:pt>
                  <c:pt idx="6">
                    <c:v>1989</c:v>
                  </c:pt>
                  <c:pt idx="7">
                    <c:v>1990</c:v>
                  </c:pt>
                  <c:pt idx="8">
                    <c:v>1992</c:v>
                  </c:pt>
                  <c:pt idx="9">
                    <c:v>1993</c:v>
                  </c:pt>
                  <c:pt idx="10">
                    <c:v>1995</c:v>
                  </c:pt>
                  <c:pt idx="11">
                    <c:v>1996</c:v>
                  </c:pt>
                  <c:pt idx="12">
                    <c:v>1997</c:v>
                  </c:pt>
                  <c:pt idx="13">
                    <c:v>1998</c:v>
                  </c:pt>
                  <c:pt idx="14">
                    <c:v>1999</c:v>
                  </c:pt>
                  <c:pt idx="15">
                    <c:v>2001</c:v>
                  </c:pt>
                  <c:pt idx="16">
                    <c:v>2002</c:v>
                  </c:pt>
                  <c:pt idx="17">
                    <c:v>2003</c:v>
                  </c:pt>
                  <c:pt idx="18">
                    <c:v>2004</c:v>
                  </c:pt>
                  <c:pt idx="19">
                    <c:v>2005</c:v>
                  </c:pt>
                  <c:pt idx="20">
                    <c:v>2006</c:v>
                  </c:pt>
                  <c:pt idx="21">
                    <c:v>2007</c:v>
                  </c:pt>
                  <c:pt idx="22">
                    <c:v>2008</c:v>
                  </c:pt>
                  <c:pt idx="23">
                    <c:v>2009</c:v>
                  </c:pt>
                  <c:pt idx="24">
                    <c:v>2011</c:v>
                  </c:pt>
                </c:lvl>
                <c:lvl>
                  <c:pt idx="0">
                    <c:v>Antes FHC</c:v>
                  </c:pt>
                  <c:pt idx="10">
                    <c:v>FHC</c:v>
                  </c:pt>
                  <c:pt idx="17">
                    <c:v>LULA</c:v>
                  </c:pt>
                  <c:pt idx="24">
                    <c:v>DILMA</c:v>
                  </c:pt>
                </c:lvl>
              </c:multiLvlStrCache>
            </c:multiLvlStrRef>
          </c:cat>
          <c:val>
            <c:numRef>
              <c:f>Sheet1!$G$3:$G$27</c:f>
              <c:numCache>
                <c:formatCode>General</c:formatCode>
                <c:ptCount val="25"/>
                <c:pt idx="0">
                  <c:v>9.5400000000000009</c:v>
                </c:pt>
                <c:pt idx="1">
                  <c:v>10.26</c:v>
                </c:pt>
                <c:pt idx="2">
                  <c:v>10.28</c:v>
                </c:pt>
                <c:pt idx="3">
                  <c:v>10.16</c:v>
                </c:pt>
                <c:pt idx="4">
                  <c:v>8.81</c:v>
                </c:pt>
                <c:pt idx="5">
                  <c:v>8.11</c:v>
                </c:pt>
                <c:pt idx="6">
                  <c:v>9.7800000000000011</c:v>
                </c:pt>
                <c:pt idx="7">
                  <c:v>10.69</c:v>
                </c:pt>
                <c:pt idx="8">
                  <c:v>14.13</c:v>
                </c:pt>
                <c:pt idx="9">
                  <c:v>14.11</c:v>
                </c:pt>
                <c:pt idx="10">
                  <c:v>14.24</c:v>
                </c:pt>
                <c:pt idx="11">
                  <c:v>14.54</c:v>
                </c:pt>
                <c:pt idx="12">
                  <c:v>15.24</c:v>
                </c:pt>
                <c:pt idx="13">
                  <c:v>16.71</c:v>
                </c:pt>
                <c:pt idx="14">
                  <c:v>17.82</c:v>
                </c:pt>
                <c:pt idx="15">
                  <c:v>18.55</c:v>
                </c:pt>
                <c:pt idx="16">
                  <c:v>18.67000000000003</c:v>
                </c:pt>
                <c:pt idx="17">
                  <c:v>19.84</c:v>
                </c:pt>
                <c:pt idx="18">
                  <c:v>19.600000000000001</c:v>
                </c:pt>
                <c:pt idx="19">
                  <c:v>19.79</c:v>
                </c:pt>
                <c:pt idx="20">
                  <c:v>19.5</c:v>
                </c:pt>
                <c:pt idx="21">
                  <c:v>19.38</c:v>
                </c:pt>
                <c:pt idx="22">
                  <c:v>19.439999999999987</c:v>
                </c:pt>
                <c:pt idx="23">
                  <c:v>20.130000000000031</c:v>
                </c:pt>
                <c:pt idx="24">
                  <c:v>19.37</c:v>
                </c:pt>
              </c:numCache>
            </c:numRef>
          </c:val>
          <c:smooth val="0"/>
          <c:extLst>
            <c:ext xmlns:c16="http://schemas.microsoft.com/office/drawing/2014/chart" uri="{C3380CC4-5D6E-409C-BE32-E72D297353CC}">
              <c16:uniqueId val="{00000004-93AD-477C-8735-9C1337D68EA5}"/>
            </c:ext>
          </c:extLst>
        </c:ser>
        <c:ser>
          <c:idx val="5"/>
          <c:order val="5"/>
          <c:tx>
            <c:strRef>
              <c:f>Sheet1!$H$2</c:f>
              <c:strCache>
                <c:ptCount val="1"/>
                <c:pt idx="0">
                  <c:v>BRASIL OR3</c:v>
                </c:pt>
              </c:strCache>
            </c:strRef>
          </c:tx>
          <c:cat>
            <c:multiLvlStrRef>
              <c:f>Sheet1!$A$3:$B$27</c:f>
              <c:multiLvlStrCache>
                <c:ptCount val="25"/>
                <c:lvl>
                  <c:pt idx="0">
                    <c:v>1981</c:v>
                  </c:pt>
                  <c:pt idx="1">
                    <c:v>1983</c:v>
                  </c:pt>
                  <c:pt idx="2">
                    <c:v>1984</c:v>
                  </c:pt>
                  <c:pt idx="3">
                    <c:v>1985</c:v>
                  </c:pt>
                  <c:pt idx="4">
                    <c:v>1986</c:v>
                  </c:pt>
                  <c:pt idx="5">
                    <c:v>1988</c:v>
                  </c:pt>
                  <c:pt idx="6">
                    <c:v>1989</c:v>
                  </c:pt>
                  <c:pt idx="7">
                    <c:v>1990</c:v>
                  </c:pt>
                  <c:pt idx="8">
                    <c:v>1992</c:v>
                  </c:pt>
                  <c:pt idx="9">
                    <c:v>1993</c:v>
                  </c:pt>
                  <c:pt idx="10">
                    <c:v>1995</c:v>
                  </c:pt>
                  <c:pt idx="11">
                    <c:v>1996</c:v>
                  </c:pt>
                  <c:pt idx="12">
                    <c:v>1997</c:v>
                  </c:pt>
                  <c:pt idx="13">
                    <c:v>1998</c:v>
                  </c:pt>
                  <c:pt idx="14">
                    <c:v>1999</c:v>
                  </c:pt>
                  <c:pt idx="15">
                    <c:v>2001</c:v>
                  </c:pt>
                  <c:pt idx="16">
                    <c:v>2002</c:v>
                  </c:pt>
                  <c:pt idx="17">
                    <c:v>2003</c:v>
                  </c:pt>
                  <c:pt idx="18">
                    <c:v>2004</c:v>
                  </c:pt>
                  <c:pt idx="19">
                    <c:v>2005</c:v>
                  </c:pt>
                  <c:pt idx="20">
                    <c:v>2006</c:v>
                  </c:pt>
                  <c:pt idx="21">
                    <c:v>2007</c:v>
                  </c:pt>
                  <c:pt idx="22">
                    <c:v>2008</c:v>
                  </c:pt>
                  <c:pt idx="23">
                    <c:v>2009</c:v>
                  </c:pt>
                  <c:pt idx="24">
                    <c:v>2011</c:v>
                  </c:pt>
                </c:lvl>
                <c:lvl>
                  <c:pt idx="0">
                    <c:v>Antes FHC</c:v>
                  </c:pt>
                  <c:pt idx="10">
                    <c:v>FHC</c:v>
                  </c:pt>
                  <c:pt idx="17">
                    <c:v>LULA</c:v>
                  </c:pt>
                  <c:pt idx="24">
                    <c:v>DILMA</c:v>
                  </c:pt>
                </c:lvl>
              </c:multiLvlStrCache>
            </c:multiLvlStrRef>
          </c:cat>
          <c:val>
            <c:numRef>
              <c:f>Sheet1!$H$3:$H$27</c:f>
              <c:numCache>
                <c:formatCode>General</c:formatCode>
                <c:ptCount val="25"/>
                <c:pt idx="0">
                  <c:v>2.2600000000000002</c:v>
                </c:pt>
                <c:pt idx="1">
                  <c:v>2.4699999999999998</c:v>
                </c:pt>
                <c:pt idx="2">
                  <c:v>2.77</c:v>
                </c:pt>
                <c:pt idx="3">
                  <c:v>2.57</c:v>
                </c:pt>
                <c:pt idx="4">
                  <c:v>1.9700000000000029</c:v>
                </c:pt>
                <c:pt idx="5">
                  <c:v>2.3899999999999997</c:v>
                </c:pt>
                <c:pt idx="6">
                  <c:v>1.9700000000000029</c:v>
                </c:pt>
                <c:pt idx="7">
                  <c:v>1.62</c:v>
                </c:pt>
                <c:pt idx="8">
                  <c:v>2.2000000000000002</c:v>
                </c:pt>
                <c:pt idx="9">
                  <c:v>2.7600000000000002</c:v>
                </c:pt>
                <c:pt idx="10">
                  <c:v>0.88</c:v>
                </c:pt>
                <c:pt idx="11">
                  <c:v>0.89</c:v>
                </c:pt>
                <c:pt idx="12">
                  <c:v>0.61000000000000165</c:v>
                </c:pt>
                <c:pt idx="13">
                  <c:v>0.87000000000000188</c:v>
                </c:pt>
                <c:pt idx="14">
                  <c:v>0.82000000000000162</c:v>
                </c:pt>
                <c:pt idx="15">
                  <c:v>0.91</c:v>
                </c:pt>
                <c:pt idx="16">
                  <c:v>1.29</c:v>
                </c:pt>
                <c:pt idx="17">
                  <c:v>1.05</c:v>
                </c:pt>
                <c:pt idx="18">
                  <c:v>1.59</c:v>
                </c:pt>
                <c:pt idx="19">
                  <c:v>1.77</c:v>
                </c:pt>
                <c:pt idx="20">
                  <c:v>2.15</c:v>
                </c:pt>
                <c:pt idx="21">
                  <c:v>1.72</c:v>
                </c:pt>
                <c:pt idx="22">
                  <c:v>2.17</c:v>
                </c:pt>
                <c:pt idx="23">
                  <c:v>1.6900000000000028</c:v>
                </c:pt>
                <c:pt idx="24">
                  <c:v>1.9800000000000031</c:v>
                </c:pt>
              </c:numCache>
            </c:numRef>
          </c:val>
          <c:smooth val="0"/>
          <c:extLst>
            <c:ext xmlns:c16="http://schemas.microsoft.com/office/drawing/2014/chart" uri="{C3380CC4-5D6E-409C-BE32-E72D297353CC}">
              <c16:uniqueId val="{00000005-93AD-477C-8735-9C1337D68EA5}"/>
            </c:ext>
          </c:extLst>
        </c:ser>
        <c:dLbls>
          <c:showLegendKey val="0"/>
          <c:showVal val="0"/>
          <c:showCatName val="0"/>
          <c:showSerName val="0"/>
          <c:showPercent val="0"/>
          <c:showBubbleSize val="0"/>
        </c:dLbls>
        <c:marker val="1"/>
        <c:smooth val="0"/>
        <c:axId val="471864680"/>
        <c:axId val="471865072"/>
      </c:lineChart>
      <c:catAx>
        <c:axId val="471864680"/>
        <c:scaling>
          <c:orientation val="minMax"/>
        </c:scaling>
        <c:delete val="0"/>
        <c:axPos val="b"/>
        <c:numFmt formatCode="General" sourceLinked="0"/>
        <c:majorTickMark val="out"/>
        <c:minorTickMark val="none"/>
        <c:tickLblPos val="nextTo"/>
        <c:crossAx val="471865072"/>
        <c:crosses val="autoZero"/>
        <c:auto val="1"/>
        <c:lblAlgn val="ctr"/>
        <c:lblOffset val="100"/>
        <c:noMultiLvlLbl val="0"/>
      </c:catAx>
      <c:valAx>
        <c:axId val="471865072"/>
        <c:scaling>
          <c:orientation val="minMax"/>
        </c:scaling>
        <c:delete val="0"/>
        <c:axPos val="l"/>
        <c:majorGridlines/>
        <c:numFmt formatCode="General" sourceLinked="1"/>
        <c:majorTickMark val="out"/>
        <c:minorTickMark val="none"/>
        <c:tickLblPos val="nextTo"/>
        <c:crossAx val="471864680"/>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'[GRAFICOS 190514.xlsx]GINI BRASIL'!$C$2</c:f>
              <c:strCache>
                <c:ptCount val="1"/>
                <c:pt idx="0">
                  <c:v>TP1</c:v>
                </c:pt>
              </c:strCache>
            </c:strRef>
          </c:tx>
          <c:invertIfNegative val="0"/>
          <c:cat>
            <c:multiLvlStrRef>
              <c:f>'[GRAFICOS 190514.xlsx]GINI BRASIL'!$A$3:$B$20</c:f>
              <c:multiLvlStrCache>
                <c:ptCount val="18"/>
                <c:lvl>
                  <c:pt idx="0">
                    <c:v>1990</c:v>
                  </c:pt>
                  <c:pt idx="1">
                    <c:v>1992</c:v>
                  </c:pt>
                  <c:pt idx="2">
                    <c:v>1993</c:v>
                  </c:pt>
                  <c:pt idx="3">
                    <c:v>1995</c:v>
                  </c:pt>
                  <c:pt idx="4">
                    <c:v>1996</c:v>
                  </c:pt>
                  <c:pt idx="5">
                    <c:v>1997</c:v>
                  </c:pt>
                  <c:pt idx="6">
                    <c:v>1998</c:v>
                  </c:pt>
                  <c:pt idx="7">
                    <c:v>1999</c:v>
                  </c:pt>
                  <c:pt idx="8">
                    <c:v>2001</c:v>
                  </c:pt>
                  <c:pt idx="9">
                    <c:v>2002</c:v>
                  </c:pt>
                  <c:pt idx="10">
                    <c:v>2003</c:v>
                  </c:pt>
                  <c:pt idx="11">
                    <c:v>2004</c:v>
                  </c:pt>
                  <c:pt idx="12">
                    <c:v>2005</c:v>
                  </c:pt>
                  <c:pt idx="13">
                    <c:v>2006</c:v>
                  </c:pt>
                  <c:pt idx="14">
                    <c:v>2007</c:v>
                  </c:pt>
                  <c:pt idx="15">
                    <c:v>2008</c:v>
                  </c:pt>
                  <c:pt idx="16">
                    <c:v>2009</c:v>
                  </c:pt>
                  <c:pt idx="17">
                    <c:v>2011</c:v>
                  </c:pt>
                </c:lvl>
                <c:lvl>
                  <c:pt idx="0">
                    <c:v>ANTES FHC</c:v>
                  </c:pt>
                  <c:pt idx="3">
                    <c:v>FHC</c:v>
                  </c:pt>
                  <c:pt idx="10">
                    <c:v>LULA</c:v>
                  </c:pt>
                  <c:pt idx="17">
                    <c:v>DILMA</c:v>
                  </c:pt>
                </c:lvl>
              </c:multiLvlStrCache>
            </c:multiLvlStrRef>
          </c:cat>
          <c:val>
            <c:numRef>
              <c:f>'[GRAFICOS 190514.xlsx]GINI BRASIL'!$C$3:$C$20</c:f>
              <c:numCache>
                <c:formatCode>General</c:formatCode>
                <c:ptCount val="18"/>
                <c:pt idx="0">
                  <c:v>0.55500000000000005</c:v>
                </c:pt>
                <c:pt idx="1">
                  <c:v>0.52300000000000002</c:v>
                </c:pt>
                <c:pt idx="2">
                  <c:v>0.53300000000000003</c:v>
                </c:pt>
                <c:pt idx="3">
                  <c:v>0.54700000000000004</c:v>
                </c:pt>
                <c:pt idx="4">
                  <c:v>0.54100000000000004</c:v>
                </c:pt>
                <c:pt idx="5">
                  <c:v>0.53800000000000003</c:v>
                </c:pt>
                <c:pt idx="6">
                  <c:v>0.53700000000000003</c:v>
                </c:pt>
                <c:pt idx="7">
                  <c:v>0.53900000000000003</c:v>
                </c:pt>
                <c:pt idx="8">
                  <c:v>0.51900000000000002</c:v>
                </c:pt>
                <c:pt idx="9">
                  <c:v>0.505</c:v>
                </c:pt>
                <c:pt idx="10">
                  <c:v>0.49700000000000044</c:v>
                </c:pt>
                <c:pt idx="11">
                  <c:v>0.5</c:v>
                </c:pt>
                <c:pt idx="12">
                  <c:v>0.49700000000000044</c:v>
                </c:pt>
                <c:pt idx="13">
                  <c:v>0.49100000000000038</c:v>
                </c:pt>
                <c:pt idx="14">
                  <c:v>0.49000000000000032</c:v>
                </c:pt>
                <c:pt idx="15">
                  <c:v>0.47800000000000031</c:v>
                </c:pt>
                <c:pt idx="16">
                  <c:v>0.47700000000000031</c:v>
                </c:pt>
                <c:pt idx="17">
                  <c:v>0.46300000000000002</c:v>
                </c:pt>
              </c:numCache>
            </c:numRef>
          </c:val>
          <c:extLst>
            <c:ext xmlns:c16="http://schemas.microsoft.com/office/drawing/2014/chart" uri="{C3380CC4-5D6E-409C-BE32-E72D297353CC}">
              <c16:uniqueId val="{00000000-E436-4FFD-AC56-B31D54C1E467}"/>
            </c:ext>
          </c:extLst>
        </c:ser>
        <c:ser>
          <c:idx val="1"/>
          <c:order val="1"/>
          <c:tx>
            <c:strRef>
              <c:f>'[GRAFICOS 190514.xlsx]GINI BRASIL'!$D$2</c:f>
              <c:strCache>
                <c:ptCount val="1"/>
                <c:pt idx="0">
                  <c:v>AP2</c:v>
                </c:pt>
              </c:strCache>
            </c:strRef>
          </c:tx>
          <c:invertIfNegative val="0"/>
          <c:cat>
            <c:multiLvlStrRef>
              <c:f>'[GRAFICOS 190514.xlsx]GINI BRASIL'!$A$3:$B$20</c:f>
              <c:multiLvlStrCache>
                <c:ptCount val="18"/>
                <c:lvl>
                  <c:pt idx="0">
                    <c:v>1990</c:v>
                  </c:pt>
                  <c:pt idx="1">
                    <c:v>1992</c:v>
                  </c:pt>
                  <c:pt idx="2">
                    <c:v>1993</c:v>
                  </c:pt>
                  <c:pt idx="3">
                    <c:v>1995</c:v>
                  </c:pt>
                  <c:pt idx="4">
                    <c:v>1996</c:v>
                  </c:pt>
                  <c:pt idx="5">
                    <c:v>1997</c:v>
                  </c:pt>
                  <c:pt idx="6">
                    <c:v>1998</c:v>
                  </c:pt>
                  <c:pt idx="7">
                    <c:v>1999</c:v>
                  </c:pt>
                  <c:pt idx="8">
                    <c:v>2001</c:v>
                  </c:pt>
                  <c:pt idx="9">
                    <c:v>2002</c:v>
                  </c:pt>
                  <c:pt idx="10">
                    <c:v>2003</c:v>
                  </c:pt>
                  <c:pt idx="11">
                    <c:v>2004</c:v>
                  </c:pt>
                  <c:pt idx="12">
                    <c:v>2005</c:v>
                  </c:pt>
                  <c:pt idx="13">
                    <c:v>2006</c:v>
                  </c:pt>
                  <c:pt idx="14">
                    <c:v>2007</c:v>
                  </c:pt>
                  <c:pt idx="15">
                    <c:v>2008</c:v>
                  </c:pt>
                  <c:pt idx="16">
                    <c:v>2009</c:v>
                  </c:pt>
                  <c:pt idx="17">
                    <c:v>2011</c:v>
                  </c:pt>
                </c:lvl>
                <c:lvl>
                  <c:pt idx="0">
                    <c:v>ANTES FHC</c:v>
                  </c:pt>
                  <c:pt idx="3">
                    <c:v>FHC</c:v>
                  </c:pt>
                  <c:pt idx="10">
                    <c:v>LULA</c:v>
                  </c:pt>
                  <c:pt idx="17">
                    <c:v>DILMA</c:v>
                  </c:pt>
                </c:lvl>
              </c:multiLvlStrCache>
            </c:multiLvlStrRef>
          </c:cat>
          <c:val>
            <c:numRef>
              <c:f>'[GRAFICOS 190514.xlsx]GINI BRASIL'!$D$3:$D$20</c:f>
              <c:numCache>
                <c:formatCode>General</c:formatCode>
                <c:ptCount val="18"/>
                <c:pt idx="0">
                  <c:v>0.61800000000000088</c:v>
                </c:pt>
                <c:pt idx="1">
                  <c:v>0.54100000000000004</c:v>
                </c:pt>
                <c:pt idx="2">
                  <c:v>0.54100000000000004</c:v>
                </c:pt>
                <c:pt idx="3">
                  <c:v>0.54500000000000004</c:v>
                </c:pt>
                <c:pt idx="4">
                  <c:v>0.54500000000000004</c:v>
                </c:pt>
                <c:pt idx="5">
                  <c:v>0.54700000000000004</c:v>
                </c:pt>
                <c:pt idx="6">
                  <c:v>0.55500000000000005</c:v>
                </c:pt>
                <c:pt idx="7">
                  <c:v>0.56800000000000062</c:v>
                </c:pt>
                <c:pt idx="8">
                  <c:v>0.57000000000000062</c:v>
                </c:pt>
                <c:pt idx="9">
                  <c:v>0.54900000000000004</c:v>
                </c:pt>
                <c:pt idx="10">
                  <c:v>0.52500000000000002</c:v>
                </c:pt>
                <c:pt idx="11">
                  <c:v>0.53800000000000003</c:v>
                </c:pt>
                <c:pt idx="12">
                  <c:v>0.52500000000000002</c:v>
                </c:pt>
                <c:pt idx="13">
                  <c:v>0.50800000000000001</c:v>
                </c:pt>
                <c:pt idx="14">
                  <c:v>0.49800000000000044</c:v>
                </c:pt>
                <c:pt idx="15">
                  <c:v>0.49300000000000038</c:v>
                </c:pt>
                <c:pt idx="16">
                  <c:v>0.48800000000000032</c:v>
                </c:pt>
                <c:pt idx="17">
                  <c:v>0.45800000000000002</c:v>
                </c:pt>
              </c:numCache>
            </c:numRef>
          </c:val>
          <c:extLst>
            <c:ext xmlns:c16="http://schemas.microsoft.com/office/drawing/2014/chart" uri="{C3380CC4-5D6E-409C-BE32-E72D297353CC}">
              <c16:uniqueId val="{00000001-E436-4FFD-AC56-B31D54C1E467}"/>
            </c:ext>
          </c:extLst>
        </c:ser>
        <c:ser>
          <c:idx val="2"/>
          <c:order val="2"/>
          <c:tx>
            <c:strRef>
              <c:f>'[GRAFICOS 190514.xlsx]GINI BRASIL'!$E$2</c:f>
              <c:strCache>
                <c:ptCount val="1"/>
                <c:pt idx="0">
                  <c:v>OR3</c:v>
                </c:pt>
              </c:strCache>
            </c:strRef>
          </c:tx>
          <c:invertIfNegative val="0"/>
          <c:cat>
            <c:multiLvlStrRef>
              <c:f>'[GRAFICOS 190514.xlsx]GINI BRASIL'!$A$3:$B$20</c:f>
              <c:multiLvlStrCache>
                <c:ptCount val="18"/>
                <c:lvl>
                  <c:pt idx="0">
                    <c:v>1990</c:v>
                  </c:pt>
                  <c:pt idx="1">
                    <c:v>1992</c:v>
                  </c:pt>
                  <c:pt idx="2">
                    <c:v>1993</c:v>
                  </c:pt>
                  <c:pt idx="3">
                    <c:v>1995</c:v>
                  </c:pt>
                  <c:pt idx="4">
                    <c:v>1996</c:v>
                  </c:pt>
                  <c:pt idx="5">
                    <c:v>1997</c:v>
                  </c:pt>
                  <c:pt idx="6">
                    <c:v>1998</c:v>
                  </c:pt>
                  <c:pt idx="7">
                    <c:v>1999</c:v>
                  </c:pt>
                  <c:pt idx="8">
                    <c:v>2001</c:v>
                  </c:pt>
                  <c:pt idx="9">
                    <c:v>2002</c:v>
                  </c:pt>
                  <c:pt idx="10">
                    <c:v>2003</c:v>
                  </c:pt>
                  <c:pt idx="11">
                    <c:v>2004</c:v>
                  </c:pt>
                  <c:pt idx="12">
                    <c:v>2005</c:v>
                  </c:pt>
                  <c:pt idx="13">
                    <c:v>2006</c:v>
                  </c:pt>
                  <c:pt idx="14">
                    <c:v>2007</c:v>
                  </c:pt>
                  <c:pt idx="15">
                    <c:v>2008</c:v>
                  </c:pt>
                  <c:pt idx="16">
                    <c:v>2009</c:v>
                  </c:pt>
                  <c:pt idx="17">
                    <c:v>2011</c:v>
                  </c:pt>
                </c:lvl>
                <c:lvl>
                  <c:pt idx="0">
                    <c:v>ANTES FHC</c:v>
                  </c:pt>
                  <c:pt idx="3">
                    <c:v>FHC</c:v>
                  </c:pt>
                  <c:pt idx="10">
                    <c:v>LULA</c:v>
                  </c:pt>
                  <c:pt idx="17">
                    <c:v>DILMA</c:v>
                  </c:pt>
                </c:lvl>
              </c:multiLvlStrCache>
            </c:multiLvlStrRef>
          </c:cat>
          <c:val>
            <c:numRef>
              <c:f>'[GRAFICOS 190514.xlsx]GINI BRASIL'!$E$3:$E$20</c:f>
              <c:numCache>
                <c:formatCode>General</c:formatCode>
                <c:ptCount val="18"/>
                <c:pt idx="0">
                  <c:v>0.57700000000000162</c:v>
                </c:pt>
                <c:pt idx="1">
                  <c:v>0.78800000000000003</c:v>
                </c:pt>
                <c:pt idx="2">
                  <c:v>0.84600000000000064</c:v>
                </c:pt>
                <c:pt idx="3">
                  <c:v>0.73800000000000088</c:v>
                </c:pt>
                <c:pt idx="4">
                  <c:v>0.78</c:v>
                </c:pt>
                <c:pt idx="5">
                  <c:v>0.73900000000000088</c:v>
                </c:pt>
                <c:pt idx="6">
                  <c:v>0.73800000000000088</c:v>
                </c:pt>
                <c:pt idx="7">
                  <c:v>0.68300000000000005</c:v>
                </c:pt>
                <c:pt idx="8">
                  <c:v>0.62300000000000089</c:v>
                </c:pt>
                <c:pt idx="9">
                  <c:v>0.43500000000000044</c:v>
                </c:pt>
                <c:pt idx="10">
                  <c:v>0.35200000000000031</c:v>
                </c:pt>
                <c:pt idx="11">
                  <c:v>0.40300000000000002</c:v>
                </c:pt>
                <c:pt idx="12">
                  <c:v>0.35200000000000031</c:v>
                </c:pt>
                <c:pt idx="13">
                  <c:v>0.30400000000000038</c:v>
                </c:pt>
                <c:pt idx="14">
                  <c:v>0.37400000000000044</c:v>
                </c:pt>
                <c:pt idx="15">
                  <c:v>0.33400000000000057</c:v>
                </c:pt>
                <c:pt idx="16">
                  <c:v>9.7000000000000017E-2</c:v>
                </c:pt>
                <c:pt idx="17">
                  <c:v>0.11900000000000002</c:v>
                </c:pt>
              </c:numCache>
            </c:numRef>
          </c:val>
          <c:extLst>
            <c:ext xmlns:c16="http://schemas.microsoft.com/office/drawing/2014/chart" uri="{C3380CC4-5D6E-409C-BE32-E72D297353CC}">
              <c16:uniqueId val="{00000002-E436-4FFD-AC56-B31D54C1E467}"/>
            </c:ext>
          </c:extLst>
        </c:ser>
        <c:dLbls>
          <c:showLegendKey val="0"/>
          <c:showVal val="0"/>
          <c:showCatName val="0"/>
          <c:showSerName val="0"/>
          <c:showPercent val="0"/>
          <c:showBubbleSize val="0"/>
        </c:dLbls>
        <c:gapWidth val="150"/>
        <c:axId val="477940704"/>
        <c:axId val="477940312"/>
      </c:barChart>
      <c:lineChart>
        <c:grouping val="standard"/>
        <c:varyColors val="0"/>
        <c:ser>
          <c:idx val="3"/>
          <c:order val="3"/>
          <c:tx>
            <c:strRef>
              <c:f>'[GRAFICOS 190514.xlsx]GINI BRASIL'!$I$2</c:f>
              <c:strCache>
                <c:ptCount val="1"/>
                <c:pt idx="0">
                  <c:v>GT4</c:v>
                </c:pt>
              </c:strCache>
            </c:strRef>
          </c:tx>
          <c:spPr>
            <a:ln>
              <a:solidFill>
                <a:srgbClr val="000000"/>
              </a:solidFill>
            </a:ln>
          </c:spPr>
          <c:marker>
            <c:symbol val="none"/>
          </c:marker>
          <c:cat>
            <c:multiLvlStrRef>
              <c:f>'[GRAFICOS 190514.xlsx]GINI BRASIL'!$A$3:$B$20</c:f>
              <c:multiLvlStrCache>
                <c:ptCount val="18"/>
                <c:lvl>
                  <c:pt idx="0">
                    <c:v>1990</c:v>
                  </c:pt>
                  <c:pt idx="1">
                    <c:v>1992</c:v>
                  </c:pt>
                  <c:pt idx="2">
                    <c:v>1993</c:v>
                  </c:pt>
                  <c:pt idx="3">
                    <c:v>1995</c:v>
                  </c:pt>
                  <c:pt idx="4">
                    <c:v>1996</c:v>
                  </c:pt>
                  <c:pt idx="5">
                    <c:v>1997</c:v>
                  </c:pt>
                  <c:pt idx="6">
                    <c:v>1998</c:v>
                  </c:pt>
                  <c:pt idx="7">
                    <c:v>1999</c:v>
                  </c:pt>
                  <c:pt idx="8">
                    <c:v>2001</c:v>
                  </c:pt>
                  <c:pt idx="9">
                    <c:v>2002</c:v>
                  </c:pt>
                  <c:pt idx="10">
                    <c:v>2003</c:v>
                  </c:pt>
                  <c:pt idx="11">
                    <c:v>2004</c:v>
                  </c:pt>
                  <c:pt idx="12">
                    <c:v>2005</c:v>
                  </c:pt>
                  <c:pt idx="13">
                    <c:v>2006</c:v>
                  </c:pt>
                  <c:pt idx="14">
                    <c:v>2007</c:v>
                  </c:pt>
                  <c:pt idx="15">
                    <c:v>2008</c:v>
                  </c:pt>
                  <c:pt idx="16">
                    <c:v>2009</c:v>
                  </c:pt>
                  <c:pt idx="17">
                    <c:v>2011</c:v>
                  </c:pt>
                </c:lvl>
                <c:lvl>
                  <c:pt idx="0">
                    <c:v>ANTES FHC</c:v>
                  </c:pt>
                  <c:pt idx="3">
                    <c:v>FHC</c:v>
                  </c:pt>
                  <c:pt idx="10">
                    <c:v>LULA</c:v>
                  </c:pt>
                  <c:pt idx="17">
                    <c:v>DILMA</c:v>
                  </c:pt>
                </c:lvl>
              </c:multiLvlStrCache>
            </c:multiLvlStrRef>
          </c:cat>
          <c:val>
            <c:numRef>
              <c:f>'[GRAFICOS 190514.xlsx]GINI BRASIL'!$I$3:$I$20</c:f>
              <c:numCache>
                <c:formatCode>General</c:formatCode>
                <c:ptCount val="18"/>
                <c:pt idx="0">
                  <c:v>0.61200000000000065</c:v>
                </c:pt>
                <c:pt idx="1">
                  <c:v>0.58000000000000007</c:v>
                </c:pt>
                <c:pt idx="2">
                  <c:v>0.60200000000000065</c:v>
                </c:pt>
                <c:pt idx="3">
                  <c:v>0.59899999999999998</c:v>
                </c:pt>
                <c:pt idx="4">
                  <c:v>0.60000000000000064</c:v>
                </c:pt>
                <c:pt idx="5">
                  <c:v>0.60000000000000064</c:v>
                </c:pt>
                <c:pt idx="6">
                  <c:v>0.59799999999999998</c:v>
                </c:pt>
                <c:pt idx="7">
                  <c:v>0.59199999999999997</c:v>
                </c:pt>
                <c:pt idx="8">
                  <c:v>0.59399999999999997</c:v>
                </c:pt>
                <c:pt idx="9">
                  <c:v>0.58699999999999997</c:v>
                </c:pt>
                <c:pt idx="10">
                  <c:v>0.58099999999999996</c:v>
                </c:pt>
                <c:pt idx="11">
                  <c:v>0.56900000000000062</c:v>
                </c:pt>
                <c:pt idx="12">
                  <c:v>0.56600000000000061</c:v>
                </c:pt>
                <c:pt idx="13">
                  <c:v>0.55900000000000005</c:v>
                </c:pt>
                <c:pt idx="14">
                  <c:v>0.55200000000000005</c:v>
                </c:pt>
                <c:pt idx="15">
                  <c:v>0.54400000000000004</c:v>
                </c:pt>
                <c:pt idx="16">
                  <c:v>0.53900000000000003</c:v>
                </c:pt>
                <c:pt idx="17">
                  <c:v>0.52900000000000003</c:v>
                </c:pt>
              </c:numCache>
            </c:numRef>
          </c:val>
          <c:smooth val="0"/>
          <c:extLst>
            <c:ext xmlns:c16="http://schemas.microsoft.com/office/drawing/2014/chart" uri="{C3380CC4-5D6E-409C-BE32-E72D297353CC}">
              <c16:uniqueId val="{00000003-E436-4FFD-AC56-B31D54C1E467}"/>
            </c:ext>
          </c:extLst>
        </c:ser>
        <c:dLbls>
          <c:showLegendKey val="0"/>
          <c:showVal val="0"/>
          <c:showCatName val="0"/>
          <c:showSerName val="0"/>
          <c:showPercent val="0"/>
          <c:showBubbleSize val="0"/>
        </c:dLbls>
        <c:marker val="1"/>
        <c:smooth val="0"/>
        <c:axId val="477941096"/>
        <c:axId val="477939528"/>
      </c:lineChart>
      <c:catAx>
        <c:axId val="477940704"/>
        <c:scaling>
          <c:orientation val="minMax"/>
        </c:scaling>
        <c:delete val="0"/>
        <c:axPos val="b"/>
        <c:numFmt formatCode="General" sourceLinked="0"/>
        <c:majorTickMark val="out"/>
        <c:minorTickMark val="none"/>
        <c:tickLblPos val="nextTo"/>
        <c:crossAx val="477940312"/>
        <c:crosses val="autoZero"/>
        <c:auto val="1"/>
        <c:lblAlgn val="ctr"/>
        <c:lblOffset val="100"/>
        <c:noMultiLvlLbl val="0"/>
      </c:catAx>
      <c:valAx>
        <c:axId val="477940312"/>
        <c:scaling>
          <c:orientation val="minMax"/>
        </c:scaling>
        <c:delete val="0"/>
        <c:axPos val="l"/>
        <c:majorGridlines/>
        <c:numFmt formatCode="General" sourceLinked="1"/>
        <c:majorTickMark val="out"/>
        <c:minorTickMark val="none"/>
        <c:tickLblPos val="nextTo"/>
        <c:crossAx val="477940704"/>
        <c:crosses val="autoZero"/>
        <c:crossBetween val="between"/>
      </c:valAx>
      <c:valAx>
        <c:axId val="477939528"/>
        <c:scaling>
          <c:orientation val="minMax"/>
          <c:max val="0.9"/>
          <c:min val="0"/>
        </c:scaling>
        <c:delete val="0"/>
        <c:axPos val="r"/>
        <c:numFmt formatCode="General" sourceLinked="1"/>
        <c:majorTickMark val="out"/>
        <c:minorTickMark val="none"/>
        <c:tickLblPos val="nextTo"/>
        <c:crossAx val="477941096"/>
        <c:crosses val="max"/>
        <c:crossBetween val="between"/>
        <c:minorUnit val="2.0000000000000011E-2"/>
      </c:valAx>
      <c:catAx>
        <c:axId val="477941096"/>
        <c:scaling>
          <c:orientation val="minMax"/>
        </c:scaling>
        <c:delete val="1"/>
        <c:axPos val="b"/>
        <c:numFmt formatCode="General" sourceLinked="1"/>
        <c:majorTickMark val="out"/>
        <c:minorTickMark val="none"/>
        <c:tickLblPos val="none"/>
        <c:crossAx val="477939528"/>
        <c:crosses val="autoZero"/>
        <c:auto val="1"/>
        <c:lblAlgn val="ctr"/>
        <c:lblOffset val="100"/>
        <c:noMultiLvlLbl val="0"/>
      </c:catAx>
    </c:plotArea>
    <c:legend>
      <c:legendPos val="r"/>
      <c:layout>
        <c:manualLayout>
          <c:xMode val="edge"/>
          <c:yMode val="edge"/>
          <c:x val="0.85814857412486356"/>
          <c:y val="0.38581672150048779"/>
          <c:w val="0.10332815139680573"/>
          <c:h val="0.24963910179548776"/>
        </c:manualLayout>
      </c:layout>
      <c:overlay val="0"/>
    </c:legend>
    <c:plotVisOnly val="1"/>
    <c:dispBlanksAs val="gap"/>
    <c:showDLblsOverMax val="0"/>
  </c:chart>
  <c:spPr>
    <a:ln>
      <a:solidFill>
        <a:schemeClr val="tx1"/>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'GINI BRASIL'!$F$2</c:f>
              <c:strCache>
                <c:ptCount val="1"/>
                <c:pt idx="0">
                  <c:v>TP1</c:v>
                </c:pt>
              </c:strCache>
            </c:strRef>
          </c:tx>
          <c:invertIfNegative val="0"/>
          <c:cat>
            <c:multiLvlStrRef>
              <c:f>'GINI BRASIL'!$A$3:$B$20</c:f>
              <c:multiLvlStrCache>
                <c:ptCount val="18"/>
                <c:lvl>
                  <c:pt idx="0">
                    <c:v>1990</c:v>
                  </c:pt>
                  <c:pt idx="1">
                    <c:v>1992</c:v>
                  </c:pt>
                  <c:pt idx="2">
                    <c:v>1993</c:v>
                  </c:pt>
                  <c:pt idx="3">
                    <c:v>1995</c:v>
                  </c:pt>
                  <c:pt idx="4">
                    <c:v>1996</c:v>
                  </c:pt>
                  <c:pt idx="5">
                    <c:v>1997</c:v>
                  </c:pt>
                  <c:pt idx="6">
                    <c:v>1998</c:v>
                  </c:pt>
                  <c:pt idx="7">
                    <c:v>1999</c:v>
                  </c:pt>
                  <c:pt idx="8">
                    <c:v>2001</c:v>
                  </c:pt>
                  <c:pt idx="9">
                    <c:v>2002</c:v>
                  </c:pt>
                  <c:pt idx="10">
                    <c:v>2003</c:v>
                  </c:pt>
                  <c:pt idx="11">
                    <c:v>2004</c:v>
                  </c:pt>
                  <c:pt idx="12">
                    <c:v>2005</c:v>
                  </c:pt>
                  <c:pt idx="13">
                    <c:v>2006</c:v>
                  </c:pt>
                  <c:pt idx="14">
                    <c:v>2007</c:v>
                  </c:pt>
                  <c:pt idx="15">
                    <c:v>2008</c:v>
                  </c:pt>
                  <c:pt idx="16">
                    <c:v>2009</c:v>
                  </c:pt>
                  <c:pt idx="17">
                    <c:v>2011</c:v>
                  </c:pt>
                </c:lvl>
                <c:lvl>
                  <c:pt idx="0">
                    <c:v>ANTES FHC</c:v>
                  </c:pt>
                  <c:pt idx="3">
                    <c:v>FHC</c:v>
                  </c:pt>
                  <c:pt idx="10">
                    <c:v>LULA</c:v>
                  </c:pt>
                  <c:pt idx="17">
                    <c:v>DILMA</c:v>
                  </c:pt>
                </c:lvl>
              </c:multiLvlStrCache>
            </c:multiLvlStrRef>
          </c:cat>
          <c:val>
            <c:numRef>
              <c:f>'GINI BRASIL'!$F$3:$F$20</c:f>
              <c:numCache>
                <c:formatCode>General</c:formatCode>
                <c:ptCount val="18"/>
                <c:pt idx="0">
                  <c:v>0.59499999999999997</c:v>
                </c:pt>
                <c:pt idx="1">
                  <c:v>0.56500000000000061</c:v>
                </c:pt>
                <c:pt idx="2">
                  <c:v>0.58899999999999997</c:v>
                </c:pt>
                <c:pt idx="3">
                  <c:v>0.58699999999999997</c:v>
                </c:pt>
                <c:pt idx="4">
                  <c:v>0.58799999999999997</c:v>
                </c:pt>
                <c:pt idx="5">
                  <c:v>0.59099999999999997</c:v>
                </c:pt>
                <c:pt idx="6">
                  <c:v>0.58499999999999996</c:v>
                </c:pt>
                <c:pt idx="7">
                  <c:v>0.57900000000000162</c:v>
                </c:pt>
                <c:pt idx="8">
                  <c:v>0.58099999999999996</c:v>
                </c:pt>
                <c:pt idx="9">
                  <c:v>0.57500000000000162</c:v>
                </c:pt>
                <c:pt idx="10">
                  <c:v>0.57000000000000062</c:v>
                </c:pt>
                <c:pt idx="11">
                  <c:v>0.55800000000000005</c:v>
                </c:pt>
                <c:pt idx="12">
                  <c:v>0.55600000000000005</c:v>
                </c:pt>
                <c:pt idx="13">
                  <c:v>0.55400000000000005</c:v>
                </c:pt>
                <c:pt idx="14">
                  <c:v>0.54800000000000004</c:v>
                </c:pt>
                <c:pt idx="15">
                  <c:v>0.53700000000000003</c:v>
                </c:pt>
                <c:pt idx="16">
                  <c:v>0.53400000000000003</c:v>
                </c:pt>
                <c:pt idx="17">
                  <c:v>0.53400000000000003</c:v>
                </c:pt>
              </c:numCache>
            </c:numRef>
          </c:val>
          <c:extLst>
            <c:ext xmlns:c16="http://schemas.microsoft.com/office/drawing/2014/chart" uri="{C3380CC4-5D6E-409C-BE32-E72D297353CC}">
              <c16:uniqueId val="{00000000-DF0C-4CA5-89E5-EF66BA8CE9AE}"/>
            </c:ext>
          </c:extLst>
        </c:ser>
        <c:ser>
          <c:idx val="1"/>
          <c:order val="1"/>
          <c:tx>
            <c:strRef>
              <c:f>'GINI BRASIL'!$G$2</c:f>
              <c:strCache>
                <c:ptCount val="1"/>
                <c:pt idx="0">
                  <c:v>AP2</c:v>
                </c:pt>
              </c:strCache>
            </c:strRef>
          </c:tx>
          <c:invertIfNegative val="0"/>
          <c:cat>
            <c:multiLvlStrRef>
              <c:f>'GINI BRASIL'!$A$3:$B$20</c:f>
              <c:multiLvlStrCache>
                <c:ptCount val="18"/>
                <c:lvl>
                  <c:pt idx="0">
                    <c:v>1990</c:v>
                  </c:pt>
                  <c:pt idx="1">
                    <c:v>1992</c:v>
                  </c:pt>
                  <c:pt idx="2">
                    <c:v>1993</c:v>
                  </c:pt>
                  <c:pt idx="3">
                    <c:v>1995</c:v>
                  </c:pt>
                  <c:pt idx="4">
                    <c:v>1996</c:v>
                  </c:pt>
                  <c:pt idx="5">
                    <c:v>1997</c:v>
                  </c:pt>
                  <c:pt idx="6">
                    <c:v>1998</c:v>
                  </c:pt>
                  <c:pt idx="7">
                    <c:v>1999</c:v>
                  </c:pt>
                  <c:pt idx="8">
                    <c:v>2001</c:v>
                  </c:pt>
                  <c:pt idx="9">
                    <c:v>2002</c:v>
                  </c:pt>
                  <c:pt idx="10">
                    <c:v>2003</c:v>
                  </c:pt>
                  <c:pt idx="11">
                    <c:v>2004</c:v>
                  </c:pt>
                  <c:pt idx="12">
                    <c:v>2005</c:v>
                  </c:pt>
                  <c:pt idx="13">
                    <c:v>2006</c:v>
                  </c:pt>
                  <c:pt idx="14">
                    <c:v>2007</c:v>
                  </c:pt>
                  <c:pt idx="15">
                    <c:v>2008</c:v>
                  </c:pt>
                  <c:pt idx="16">
                    <c:v>2009</c:v>
                  </c:pt>
                  <c:pt idx="17">
                    <c:v>2011</c:v>
                  </c:pt>
                </c:lvl>
                <c:lvl>
                  <c:pt idx="0">
                    <c:v>ANTES FHC</c:v>
                  </c:pt>
                  <c:pt idx="3">
                    <c:v>FHC</c:v>
                  </c:pt>
                  <c:pt idx="10">
                    <c:v>LULA</c:v>
                  </c:pt>
                  <c:pt idx="17">
                    <c:v>DILMA</c:v>
                  </c:pt>
                </c:lvl>
              </c:multiLvlStrCache>
            </c:multiLvlStrRef>
          </c:cat>
          <c:val>
            <c:numRef>
              <c:f>'GINI BRASIL'!$G$3:$G$20</c:f>
              <c:numCache>
                <c:formatCode>General</c:formatCode>
                <c:ptCount val="18"/>
                <c:pt idx="0">
                  <c:v>0.63200000000000101</c:v>
                </c:pt>
                <c:pt idx="1">
                  <c:v>0.57600000000000162</c:v>
                </c:pt>
                <c:pt idx="2">
                  <c:v>0.57900000000000162</c:v>
                </c:pt>
                <c:pt idx="3">
                  <c:v>0.58599999999999997</c:v>
                </c:pt>
                <c:pt idx="4">
                  <c:v>0.58000000000000007</c:v>
                </c:pt>
                <c:pt idx="5">
                  <c:v>0.58499999999999996</c:v>
                </c:pt>
                <c:pt idx="6">
                  <c:v>0.59899999999999998</c:v>
                </c:pt>
                <c:pt idx="7">
                  <c:v>0.60300000000000065</c:v>
                </c:pt>
                <c:pt idx="8">
                  <c:v>0.60300000000000065</c:v>
                </c:pt>
                <c:pt idx="9">
                  <c:v>0.59199999999999997</c:v>
                </c:pt>
                <c:pt idx="10">
                  <c:v>0.59199999999999997</c:v>
                </c:pt>
                <c:pt idx="11">
                  <c:v>0.59399999999999997</c:v>
                </c:pt>
                <c:pt idx="12">
                  <c:v>0.58699999999999997</c:v>
                </c:pt>
                <c:pt idx="13">
                  <c:v>0.57700000000000162</c:v>
                </c:pt>
                <c:pt idx="14">
                  <c:v>0.56100000000000005</c:v>
                </c:pt>
                <c:pt idx="15">
                  <c:v>0.56000000000000005</c:v>
                </c:pt>
                <c:pt idx="16">
                  <c:v>0.56000000000000005</c:v>
                </c:pt>
                <c:pt idx="17">
                  <c:v>0.53100000000000003</c:v>
                </c:pt>
              </c:numCache>
            </c:numRef>
          </c:val>
          <c:extLst>
            <c:ext xmlns:c16="http://schemas.microsoft.com/office/drawing/2014/chart" uri="{C3380CC4-5D6E-409C-BE32-E72D297353CC}">
              <c16:uniqueId val="{00000001-DF0C-4CA5-89E5-EF66BA8CE9AE}"/>
            </c:ext>
          </c:extLst>
        </c:ser>
        <c:ser>
          <c:idx val="2"/>
          <c:order val="2"/>
          <c:tx>
            <c:strRef>
              <c:f>'GINI BRASIL'!$H$2</c:f>
              <c:strCache>
                <c:ptCount val="1"/>
                <c:pt idx="0">
                  <c:v>OR3</c:v>
                </c:pt>
              </c:strCache>
            </c:strRef>
          </c:tx>
          <c:invertIfNegative val="0"/>
          <c:cat>
            <c:multiLvlStrRef>
              <c:f>'GINI BRASIL'!$A$3:$B$20</c:f>
              <c:multiLvlStrCache>
                <c:ptCount val="18"/>
                <c:lvl>
                  <c:pt idx="0">
                    <c:v>1990</c:v>
                  </c:pt>
                  <c:pt idx="1">
                    <c:v>1992</c:v>
                  </c:pt>
                  <c:pt idx="2">
                    <c:v>1993</c:v>
                  </c:pt>
                  <c:pt idx="3">
                    <c:v>1995</c:v>
                  </c:pt>
                  <c:pt idx="4">
                    <c:v>1996</c:v>
                  </c:pt>
                  <c:pt idx="5">
                    <c:v>1997</c:v>
                  </c:pt>
                  <c:pt idx="6">
                    <c:v>1998</c:v>
                  </c:pt>
                  <c:pt idx="7">
                    <c:v>1999</c:v>
                  </c:pt>
                  <c:pt idx="8">
                    <c:v>2001</c:v>
                  </c:pt>
                  <c:pt idx="9">
                    <c:v>2002</c:v>
                  </c:pt>
                  <c:pt idx="10">
                    <c:v>2003</c:v>
                  </c:pt>
                  <c:pt idx="11">
                    <c:v>2004</c:v>
                  </c:pt>
                  <c:pt idx="12">
                    <c:v>2005</c:v>
                  </c:pt>
                  <c:pt idx="13">
                    <c:v>2006</c:v>
                  </c:pt>
                  <c:pt idx="14">
                    <c:v>2007</c:v>
                  </c:pt>
                  <c:pt idx="15">
                    <c:v>2008</c:v>
                  </c:pt>
                  <c:pt idx="16">
                    <c:v>2009</c:v>
                  </c:pt>
                  <c:pt idx="17">
                    <c:v>2011</c:v>
                  </c:pt>
                </c:lvl>
                <c:lvl>
                  <c:pt idx="0">
                    <c:v>ANTES FHC</c:v>
                  </c:pt>
                  <c:pt idx="3">
                    <c:v>FHC</c:v>
                  </c:pt>
                  <c:pt idx="10">
                    <c:v>LULA</c:v>
                  </c:pt>
                  <c:pt idx="17">
                    <c:v>DILMA</c:v>
                  </c:pt>
                </c:lvl>
              </c:multiLvlStrCache>
            </c:multiLvlStrRef>
          </c:cat>
          <c:val>
            <c:numRef>
              <c:f>'GINI BRASIL'!$H$3:$H$20</c:f>
              <c:numCache>
                <c:formatCode>General</c:formatCode>
                <c:ptCount val="18"/>
                <c:pt idx="0">
                  <c:v>0.629000000000001</c:v>
                </c:pt>
                <c:pt idx="1">
                  <c:v>0.83900000000000063</c:v>
                </c:pt>
                <c:pt idx="2">
                  <c:v>0.85800000000000065</c:v>
                </c:pt>
                <c:pt idx="3">
                  <c:v>0.78900000000000003</c:v>
                </c:pt>
                <c:pt idx="4">
                  <c:v>0.81500000000000061</c:v>
                </c:pt>
                <c:pt idx="5">
                  <c:v>0.76900000000000202</c:v>
                </c:pt>
                <c:pt idx="6">
                  <c:v>0.76400000000000201</c:v>
                </c:pt>
                <c:pt idx="7">
                  <c:v>0.69500000000000162</c:v>
                </c:pt>
                <c:pt idx="8">
                  <c:v>0.53900000000000003</c:v>
                </c:pt>
                <c:pt idx="9">
                  <c:v>0.51200000000000001</c:v>
                </c:pt>
                <c:pt idx="10">
                  <c:v>0.33800000000000058</c:v>
                </c:pt>
                <c:pt idx="11">
                  <c:v>0.15900000000000025</c:v>
                </c:pt>
                <c:pt idx="12">
                  <c:v>0.23800000000000004</c:v>
                </c:pt>
                <c:pt idx="13">
                  <c:v>0.12300000000000011</c:v>
                </c:pt>
                <c:pt idx="14">
                  <c:v>9.1000000000000025E-2</c:v>
                </c:pt>
                <c:pt idx="15">
                  <c:v>0.18800000000000025</c:v>
                </c:pt>
                <c:pt idx="16">
                  <c:v>-0.10500000000000002</c:v>
                </c:pt>
                <c:pt idx="17">
                  <c:v>-8.6000000000000021E-2</c:v>
                </c:pt>
              </c:numCache>
            </c:numRef>
          </c:val>
          <c:extLst>
            <c:ext xmlns:c16="http://schemas.microsoft.com/office/drawing/2014/chart" uri="{C3380CC4-5D6E-409C-BE32-E72D297353CC}">
              <c16:uniqueId val="{00000002-DF0C-4CA5-89E5-EF66BA8CE9AE}"/>
            </c:ext>
          </c:extLst>
        </c:ser>
        <c:dLbls>
          <c:showLegendKey val="0"/>
          <c:showVal val="0"/>
          <c:showCatName val="0"/>
          <c:showSerName val="0"/>
          <c:showPercent val="0"/>
          <c:showBubbleSize val="0"/>
        </c:dLbls>
        <c:gapWidth val="150"/>
        <c:axId val="477972984"/>
        <c:axId val="477973768"/>
      </c:barChart>
      <c:lineChart>
        <c:grouping val="standard"/>
        <c:varyColors val="0"/>
        <c:ser>
          <c:idx val="3"/>
          <c:order val="3"/>
          <c:tx>
            <c:strRef>
              <c:f>'GINI BRASIL'!$I$2</c:f>
              <c:strCache>
                <c:ptCount val="1"/>
                <c:pt idx="0">
                  <c:v>GT4</c:v>
                </c:pt>
              </c:strCache>
            </c:strRef>
          </c:tx>
          <c:spPr>
            <a:ln>
              <a:solidFill>
                <a:srgbClr val="000000"/>
              </a:solidFill>
            </a:ln>
          </c:spPr>
          <c:marker>
            <c:symbol val="none"/>
          </c:marker>
          <c:cat>
            <c:multiLvlStrRef>
              <c:f>'GINI BRASIL'!$A$3:$B$20</c:f>
              <c:multiLvlStrCache>
                <c:ptCount val="18"/>
                <c:lvl>
                  <c:pt idx="0">
                    <c:v>1990</c:v>
                  </c:pt>
                  <c:pt idx="1">
                    <c:v>1992</c:v>
                  </c:pt>
                  <c:pt idx="2">
                    <c:v>1993</c:v>
                  </c:pt>
                  <c:pt idx="3">
                    <c:v>1995</c:v>
                  </c:pt>
                  <c:pt idx="4">
                    <c:v>1996</c:v>
                  </c:pt>
                  <c:pt idx="5">
                    <c:v>1997</c:v>
                  </c:pt>
                  <c:pt idx="6">
                    <c:v>1998</c:v>
                  </c:pt>
                  <c:pt idx="7">
                    <c:v>1999</c:v>
                  </c:pt>
                  <c:pt idx="8">
                    <c:v>2001</c:v>
                  </c:pt>
                  <c:pt idx="9">
                    <c:v>2002</c:v>
                  </c:pt>
                  <c:pt idx="10">
                    <c:v>2003</c:v>
                  </c:pt>
                  <c:pt idx="11">
                    <c:v>2004</c:v>
                  </c:pt>
                  <c:pt idx="12">
                    <c:v>2005</c:v>
                  </c:pt>
                  <c:pt idx="13">
                    <c:v>2006</c:v>
                  </c:pt>
                  <c:pt idx="14">
                    <c:v>2007</c:v>
                  </c:pt>
                  <c:pt idx="15">
                    <c:v>2008</c:v>
                  </c:pt>
                  <c:pt idx="16">
                    <c:v>2009</c:v>
                  </c:pt>
                  <c:pt idx="17">
                    <c:v>2011</c:v>
                  </c:pt>
                </c:lvl>
                <c:lvl>
                  <c:pt idx="0">
                    <c:v>ANTES FHC</c:v>
                  </c:pt>
                  <c:pt idx="3">
                    <c:v>FHC</c:v>
                  </c:pt>
                  <c:pt idx="10">
                    <c:v>LULA</c:v>
                  </c:pt>
                  <c:pt idx="17">
                    <c:v>DILMA</c:v>
                  </c:pt>
                </c:lvl>
              </c:multiLvlStrCache>
            </c:multiLvlStrRef>
          </c:cat>
          <c:val>
            <c:numRef>
              <c:f>'GINI BRASIL'!$I$3:$I$20</c:f>
              <c:numCache>
                <c:formatCode>General</c:formatCode>
                <c:ptCount val="18"/>
                <c:pt idx="0">
                  <c:v>0.61200000000000065</c:v>
                </c:pt>
                <c:pt idx="1">
                  <c:v>0.58000000000000007</c:v>
                </c:pt>
                <c:pt idx="2">
                  <c:v>0.60200000000000065</c:v>
                </c:pt>
                <c:pt idx="3">
                  <c:v>0.59899999999999998</c:v>
                </c:pt>
                <c:pt idx="4">
                  <c:v>0.60000000000000064</c:v>
                </c:pt>
                <c:pt idx="5">
                  <c:v>0.60000000000000064</c:v>
                </c:pt>
                <c:pt idx="6">
                  <c:v>0.59799999999999998</c:v>
                </c:pt>
                <c:pt idx="7">
                  <c:v>0.59199999999999997</c:v>
                </c:pt>
                <c:pt idx="8">
                  <c:v>0.59399999999999997</c:v>
                </c:pt>
                <c:pt idx="9">
                  <c:v>0.58699999999999997</c:v>
                </c:pt>
                <c:pt idx="10">
                  <c:v>0.58099999999999996</c:v>
                </c:pt>
                <c:pt idx="11">
                  <c:v>0.56900000000000062</c:v>
                </c:pt>
                <c:pt idx="12">
                  <c:v>0.56600000000000061</c:v>
                </c:pt>
                <c:pt idx="13">
                  <c:v>0.55900000000000005</c:v>
                </c:pt>
                <c:pt idx="14">
                  <c:v>0.55200000000000005</c:v>
                </c:pt>
                <c:pt idx="15">
                  <c:v>0.54400000000000004</c:v>
                </c:pt>
                <c:pt idx="16">
                  <c:v>0.53900000000000003</c:v>
                </c:pt>
                <c:pt idx="17">
                  <c:v>0.52900000000000003</c:v>
                </c:pt>
              </c:numCache>
            </c:numRef>
          </c:val>
          <c:smooth val="0"/>
          <c:extLst>
            <c:ext xmlns:c16="http://schemas.microsoft.com/office/drawing/2014/chart" uri="{C3380CC4-5D6E-409C-BE32-E72D297353CC}">
              <c16:uniqueId val="{00000003-DF0C-4CA5-89E5-EF66BA8CE9AE}"/>
            </c:ext>
          </c:extLst>
        </c:ser>
        <c:dLbls>
          <c:showLegendKey val="0"/>
          <c:showVal val="0"/>
          <c:showCatName val="0"/>
          <c:showSerName val="0"/>
          <c:showPercent val="0"/>
          <c:showBubbleSize val="0"/>
        </c:dLbls>
        <c:marker val="1"/>
        <c:smooth val="0"/>
        <c:axId val="477972592"/>
        <c:axId val="477972200"/>
      </c:lineChart>
      <c:catAx>
        <c:axId val="477972984"/>
        <c:scaling>
          <c:orientation val="minMax"/>
        </c:scaling>
        <c:delete val="0"/>
        <c:axPos val="b"/>
        <c:numFmt formatCode="General" sourceLinked="0"/>
        <c:majorTickMark val="out"/>
        <c:minorTickMark val="none"/>
        <c:tickLblPos val="nextTo"/>
        <c:crossAx val="477973768"/>
        <c:crosses val="autoZero"/>
        <c:auto val="1"/>
        <c:lblAlgn val="ctr"/>
        <c:lblOffset val="100"/>
        <c:noMultiLvlLbl val="0"/>
      </c:catAx>
      <c:valAx>
        <c:axId val="477973768"/>
        <c:scaling>
          <c:orientation val="minMax"/>
          <c:max val="0.9"/>
          <c:min val="0"/>
        </c:scaling>
        <c:delete val="0"/>
        <c:axPos val="l"/>
        <c:majorGridlines/>
        <c:numFmt formatCode="General" sourceLinked="1"/>
        <c:majorTickMark val="out"/>
        <c:minorTickMark val="none"/>
        <c:tickLblPos val="nextTo"/>
        <c:crossAx val="477972984"/>
        <c:crosses val="autoZero"/>
        <c:crossBetween val="between"/>
        <c:minorUnit val="2.0000000000000011E-2"/>
      </c:valAx>
      <c:valAx>
        <c:axId val="477972200"/>
        <c:scaling>
          <c:orientation val="minMax"/>
          <c:max val="0.9"/>
          <c:min val="0"/>
        </c:scaling>
        <c:delete val="0"/>
        <c:axPos val="r"/>
        <c:numFmt formatCode="General" sourceLinked="1"/>
        <c:majorTickMark val="out"/>
        <c:minorTickMark val="none"/>
        <c:tickLblPos val="nextTo"/>
        <c:crossAx val="477972592"/>
        <c:crosses val="max"/>
        <c:crossBetween val="between"/>
        <c:minorUnit val="2.0000000000000011E-2"/>
      </c:valAx>
      <c:catAx>
        <c:axId val="477972592"/>
        <c:scaling>
          <c:orientation val="minMax"/>
        </c:scaling>
        <c:delete val="1"/>
        <c:axPos val="b"/>
        <c:numFmt formatCode="General" sourceLinked="1"/>
        <c:majorTickMark val="out"/>
        <c:minorTickMark val="none"/>
        <c:tickLblPos val="none"/>
        <c:crossAx val="477972200"/>
        <c:crosses val="autoZero"/>
        <c:auto val="1"/>
        <c:lblAlgn val="ctr"/>
        <c:lblOffset val="100"/>
        <c:noMultiLvlLbl val="0"/>
      </c:cat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'GINI SUL'!$D$2</c:f>
              <c:strCache>
                <c:ptCount val="1"/>
                <c:pt idx="0">
                  <c:v>TP1</c:v>
                </c:pt>
              </c:strCache>
            </c:strRef>
          </c:tx>
          <c:invertIfNegative val="0"/>
          <c:cat>
            <c:multiLvlStrRef>
              <c:f>'GINI SUL'!$B$3:$C$20</c:f>
              <c:multiLvlStrCache>
                <c:ptCount val="18"/>
                <c:lvl>
                  <c:pt idx="0">
                    <c:v>1990</c:v>
                  </c:pt>
                  <c:pt idx="1">
                    <c:v>1992</c:v>
                  </c:pt>
                  <c:pt idx="2">
                    <c:v>1993</c:v>
                  </c:pt>
                  <c:pt idx="3">
                    <c:v>1995</c:v>
                  </c:pt>
                  <c:pt idx="4">
                    <c:v>1996</c:v>
                  </c:pt>
                  <c:pt idx="5">
                    <c:v>1997</c:v>
                  </c:pt>
                  <c:pt idx="6">
                    <c:v>1998</c:v>
                  </c:pt>
                  <c:pt idx="7">
                    <c:v>1999</c:v>
                  </c:pt>
                  <c:pt idx="8">
                    <c:v>2001</c:v>
                  </c:pt>
                  <c:pt idx="9">
                    <c:v>2002</c:v>
                  </c:pt>
                  <c:pt idx="10">
                    <c:v>2003</c:v>
                  </c:pt>
                  <c:pt idx="11">
                    <c:v>2004</c:v>
                  </c:pt>
                  <c:pt idx="12">
                    <c:v>2005</c:v>
                  </c:pt>
                  <c:pt idx="13">
                    <c:v>2006</c:v>
                  </c:pt>
                  <c:pt idx="14">
                    <c:v>2007</c:v>
                  </c:pt>
                  <c:pt idx="15">
                    <c:v>2008</c:v>
                  </c:pt>
                  <c:pt idx="16">
                    <c:v>2009</c:v>
                  </c:pt>
                  <c:pt idx="17">
                    <c:v>2011</c:v>
                  </c:pt>
                </c:lvl>
                <c:lvl>
                  <c:pt idx="0">
                    <c:v>ANTES FHC</c:v>
                  </c:pt>
                  <c:pt idx="3">
                    <c:v> FHC</c:v>
                  </c:pt>
                  <c:pt idx="10">
                    <c:v> LULA</c:v>
                  </c:pt>
                  <c:pt idx="17">
                    <c:v>DILMA</c:v>
                  </c:pt>
                </c:lvl>
              </c:multiLvlStrCache>
            </c:multiLvlStrRef>
          </c:cat>
          <c:val>
            <c:numRef>
              <c:f>'GINI SUL'!$D$3:$D$20</c:f>
              <c:numCache>
                <c:formatCode>General</c:formatCode>
                <c:ptCount val="18"/>
                <c:pt idx="0">
                  <c:v>0.55500000000000005</c:v>
                </c:pt>
                <c:pt idx="1">
                  <c:v>0.52300000000000002</c:v>
                </c:pt>
                <c:pt idx="2">
                  <c:v>0.53300000000000003</c:v>
                </c:pt>
                <c:pt idx="3">
                  <c:v>0.54700000000000004</c:v>
                </c:pt>
                <c:pt idx="4">
                  <c:v>0.54100000000000004</c:v>
                </c:pt>
                <c:pt idx="5">
                  <c:v>0.53800000000000003</c:v>
                </c:pt>
                <c:pt idx="6">
                  <c:v>0.53700000000000003</c:v>
                </c:pt>
                <c:pt idx="7">
                  <c:v>0.53900000000000003</c:v>
                </c:pt>
                <c:pt idx="8">
                  <c:v>0.51900000000000002</c:v>
                </c:pt>
                <c:pt idx="9">
                  <c:v>0.505</c:v>
                </c:pt>
                <c:pt idx="10">
                  <c:v>0.49700000000000044</c:v>
                </c:pt>
                <c:pt idx="11">
                  <c:v>0.5</c:v>
                </c:pt>
                <c:pt idx="12">
                  <c:v>0.49700000000000044</c:v>
                </c:pt>
                <c:pt idx="13">
                  <c:v>0.49100000000000038</c:v>
                </c:pt>
                <c:pt idx="14">
                  <c:v>0.49000000000000032</c:v>
                </c:pt>
                <c:pt idx="15">
                  <c:v>0.47800000000000031</c:v>
                </c:pt>
                <c:pt idx="16">
                  <c:v>0.47700000000000031</c:v>
                </c:pt>
                <c:pt idx="17">
                  <c:v>0.46300000000000002</c:v>
                </c:pt>
              </c:numCache>
            </c:numRef>
          </c:val>
          <c:extLst>
            <c:ext xmlns:c16="http://schemas.microsoft.com/office/drawing/2014/chart" uri="{C3380CC4-5D6E-409C-BE32-E72D297353CC}">
              <c16:uniqueId val="{00000000-BE17-41D1-88C0-742D05BC6A63}"/>
            </c:ext>
          </c:extLst>
        </c:ser>
        <c:ser>
          <c:idx val="1"/>
          <c:order val="1"/>
          <c:tx>
            <c:strRef>
              <c:f>'GINI SUL'!$E$2</c:f>
              <c:strCache>
                <c:ptCount val="1"/>
                <c:pt idx="0">
                  <c:v>AP2</c:v>
                </c:pt>
              </c:strCache>
            </c:strRef>
          </c:tx>
          <c:invertIfNegative val="0"/>
          <c:cat>
            <c:multiLvlStrRef>
              <c:f>'GINI SUL'!$B$3:$C$20</c:f>
              <c:multiLvlStrCache>
                <c:ptCount val="18"/>
                <c:lvl>
                  <c:pt idx="0">
                    <c:v>1990</c:v>
                  </c:pt>
                  <c:pt idx="1">
                    <c:v>1992</c:v>
                  </c:pt>
                  <c:pt idx="2">
                    <c:v>1993</c:v>
                  </c:pt>
                  <c:pt idx="3">
                    <c:v>1995</c:v>
                  </c:pt>
                  <c:pt idx="4">
                    <c:v>1996</c:v>
                  </c:pt>
                  <c:pt idx="5">
                    <c:v>1997</c:v>
                  </c:pt>
                  <c:pt idx="6">
                    <c:v>1998</c:v>
                  </c:pt>
                  <c:pt idx="7">
                    <c:v>1999</c:v>
                  </c:pt>
                  <c:pt idx="8">
                    <c:v>2001</c:v>
                  </c:pt>
                  <c:pt idx="9">
                    <c:v>2002</c:v>
                  </c:pt>
                  <c:pt idx="10">
                    <c:v>2003</c:v>
                  </c:pt>
                  <c:pt idx="11">
                    <c:v>2004</c:v>
                  </c:pt>
                  <c:pt idx="12">
                    <c:v>2005</c:v>
                  </c:pt>
                  <c:pt idx="13">
                    <c:v>2006</c:v>
                  </c:pt>
                  <c:pt idx="14">
                    <c:v>2007</c:v>
                  </c:pt>
                  <c:pt idx="15">
                    <c:v>2008</c:v>
                  </c:pt>
                  <c:pt idx="16">
                    <c:v>2009</c:v>
                  </c:pt>
                  <c:pt idx="17">
                    <c:v>2011</c:v>
                  </c:pt>
                </c:lvl>
                <c:lvl>
                  <c:pt idx="0">
                    <c:v>ANTES FHC</c:v>
                  </c:pt>
                  <c:pt idx="3">
                    <c:v> FHC</c:v>
                  </c:pt>
                  <c:pt idx="10">
                    <c:v> LULA</c:v>
                  </c:pt>
                  <c:pt idx="17">
                    <c:v>DILMA</c:v>
                  </c:pt>
                </c:lvl>
              </c:multiLvlStrCache>
            </c:multiLvlStrRef>
          </c:cat>
          <c:val>
            <c:numRef>
              <c:f>'GINI SUL'!$E$3:$E$20</c:f>
              <c:numCache>
                <c:formatCode>General</c:formatCode>
                <c:ptCount val="18"/>
                <c:pt idx="0">
                  <c:v>0.54500000000000004</c:v>
                </c:pt>
                <c:pt idx="1">
                  <c:v>0.55400000000000005</c:v>
                </c:pt>
                <c:pt idx="2">
                  <c:v>0.56300000000000061</c:v>
                </c:pt>
                <c:pt idx="3">
                  <c:v>0.55900000000000005</c:v>
                </c:pt>
                <c:pt idx="4">
                  <c:v>0.55300000000000005</c:v>
                </c:pt>
                <c:pt idx="5">
                  <c:v>0.55500000000000005</c:v>
                </c:pt>
                <c:pt idx="6">
                  <c:v>0.56000000000000005</c:v>
                </c:pt>
                <c:pt idx="7">
                  <c:v>0.54500000000000004</c:v>
                </c:pt>
                <c:pt idx="8">
                  <c:v>0.52700000000000002</c:v>
                </c:pt>
                <c:pt idx="9">
                  <c:v>0.49700000000000044</c:v>
                </c:pt>
                <c:pt idx="10">
                  <c:v>0.51900000000000002</c:v>
                </c:pt>
                <c:pt idx="11">
                  <c:v>0.51300000000000001</c:v>
                </c:pt>
                <c:pt idx="12">
                  <c:v>0.504</c:v>
                </c:pt>
                <c:pt idx="13">
                  <c:v>0.502</c:v>
                </c:pt>
                <c:pt idx="14">
                  <c:v>0.49300000000000038</c:v>
                </c:pt>
                <c:pt idx="15">
                  <c:v>0.48800000000000032</c:v>
                </c:pt>
                <c:pt idx="16">
                  <c:v>0.48800000000000032</c:v>
                </c:pt>
                <c:pt idx="17">
                  <c:v>0.45800000000000002</c:v>
                </c:pt>
              </c:numCache>
            </c:numRef>
          </c:val>
          <c:extLst>
            <c:ext xmlns:c16="http://schemas.microsoft.com/office/drawing/2014/chart" uri="{C3380CC4-5D6E-409C-BE32-E72D297353CC}">
              <c16:uniqueId val="{00000001-BE17-41D1-88C0-742D05BC6A63}"/>
            </c:ext>
          </c:extLst>
        </c:ser>
        <c:ser>
          <c:idx val="2"/>
          <c:order val="2"/>
          <c:tx>
            <c:strRef>
              <c:f>'GINI SUL'!$F$2</c:f>
              <c:strCache>
                <c:ptCount val="1"/>
                <c:pt idx="0">
                  <c:v>OR3</c:v>
                </c:pt>
              </c:strCache>
            </c:strRef>
          </c:tx>
          <c:invertIfNegative val="0"/>
          <c:cat>
            <c:multiLvlStrRef>
              <c:f>'GINI SUL'!$B$3:$C$20</c:f>
              <c:multiLvlStrCache>
                <c:ptCount val="18"/>
                <c:lvl>
                  <c:pt idx="0">
                    <c:v>1990</c:v>
                  </c:pt>
                  <c:pt idx="1">
                    <c:v>1992</c:v>
                  </c:pt>
                  <c:pt idx="2">
                    <c:v>1993</c:v>
                  </c:pt>
                  <c:pt idx="3">
                    <c:v>1995</c:v>
                  </c:pt>
                  <c:pt idx="4">
                    <c:v>1996</c:v>
                  </c:pt>
                  <c:pt idx="5">
                    <c:v>1997</c:v>
                  </c:pt>
                  <c:pt idx="6">
                    <c:v>1998</c:v>
                  </c:pt>
                  <c:pt idx="7">
                    <c:v>1999</c:v>
                  </c:pt>
                  <c:pt idx="8">
                    <c:v>2001</c:v>
                  </c:pt>
                  <c:pt idx="9">
                    <c:v>2002</c:v>
                  </c:pt>
                  <c:pt idx="10">
                    <c:v>2003</c:v>
                  </c:pt>
                  <c:pt idx="11">
                    <c:v>2004</c:v>
                  </c:pt>
                  <c:pt idx="12">
                    <c:v>2005</c:v>
                  </c:pt>
                  <c:pt idx="13">
                    <c:v>2006</c:v>
                  </c:pt>
                  <c:pt idx="14">
                    <c:v>2007</c:v>
                  </c:pt>
                  <c:pt idx="15">
                    <c:v>2008</c:v>
                  </c:pt>
                  <c:pt idx="16">
                    <c:v>2009</c:v>
                  </c:pt>
                  <c:pt idx="17">
                    <c:v>2011</c:v>
                  </c:pt>
                </c:lvl>
                <c:lvl>
                  <c:pt idx="0">
                    <c:v>ANTES FHC</c:v>
                  </c:pt>
                  <c:pt idx="3">
                    <c:v> FHC</c:v>
                  </c:pt>
                  <c:pt idx="10">
                    <c:v> LULA</c:v>
                  </c:pt>
                  <c:pt idx="17">
                    <c:v>DILMA</c:v>
                  </c:pt>
                </c:lvl>
              </c:multiLvlStrCache>
            </c:multiLvlStrRef>
          </c:cat>
          <c:val>
            <c:numRef>
              <c:f>'GINI SUL'!$F$3:$F$20</c:f>
              <c:numCache>
                <c:formatCode>General</c:formatCode>
                <c:ptCount val="18"/>
                <c:pt idx="0">
                  <c:v>0.57700000000000162</c:v>
                </c:pt>
                <c:pt idx="1">
                  <c:v>0.78800000000000003</c:v>
                </c:pt>
                <c:pt idx="2">
                  <c:v>0.84600000000000064</c:v>
                </c:pt>
                <c:pt idx="3">
                  <c:v>0.73800000000000088</c:v>
                </c:pt>
                <c:pt idx="4">
                  <c:v>0.78</c:v>
                </c:pt>
                <c:pt idx="5">
                  <c:v>0.73900000000000088</c:v>
                </c:pt>
                <c:pt idx="6">
                  <c:v>0.73800000000000088</c:v>
                </c:pt>
                <c:pt idx="7">
                  <c:v>0.68300000000000005</c:v>
                </c:pt>
                <c:pt idx="8">
                  <c:v>0.62300000000000089</c:v>
                </c:pt>
                <c:pt idx="9">
                  <c:v>0.43500000000000044</c:v>
                </c:pt>
                <c:pt idx="10">
                  <c:v>0.35200000000000031</c:v>
                </c:pt>
                <c:pt idx="11">
                  <c:v>0.40300000000000002</c:v>
                </c:pt>
                <c:pt idx="12">
                  <c:v>0.35200000000000031</c:v>
                </c:pt>
                <c:pt idx="13">
                  <c:v>0.30400000000000038</c:v>
                </c:pt>
                <c:pt idx="14">
                  <c:v>0.37400000000000044</c:v>
                </c:pt>
                <c:pt idx="15">
                  <c:v>0.33400000000000057</c:v>
                </c:pt>
                <c:pt idx="16">
                  <c:v>9.7000000000000017E-2</c:v>
                </c:pt>
                <c:pt idx="17">
                  <c:v>0.11900000000000002</c:v>
                </c:pt>
              </c:numCache>
            </c:numRef>
          </c:val>
          <c:extLst>
            <c:ext xmlns:c16="http://schemas.microsoft.com/office/drawing/2014/chart" uri="{C3380CC4-5D6E-409C-BE32-E72D297353CC}">
              <c16:uniqueId val="{00000002-BE17-41D1-88C0-742D05BC6A63}"/>
            </c:ext>
          </c:extLst>
        </c:ser>
        <c:dLbls>
          <c:showLegendKey val="0"/>
          <c:showVal val="0"/>
          <c:showCatName val="0"/>
          <c:showSerName val="0"/>
          <c:showPercent val="0"/>
          <c:showBubbleSize val="0"/>
        </c:dLbls>
        <c:gapWidth val="150"/>
        <c:axId val="246817728"/>
        <c:axId val="246818120"/>
      </c:barChart>
      <c:lineChart>
        <c:grouping val="standard"/>
        <c:varyColors val="0"/>
        <c:ser>
          <c:idx val="3"/>
          <c:order val="3"/>
          <c:tx>
            <c:strRef>
              <c:f>'GINI SUL'!$G$2</c:f>
              <c:strCache>
                <c:ptCount val="1"/>
                <c:pt idx="0">
                  <c:v>GT4 SUL</c:v>
                </c:pt>
              </c:strCache>
            </c:strRef>
          </c:tx>
          <c:spPr>
            <a:ln>
              <a:solidFill>
                <a:srgbClr val="000000"/>
              </a:solidFill>
            </a:ln>
          </c:spPr>
          <c:marker>
            <c:symbol val="none"/>
          </c:marker>
          <c:cat>
            <c:multiLvlStrRef>
              <c:f>'GINI SUL'!$B$3:$C$20</c:f>
              <c:multiLvlStrCache>
                <c:ptCount val="18"/>
                <c:lvl>
                  <c:pt idx="0">
                    <c:v>1990</c:v>
                  </c:pt>
                  <c:pt idx="1">
                    <c:v>1992</c:v>
                  </c:pt>
                  <c:pt idx="2">
                    <c:v>1993</c:v>
                  </c:pt>
                  <c:pt idx="3">
                    <c:v>1995</c:v>
                  </c:pt>
                  <c:pt idx="4">
                    <c:v>1996</c:v>
                  </c:pt>
                  <c:pt idx="5">
                    <c:v>1997</c:v>
                  </c:pt>
                  <c:pt idx="6">
                    <c:v>1998</c:v>
                  </c:pt>
                  <c:pt idx="7">
                    <c:v>1999</c:v>
                  </c:pt>
                  <c:pt idx="8">
                    <c:v>2001</c:v>
                  </c:pt>
                  <c:pt idx="9">
                    <c:v>2002</c:v>
                  </c:pt>
                  <c:pt idx="10">
                    <c:v>2003</c:v>
                  </c:pt>
                  <c:pt idx="11">
                    <c:v>2004</c:v>
                  </c:pt>
                  <c:pt idx="12">
                    <c:v>2005</c:v>
                  </c:pt>
                  <c:pt idx="13">
                    <c:v>2006</c:v>
                  </c:pt>
                  <c:pt idx="14">
                    <c:v>2007</c:v>
                  </c:pt>
                  <c:pt idx="15">
                    <c:v>2008</c:v>
                  </c:pt>
                  <c:pt idx="16">
                    <c:v>2009</c:v>
                  </c:pt>
                  <c:pt idx="17">
                    <c:v>2011</c:v>
                  </c:pt>
                </c:lvl>
                <c:lvl>
                  <c:pt idx="0">
                    <c:v>ANTES FHC</c:v>
                  </c:pt>
                  <c:pt idx="3">
                    <c:v> FHC</c:v>
                  </c:pt>
                  <c:pt idx="10">
                    <c:v> LULA</c:v>
                  </c:pt>
                  <c:pt idx="17">
                    <c:v>DILMA</c:v>
                  </c:pt>
                </c:lvl>
              </c:multiLvlStrCache>
            </c:multiLvlStrRef>
          </c:cat>
          <c:val>
            <c:numRef>
              <c:f>'GINI SUL'!$G$3:$G$20</c:f>
              <c:numCache>
                <c:formatCode>General</c:formatCode>
                <c:ptCount val="18"/>
                <c:pt idx="0">
                  <c:v>0.57500000000000162</c:v>
                </c:pt>
                <c:pt idx="1">
                  <c:v>0.54500000000000004</c:v>
                </c:pt>
                <c:pt idx="2">
                  <c:v>0.55400000000000005</c:v>
                </c:pt>
                <c:pt idx="3">
                  <c:v>0.56300000000000061</c:v>
                </c:pt>
                <c:pt idx="4">
                  <c:v>0.55900000000000005</c:v>
                </c:pt>
                <c:pt idx="5">
                  <c:v>0.55300000000000005</c:v>
                </c:pt>
                <c:pt idx="6">
                  <c:v>0.55500000000000005</c:v>
                </c:pt>
                <c:pt idx="7">
                  <c:v>0.56000000000000005</c:v>
                </c:pt>
                <c:pt idx="8">
                  <c:v>0.54500000000000004</c:v>
                </c:pt>
                <c:pt idx="9">
                  <c:v>0.52700000000000002</c:v>
                </c:pt>
                <c:pt idx="10">
                  <c:v>0.49700000000000044</c:v>
                </c:pt>
                <c:pt idx="11">
                  <c:v>0.51900000000000002</c:v>
                </c:pt>
                <c:pt idx="12">
                  <c:v>0.51300000000000001</c:v>
                </c:pt>
                <c:pt idx="13">
                  <c:v>0.504</c:v>
                </c:pt>
                <c:pt idx="14">
                  <c:v>0.502</c:v>
                </c:pt>
                <c:pt idx="15">
                  <c:v>0.49300000000000038</c:v>
                </c:pt>
                <c:pt idx="16">
                  <c:v>0.48800000000000032</c:v>
                </c:pt>
                <c:pt idx="17">
                  <c:v>0.46800000000000008</c:v>
                </c:pt>
              </c:numCache>
            </c:numRef>
          </c:val>
          <c:smooth val="0"/>
          <c:extLst>
            <c:ext xmlns:c16="http://schemas.microsoft.com/office/drawing/2014/chart" uri="{C3380CC4-5D6E-409C-BE32-E72D297353CC}">
              <c16:uniqueId val="{00000003-BE17-41D1-88C0-742D05BC6A63}"/>
            </c:ext>
          </c:extLst>
        </c:ser>
        <c:dLbls>
          <c:showLegendKey val="0"/>
          <c:showVal val="0"/>
          <c:showCatName val="0"/>
          <c:showSerName val="0"/>
          <c:showPercent val="0"/>
          <c:showBubbleSize val="0"/>
        </c:dLbls>
        <c:marker val="1"/>
        <c:smooth val="0"/>
        <c:axId val="246818512"/>
        <c:axId val="246819296"/>
      </c:lineChart>
      <c:catAx>
        <c:axId val="246817728"/>
        <c:scaling>
          <c:orientation val="minMax"/>
        </c:scaling>
        <c:delete val="0"/>
        <c:axPos val="b"/>
        <c:numFmt formatCode="General" sourceLinked="0"/>
        <c:majorTickMark val="out"/>
        <c:minorTickMark val="none"/>
        <c:tickLblPos val="nextTo"/>
        <c:crossAx val="246818120"/>
        <c:crosses val="autoZero"/>
        <c:auto val="1"/>
        <c:lblAlgn val="ctr"/>
        <c:lblOffset val="100"/>
        <c:noMultiLvlLbl val="0"/>
      </c:catAx>
      <c:valAx>
        <c:axId val="246818120"/>
        <c:scaling>
          <c:orientation val="minMax"/>
        </c:scaling>
        <c:delete val="0"/>
        <c:axPos val="l"/>
        <c:majorGridlines/>
        <c:numFmt formatCode="General" sourceLinked="1"/>
        <c:majorTickMark val="out"/>
        <c:minorTickMark val="none"/>
        <c:tickLblPos val="nextTo"/>
        <c:crossAx val="246817728"/>
        <c:crosses val="autoZero"/>
        <c:crossBetween val="between"/>
      </c:valAx>
      <c:valAx>
        <c:axId val="246819296"/>
        <c:scaling>
          <c:orientation val="minMax"/>
          <c:max val="0.9"/>
        </c:scaling>
        <c:delete val="0"/>
        <c:axPos val="r"/>
        <c:numFmt formatCode="General" sourceLinked="1"/>
        <c:majorTickMark val="out"/>
        <c:minorTickMark val="none"/>
        <c:tickLblPos val="nextTo"/>
        <c:crossAx val="246818512"/>
        <c:crosses val="max"/>
        <c:crossBetween val="between"/>
        <c:minorUnit val="2.0000000000000011E-2"/>
      </c:valAx>
      <c:catAx>
        <c:axId val="246818512"/>
        <c:scaling>
          <c:orientation val="minMax"/>
        </c:scaling>
        <c:delete val="1"/>
        <c:axPos val="b"/>
        <c:numFmt formatCode="General" sourceLinked="1"/>
        <c:majorTickMark val="out"/>
        <c:minorTickMark val="none"/>
        <c:tickLblPos val="none"/>
        <c:crossAx val="246819296"/>
        <c:crosses val="autoZero"/>
        <c:auto val="1"/>
        <c:lblAlgn val="ctr"/>
        <c:lblOffset val="100"/>
        <c:noMultiLvlLbl val="0"/>
      </c:cat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11936303693745602"/>
          <c:y val="2.158273381294961E-2"/>
          <c:w val="0.83173463073213405"/>
          <c:h val="0.60012122585396199"/>
        </c:manualLayout>
      </c:layout>
      <c:barChart>
        <c:barDir val="col"/>
        <c:grouping val="clustered"/>
        <c:varyColors val="0"/>
        <c:ser>
          <c:idx val="0"/>
          <c:order val="0"/>
          <c:tx>
            <c:strRef>
              <c:f>Sheet2!$A$9</c:f>
              <c:strCache>
                <c:ptCount val="1"/>
                <c:pt idx="0">
                  <c:v>TP</c:v>
                </c:pt>
              </c:strCache>
            </c:strRef>
          </c:tx>
          <c:invertIfNegative val="0"/>
          <c:cat>
            <c:strRef>
              <c:f>Sheet2!$B$8:$E$8</c:f>
              <c:strCache>
                <c:ptCount val="4"/>
                <c:pt idx="0">
                  <c:v>Sul</c:v>
                </c:pt>
                <c:pt idx="1">
                  <c:v>Paraná </c:v>
                </c:pt>
                <c:pt idx="2">
                  <c:v>Santa Catarina</c:v>
                </c:pt>
                <c:pt idx="3">
                  <c:v>Rio Grande do Sul</c:v>
                </c:pt>
              </c:strCache>
            </c:strRef>
          </c:cat>
          <c:val>
            <c:numRef>
              <c:f>Sheet2!$B$9:$E$9</c:f>
              <c:numCache>
                <c:formatCode>General</c:formatCode>
                <c:ptCount val="4"/>
                <c:pt idx="0">
                  <c:v>0.46300000000000002</c:v>
                </c:pt>
                <c:pt idx="1">
                  <c:v>0.46200000000000002</c:v>
                </c:pt>
                <c:pt idx="2">
                  <c:v>0.44</c:v>
                </c:pt>
                <c:pt idx="3">
                  <c:v>0.47600000000000031</c:v>
                </c:pt>
              </c:numCache>
            </c:numRef>
          </c:val>
          <c:extLst>
            <c:ext xmlns:c16="http://schemas.microsoft.com/office/drawing/2014/chart" uri="{C3380CC4-5D6E-409C-BE32-E72D297353CC}">
              <c16:uniqueId val="{00000000-68A6-4924-905E-18086D26A4FD}"/>
            </c:ext>
          </c:extLst>
        </c:ser>
        <c:ser>
          <c:idx val="1"/>
          <c:order val="1"/>
          <c:tx>
            <c:strRef>
              <c:f>Sheet2!$A$10</c:f>
              <c:strCache>
                <c:ptCount val="1"/>
                <c:pt idx="0">
                  <c:v>AP</c:v>
                </c:pt>
              </c:strCache>
            </c:strRef>
          </c:tx>
          <c:invertIfNegative val="0"/>
          <c:cat>
            <c:strRef>
              <c:f>Sheet2!$B$8:$E$8</c:f>
              <c:strCache>
                <c:ptCount val="4"/>
                <c:pt idx="0">
                  <c:v>Sul</c:v>
                </c:pt>
                <c:pt idx="1">
                  <c:v>Paraná </c:v>
                </c:pt>
                <c:pt idx="2">
                  <c:v>Santa Catarina</c:v>
                </c:pt>
                <c:pt idx="3">
                  <c:v>Rio Grande do Sul</c:v>
                </c:pt>
              </c:strCache>
            </c:strRef>
          </c:cat>
          <c:val>
            <c:numRef>
              <c:f>Sheet2!$B$10:$E$10</c:f>
              <c:numCache>
                <c:formatCode>General</c:formatCode>
                <c:ptCount val="4"/>
                <c:pt idx="0">
                  <c:v>0.45800000000000002</c:v>
                </c:pt>
                <c:pt idx="1">
                  <c:v>0.44</c:v>
                </c:pt>
                <c:pt idx="2">
                  <c:v>0.41200000000000031</c:v>
                </c:pt>
                <c:pt idx="3">
                  <c:v>0.49100000000000038</c:v>
                </c:pt>
              </c:numCache>
            </c:numRef>
          </c:val>
          <c:extLst>
            <c:ext xmlns:c16="http://schemas.microsoft.com/office/drawing/2014/chart" uri="{C3380CC4-5D6E-409C-BE32-E72D297353CC}">
              <c16:uniqueId val="{00000001-68A6-4924-905E-18086D26A4FD}"/>
            </c:ext>
          </c:extLst>
        </c:ser>
        <c:ser>
          <c:idx val="2"/>
          <c:order val="2"/>
          <c:tx>
            <c:strRef>
              <c:f>Sheet2!$A$11</c:f>
              <c:strCache>
                <c:ptCount val="1"/>
                <c:pt idx="0">
                  <c:v>OR</c:v>
                </c:pt>
              </c:strCache>
            </c:strRef>
          </c:tx>
          <c:invertIfNegative val="0"/>
          <c:cat>
            <c:strRef>
              <c:f>Sheet2!$B$8:$E$8</c:f>
              <c:strCache>
                <c:ptCount val="4"/>
                <c:pt idx="0">
                  <c:v>Sul</c:v>
                </c:pt>
                <c:pt idx="1">
                  <c:v>Paraná </c:v>
                </c:pt>
                <c:pt idx="2">
                  <c:v>Santa Catarina</c:v>
                </c:pt>
                <c:pt idx="3">
                  <c:v>Rio Grande do Sul</c:v>
                </c:pt>
              </c:strCache>
            </c:strRef>
          </c:cat>
          <c:val>
            <c:numRef>
              <c:f>Sheet2!$B$11:$E$11</c:f>
              <c:numCache>
                <c:formatCode>General</c:formatCode>
                <c:ptCount val="4"/>
                <c:pt idx="0">
                  <c:v>0.11900000000000002</c:v>
                </c:pt>
                <c:pt idx="1">
                  <c:v>0.11800000000000002</c:v>
                </c:pt>
                <c:pt idx="2">
                  <c:v>9.5000000000000043E-2</c:v>
                </c:pt>
                <c:pt idx="3">
                  <c:v>0.14700000000000021</c:v>
                </c:pt>
              </c:numCache>
            </c:numRef>
          </c:val>
          <c:extLst>
            <c:ext xmlns:c16="http://schemas.microsoft.com/office/drawing/2014/chart" uri="{C3380CC4-5D6E-409C-BE32-E72D297353CC}">
              <c16:uniqueId val="{00000002-68A6-4924-905E-18086D26A4FD}"/>
            </c:ext>
          </c:extLst>
        </c:ser>
        <c:ser>
          <c:idx val="3"/>
          <c:order val="3"/>
          <c:tx>
            <c:strRef>
              <c:f>Sheet2!$A$12</c:f>
              <c:strCache>
                <c:ptCount val="1"/>
                <c:pt idx="0">
                  <c:v>GT</c:v>
                </c:pt>
              </c:strCache>
            </c:strRef>
          </c:tx>
          <c:spPr>
            <a:solidFill>
              <a:schemeClr val="tx1"/>
            </a:solidFill>
            <a:ln>
              <a:solidFill>
                <a:srgbClr val="000000"/>
              </a:solidFill>
            </a:ln>
          </c:spPr>
          <c:invertIfNegative val="0"/>
          <c:cat>
            <c:strRef>
              <c:f>Sheet2!$B$8:$E$8</c:f>
              <c:strCache>
                <c:ptCount val="4"/>
                <c:pt idx="0">
                  <c:v>Sul</c:v>
                </c:pt>
                <c:pt idx="1">
                  <c:v>Paraná </c:v>
                </c:pt>
                <c:pt idx="2">
                  <c:v>Santa Catarina</c:v>
                </c:pt>
                <c:pt idx="3">
                  <c:v>Rio Grande do Sul</c:v>
                </c:pt>
              </c:strCache>
            </c:strRef>
          </c:cat>
          <c:val>
            <c:numRef>
              <c:f>Sheet2!$B$12:$E$12</c:f>
              <c:numCache>
                <c:formatCode>General</c:formatCode>
                <c:ptCount val="4"/>
                <c:pt idx="0">
                  <c:v>0.46800000000000008</c:v>
                </c:pt>
                <c:pt idx="1">
                  <c:v>0.46700000000000008</c:v>
                </c:pt>
                <c:pt idx="2">
                  <c:v>0.441</c:v>
                </c:pt>
                <c:pt idx="3">
                  <c:v>0.48400000000000032</c:v>
                </c:pt>
              </c:numCache>
            </c:numRef>
          </c:val>
          <c:extLst>
            <c:ext xmlns:c16="http://schemas.microsoft.com/office/drawing/2014/chart" uri="{C3380CC4-5D6E-409C-BE32-E72D297353CC}">
              <c16:uniqueId val="{00000003-68A6-4924-905E-18086D26A4FD}"/>
            </c:ext>
          </c:extLst>
        </c:ser>
        <c:dLbls>
          <c:showLegendKey val="0"/>
          <c:showVal val="0"/>
          <c:showCatName val="0"/>
          <c:showSerName val="0"/>
          <c:showPercent val="0"/>
          <c:showBubbleSize val="0"/>
        </c:dLbls>
        <c:gapWidth val="150"/>
        <c:axId val="313802056"/>
        <c:axId val="313803232"/>
      </c:barChart>
      <c:catAx>
        <c:axId val="313802056"/>
        <c:scaling>
          <c:orientation val="minMax"/>
        </c:scaling>
        <c:delete val="0"/>
        <c:axPos val="b"/>
        <c:numFmt formatCode="General" sourceLinked="0"/>
        <c:majorTickMark val="none"/>
        <c:minorTickMark val="none"/>
        <c:tickLblPos val="nextTo"/>
        <c:crossAx val="313803232"/>
        <c:crosses val="autoZero"/>
        <c:auto val="1"/>
        <c:lblAlgn val="ctr"/>
        <c:lblOffset val="100"/>
        <c:noMultiLvlLbl val="0"/>
      </c:catAx>
      <c:valAx>
        <c:axId val="313803232"/>
        <c:scaling>
          <c:orientation val="minMax"/>
        </c:scaling>
        <c:delete val="0"/>
        <c:axPos val="l"/>
        <c:majorGridlines/>
        <c:numFmt formatCode="General" sourceLinked="1"/>
        <c:majorTickMark val="none"/>
        <c:minorTickMark val="none"/>
        <c:tickLblPos val="nextTo"/>
        <c:crossAx val="31380205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E8708-E6C8-41A2-8F21-F98596500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25</Pages>
  <Words>7589</Words>
  <Characters>40982</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UEL</Company>
  <LinksUpToDate>false</LinksUpToDate>
  <CharactersWithSpaces>48475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ISADORA  DIB OLIVEIRA</dc:creator>
  <cp:lastModifiedBy>Solange de Cassia Souza</cp:lastModifiedBy>
  <cp:revision>8</cp:revision>
  <dcterms:created xsi:type="dcterms:W3CDTF">2016-03-01T21:14:00Z</dcterms:created>
  <dcterms:modified xsi:type="dcterms:W3CDTF">2016-03-01T22:29:00Z</dcterms:modified>
</cp:coreProperties>
</file>