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27020" w14:textId="08129CB7" w:rsidR="007C33D4" w:rsidRPr="009C19A1" w:rsidRDefault="00DB248E" w:rsidP="00A315AA">
      <w:pPr>
        <w:jc w:val="center"/>
        <w:rPr>
          <w:b/>
          <w:bCs/>
        </w:rPr>
      </w:pPr>
      <w:r w:rsidRPr="009C19A1">
        <w:rPr>
          <w:b/>
          <w:bCs/>
        </w:rPr>
        <w:t>C</w:t>
      </w:r>
      <w:r w:rsidR="00DB03BE" w:rsidRPr="009C19A1">
        <w:rPr>
          <w:b/>
          <w:bCs/>
        </w:rPr>
        <w:t xml:space="preserve">ompetitividade </w:t>
      </w:r>
      <w:r w:rsidR="009C19A1" w:rsidRPr="009C19A1">
        <w:rPr>
          <w:b/>
          <w:bCs/>
        </w:rPr>
        <w:t>da Cotonicultura em Países Selecionados</w:t>
      </w:r>
    </w:p>
    <w:p w14:paraId="4FC46FB0" w14:textId="77777777" w:rsidR="00613562" w:rsidRPr="009C19A1" w:rsidRDefault="00613562" w:rsidP="002A63B7">
      <w:pPr>
        <w:rPr>
          <w:b/>
        </w:rPr>
      </w:pPr>
    </w:p>
    <w:p w14:paraId="604768FF" w14:textId="77777777" w:rsidR="007C33D4" w:rsidRPr="009C19A1" w:rsidRDefault="007C33D4" w:rsidP="002A63B7"/>
    <w:p w14:paraId="6754FA16" w14:textId="77777777" w:rsidR="009C19A1" w:rsidRPr="002A63B7" w:rsidRDefault="007C33D4" w:rsidP="002A63B7">
      <w:pPr>
        <w:spacing w:before="240" w:after="240"/>
        <w:jc w:val="center"/>
        <w:rPr>
          <w:b/>
          <w:bCs/>
        </w:rPr>
      </w:pPr>
      <w:r w:rsidRPr="002A63B7">
        <w:rPr>
          <w:b/>
          <w:bCs/>
        </w:rPr>
        <w:t>Resumo</w:t>
      </w:r>
    </w:p>
    <w:p w14:paraId="2E93F16E" w14:textId="31D52CEE" w:rsidR="009B5E5E" w:rsidRDefault="009B5E5E" w:rsidP="00B5539D">
      <w:pPr>
        <w:spacing w:line="360" w:lineRule="auto"/>
        <w:jc w:val="both"/>
      </w:pPr>
      <w:r w:rsidRPr="009C19A1">
        <w:t xml:space="preserve">A análise da competitividade por meio da comparação </w:t>
      </w:r>
      <w:r w:rsidR="00D37E2B" w:rsidRPr="009C19A1">
        <w:t>com concorr</w:t>
      </w:r>
      <w:r w:rsidR="007A2AFA" w:rsidRPr="009C19A1">
        <w:t>entes</w:t>
      </w:r>
      <w:r w:rsidR="00D37E2B" w:rsidRPr="009C19A1">
        <w:t xml:space="preserve"> </w:t>
      </w:r>
      <w:r w:rsidRPr="009C19A1">
        <w:t>d</w:t>
      </w:r>
      <w:r w:rsidR="00D37E2B" w:rsidRPr="009C19A1">
        <w:t>os</w:t>
      </w:r>
      <w:r w:rsidRPr="009C19A1">
        <w:t xml:space="preserve"> resultados econômicos de determinado setor é de suma importância para garantir permanência e rentabilidade </w:t>
      </w:r>
      <w:r w:rsidR="00873754" w:rsidRPr="009C19A1">
        <w:t>n</w:t>
      </w:r>
      <w:r w:rsidRPr="009C19A1">
        <w:t xml:space="preserve">o longo </w:t>
      </w:r>
      <w:r w:rsidR="00873754" w:rsidRPr="009C19A1">
        <w:t>prazo</w:t>
      </w:r>
      <w:r w:rsidRPr="009C19A1">
        <w:t>. Nesse sentido</w:t>
      </w:r>
      <w:r w:rsidR="0062038C" w:rsidRPr="009C19A1">
        <w:t>,</w:t>
      </w:r>
      <w:r w:rsidRPr="009C19A1">
        <w:t xml:space="preserve"> o propósito deste trabalho foi analisar mediante uso do </w:t>
      </w:r>
      <w:r w:rsidR="00873754" w:rsidRPr="009C19A1">
        <w:rPr>
          <w:i/>
          <w:iCs/>
        </w:rPr>
        <w:t xml:space="preserve">Market </w:t>
      </w:r>
      <w:proofErr w:type="spellStart"/>
      <w:r w:rsidR="00873754" w:rsidRPr="009C19A1">
        <w:rPr>
          <w:i/>
          <w:iCs/>
        </w:rPr>
        <w:t>Share</w:t>
      </w:r>
      <w:proofErr w:type="spellEnd"/>
      <w:r w:rsidR="00873754" w:rsidRPr="009C19A1">
        <w:t xml:space="preserve"> em conjunto do Í</w:t>
      </w:r>
      <w:r w:rsidRPr="009C19A1">
        <w:t xml:space="preserve">ndice de </w:t>
      </w:r>
      <w:r w:rsidR="00873754" w:rsidRPr="009C19A1">
        <w:t>V</w:t>
      </w:r>
      <w:r w:rsidRPr="009C19A1">
        <w:t xml:space="preserve">antagens </w:t>
      </w:r>
      <w:r w:rsidR="00873754" w:rsidRPr="009C19A1">
        <w:t>Com</w:t>
      </w:r>
      <w:r w:rsidRPr="009C19A1">
        <w:t xml:space="preserve">parativas </w:t>
      </w:r>
      <w:r w:rsidR="00873754" w:rsidRPr="009C19A1">
        <w:t>R</w:t>
      </w:r>
      <w:r w:rsidRPr="009C19A1">
        <w:t xml:space="preserve">eveladas e do </w:t>
      </w:r>
      <w:r w:rsidR="00873754" w:rsidRPr="009C19A1">
        <w:t>Índice de Contribuição ao Saldo</w:t>
      </w:r>
      <w:r w:rsidRPr="009C19A1">
        <w:t xml:space="preserve"> a competitividade das exportações brasileiras de algodão em pluma no período de 2000 a 2017</w:t>
      </w:r>
      <w:r w:rsidR="00D37E2B" w:rsidRPr="009C19A1">
        <w:t xml:space="preserve"> comparando-os com </w:t>
      </w:r>
      <w:r w:rsidR="007A2AFA" w:rsidRPr="009C19A1">
        <w:t xml:space="preserve">os mesmos indicadores de </w:t>
      </w:r>
      <w:r w:rsidR="00D37E2B" w:rsidRPr="009C19A1">
        <w:t>países selecionados</w:t>
      </w:r>
      <w:r w:rsidRPr="009C19A1">
        <w:t xml:space="preserve"> e verificar os resultados advindos do contencioso DS267 na OMC para este setor. </w:t>
      </w:r>
      <w:r w:rsidR="0062038C" w:rsidRPr="009C19A1">
        <w:t>Foi possível observar que durante o período analisado os países selecionados</w:t>
      </w:r>
      <w:r w:rsidR="002F202C" w:rsidRPr="009C19A1">
        <w:t xml:space="preserve"> apresentaram vantagens comparativas reveladas e c</w:t>
      </w:r>
      <w:r w:rsidRPr="009C19A1">
        <w:t>onstatou-se que o embate judicial, assim como</w:t>
      </w:r>
      <w:r w:rsidR="002A61BC" w:rsidRPr="009C19A1">
        <w:t>,</w:t>
      </w:r>
      <w:r w:rsidRPr="009C19A1">
        <w:t xml:space="preserve"> a vitória brasileira do contencioso provocou aumento de competitividade no período analisado e para os períodos futuros a tendência é de resultados ainda mais expressivos, resultando em </w:t>
      </w:r>
      <w:r w:rsidR="00977D6D" w:rsidRPr="009C19A1">
        <w:t>acréscimo</w:t>
      </w:r>
      <w:r w:rsidRPr="009C19A1">
        <w:t xml:space="preserve"> de competitividade </w:t>
      </w:r>
      <w:r w:rsidR="000000B3" w:rsidRPr="009C19A1">
        <w:t xml:space="preserve">do produto brasileiro </w:t>
      </w:r>
      <w:r w:rsidR="00B5049B" w:rsidRPr="009C19A1">
        <w:t xml:space="preserve">no mercado </w:t>
      </w:r>
      <w:r w:rsidRPr="009C19A1">
        <w:t>internacional.</w:t>
      </w:r>
    </w:p>
    <w:p w14:paraId="65595440" w14:textId="276BD702" w:rsidR="007C33D4" w:rsidRPr="002A63B7" w:rsidRDefault="007C33D4" w:rsidP="00B5539D">
      <w:pPr>
        <w:spacing w:line="360" w:lineRule="auto"/>
        <w:jc w:val="both"/>
      </w:pPr>
      <w:r w:rsidRPr="002A63B7">
        <w:rPr>
          <w:b/>
          <w:bCs/>
        </w:rPr>
        <w:t>Palavras-chave</w:t>
      </w:r>
      <w:r w:rsidRPr="002A63B7">
        <w:t>:</w:t>
      </w:r>
      <w:r w:rsidR="00613562" w:rsidRPr="002A63B7">
        <w:t xml:space="preserve"> </w:t>
      </w:r>
      <w:r w:rsidR="00B5539D">
        <w:t>A</w:t>
      </w:r>
      <w:r w:rsidR="00DB03BE" w:rsidRPr="002A63B7">
        <w:t>lgodão</w:t>
      </w:r>
      <w:r w:rsidR="00B5539D">
        <w:t>;</w:t>
      </w:r>
      <w:r w:rsidR="001911D1" w:rsidRPr="002A63B7">
        <w:t xml:space="preserve"> </w:t>
      </w:r>
      <w:r w:rsidR="001B3F4F" w:rsidRPr="002A63B7">
        <w:t>VCR</w:t>
      </w:r>
      <w:r w:rsidR="00B5539D">
        <w:t>;</w:t>
      </w:r>
      <w:r w:rsidR="001911D1" w:rsidRPr="002A63B7">
        <w:t xml:space="preserve"> </w:t>
      </w:r>
      <w:r w:rsidR="00B5539D">
        <w:t>C</w:t>
      </w:r>
      <w:r w:rsidR="00DF1320" w:rsidRPr="002A63B7">
        <w:t>ompetitividade</w:t>
      </w:r>
      <w:r w:rsidR="00B5539D">
        <w:t>;</w:t>
      </w:r>
      <w:r w:rsidR="00EA3D26" w:rsidRPr="002A63B7">
        <w:t xml:space="preserve"> </w:t>
      </w:r>
      <w:r w:rsidR="00B5539D">
        <w:t>C</w:t>
      </w:r>
      <w:r w:rsidR="00EA3D26" w:rsidRPr="002A63B7">
        <w:t>ontencioso</w:t>
      </w:r>
      <w:r w:rsidR="001B3F4F" w:rsidRPr="002A63B7">
        <w:t xml:space="preserve"> DS267</w:t>
      </w:r>
      <w:r w:rsidR="00DF1320" w:rsidRPr="002A63B7">
        <w:t>.</w:t>
      </w:r>
    </w:p>
    <w:p w14:paraId="2F0219A8" w14:textId="05974BE5" w:rsidR="007C33D4" w:rsidRDefault="007C33D4" w:rsidP="002A63B7"/>
    <w:p w14:paraId="184738E1" w14:textId="77777777" w:rsidR="00B5539D" w:rsidRPr="009C19A1" w:rsidRDefault="00B5539D" w:rsidP="002A63B7"/>
    <w:p w14:paraId="6B07825D" w14:textId="77777777" w:rsidR="002A63B7" w:rsidRPr="002A63B7" w:rsidRDefault="005C137F" w:rsidP="002A63B7">
      <w:pPr>
        <w:spacing w:before="240" w:after="240"/>
        <w:jc w:val="center"/>
        <w:rPr>
          <w:b/>
          <w:bCs/>
          <w:lang w:val="en-US"/>
        </w:rPr>
      </w:pPr>
      <w:r w:rsidRPr="002A63B7">
        <w:rPr>
          <w:b/>
          <w:bCs/>
          <w:lang w:val="en-US"/>
        </w:rPr>
        <w:t>Abstract</w:t>
      </w:r>
    </w:p>
    <w:p w14:paraId="00C71DA7" w14:textId="6E458E93" w:rsidR="005C137F" w:rsidRDefault="005C137F" w:rsidP="00B5539D">
      <w:pPr>
        <w:spacing w:line="360" w:lineRule="auto"/>
        <w:jc w:val="both"/>
        <w:rPr>
          <w:bCs/>
          <w:lang w:val="en-US"/>
        </w:rPr>
      </w:pPr>
      <w:r w:rsidRPr="002A63B7">
        <w:rPr>
          <w:bCs/>
          <w:lang w:val="en-US"/>
        </w:rPr>
        <w:t>The analysis of competitiveness through the comparison with competitors of the economic results of a certain sector is extremely important to guarantee permanence and profitability in the long term. In this sense, the purpose of this study was to analyze using the Market Share together with the Index of Comparative Advantages Revealed and the Balance Contribution Index, the competitiveness of Brazilian cotton exports in the period from 2000 to 2017 comparing them with the same selected countries indicators and verify the results from the DS267 WTO litigation for this sector. It was possible to observe that during the analyzed period, the selected countries presented revealed comparative advantages and it was found that the judicial dispute, as well as the Brazilian victory in litigation, caused an increase in competitiveness in the analyzed period and for future periods the trend is results more expressive, resulting in increased competitiveness of the Brazilian product in the international market.</w:t>
      </w:r>
    </w:p>
    <w:p w14:paraId="493D04AC" w14:textId="0389717A" w:rsidR="008F3C52" w:rsidRPr="002A63B7" w:rsidRDefault="005C137F" w:rsidP="00B5539D">
      <w:pPr>
        <w:spacing w:line="360" w:lineRule="auto"/>
        <w:rPr>
          <w:lang w:val="en-US"/>
        </w:rPr>
      </w:pPr>
      <w:r w:rsidRPr="002A63B7">
        <w:rPr>
          <w:b/>
          <w:bCs/>
          <w:lang w:val="en-US"/>
        </w:rPr>
        <w:t>Keywords</w:t>
      </w:r>
      <w:r w:rsidRPr="002A63B7">
        <w:rPr>
          <w:lang w:val="en-US"/>
        </w:rPr>
        <w:t xml:space="preserve">: </w:t>
      </w:r>
      <w:r w:rsidR="00B5539D">
        <w:rPr>
          <w:lang w:val="en-US"/>
        </w:rPr>
        <w:t>C</w:t>
      </w:r>
      <w:r w:rsidRPr="002A63B7">
        <w:rPr>
          <w:lang w:val="en-US"/>
        </w:rPr>
        <w:t>otton</w:t>
      </w:r>
      <w:r w:rsidR="00B5539D">
        <w:rPr>
          <w:lang w:val="en-US"/>
        </w:rPr>
        <w:t>;</w:t>
      </w:r>
      <w:r w:rsidRPr="002A63B7">
        <w:rPr>
          <w:lang w:val="en-US"/>
        </w:rPr>
        <w:t xml:space="preserve"> VCR</w:t>
      </w:r>
      <w:r w:rsidR="00B5539D">
        <w:rPr>
          <w:lang w:val="en-US"/>
        </w:rPr>
        <w:t>;</w:t>
      </w:r>
      <w:r w:rsidRPr="002A63B7">
        <w:rPr>
          <w:lang w:val="en-US"/>
        </w:rPr>
        <w:t xml:space="preserve"> </w:t>
      </w:r>
      <w:r w:rsidR="00B5539D">
        <w:rPr>
          <w:lang w:val="en-US"/>
        </w:rPr>
        <w:t>C</w:t>
      </w:r>
      <w:r w:rsidRPr="002A63B7">
        <w:rPr>
          <w:lang w:val="en-US"/>
        </w:rPr>
        <w:t>ompetitiveness</w:t>
      </w:r>
      <w:r w:rsidR="00B5539D">
        <w:rPr>
          <w:lang w:val="en-US"/>
        </w:rPr>
        <w:t>;</w:t>
      </w:r>
      <w:r w:rsidRPr="002A63B7">
        <w:rPr>
          <w:lang w:val="en-US"/>
        </w:rPr>
        <w:t xml:space="preserve"> DS267</w:t>
      </w:r>
      <w:r w:rsidR="00B5539D">
        <w:rPr>
          <w:lang w:val="en-US"/>
        </w:rPr>
        <w:t>;</w:t>
      </w:r>
      <w:r w:rsidRPr="002A63B7">
        <w:rPr>
          <w:lang w:val="en-US"/>
        </w:rPr>
        <w:t xml:space="preserve"> </w:t>
      </w:r>
      <w:r w:rsidR="00B5539D">
        <w:rPr>
          <w:lang w:val="en-US"/>
        </w:rPr>
        <w:t>L</w:t>
      </w:r>
      <w:r w:rsidRPr="002A63B7">
        <w:rPr>
          <w:lang w:val="en-US"/>
        </w:rPr>
        <w:t>itigation.</w:t>
      </w:r>
    </w:p>
    <w:p w14:paraId="7E9F05EA" w14:textId="5E68AE3C" w:rsidR="00411003" w:rsidRPr="002A63B7" w:rsidRDefault="00411003" w:rsidP="002A63B7">
      <w:pPr>
        <w:spacing w:before="240" w:after="240"/>
        <w:rPr>
          <w:b/>
          <w:bCs/>
        </w:rPr>
      </w:pPr>
      <w:r w:rsidRPr="002A63B7">
        <w:rPr>
          <w:b/>
          <w:bCs/>
        </w:rPr>
        <w:lastRenderedPageBreak/>
        <w:t>1 Introdução</w:t>
      </w:r>
    </w:p>
    <w:p w14:paraId="35B2D194" w14:textId="7F5DDB6A" w:rsidR="00CC3956" w:rsidRPr="009C19A1" w:rsidRDefault="00CC3956" w:rsidP="002A63B7">
      <w:pPr>
        <w:spacing w:line="360" w:lineRule="auto"/>
        <w:ind w:firstLine="709"/>
        <w:jc w:val="both"/>
      </w:pPr>
      <w:r w:rsidRPr="009C19A1">
        <w:t xml:space="preserve">O início do século XXI </w:t>
      </w:r>
      <w:r w:rsidR="0050768B" w:rsidRPr="009C19A1">
        <w:t xml:space="preserve">tem como uma de suas características </w:t>
      </w:r>
      <w:r w:rsidRPr="009C19A1">
        <w:t>a revolução da maneira de se fazer comércio no mundo. A globalização e o avanço tecnológico permitiram que as informações se tornassem mundiais</w:t>
      </w:r>
      <w:r w:rsidR="0050768B" w:rsidRPr="009C19A1">
        <w:t xml:space="preserve"> muito rapidamente</w:t>
      </w:r>
      <w:r w:rsidRPr="009C19A1">
        <w:t xml:space="preserve"> e que estivessem disponíveis onde e quando se quisesse. Esses mesmos avanços também mudaram o mercado internacional; os produtos são padronizados e distribuídos para comércios do outro lado do mundo em uma frequência inédita na história.</w:t>
      </w:r>
    </w:p>
    <w:p w14:paraId="281EE013" w14:textId="4B04A5CE" w:rsidR="00CC3956" w:rsidRPr="009C19A1" w:rsidRDefault="00CC3956" w:rsidP="002A63B7">
      <w:pPr>
        <w:spacing w:line="360" w:lineRule="auto"/>
        <w:ind w:firstLine="709"/>
        <w:jc w:val="both"/>
      </w:pPr>
      <w:r w:rsidRPr="009C19A1">
        <w:t xml:space="preserve">O comércio de </w:t>
      </w:r>
      <w:r w:rsidRPr="009C19A1">
        <w:rPr>
          <w:i/>
          <w:iCs/>
        </w:rPr>
        <w:t>commodities</w:t>
      </w:r>
      <w:r w:rsidRPr="009C19A1">
        <w:t xml:space="preserve"> foi afetado por essa transformação no fluxo de informações e o Brasil, por ser um país essencialmente produtor e exportador de</w:t>
      </w:r>
      <w:r w:rsidR="00396905" w:rsidRPr="009C19A1">
        <w:t>stes produtos</w:t>
      </w:r>
      <w:r w:rsidRPr="009C19A1">
        <w:t xml:space="preserve">, teve que se adaptar para poder aproveitar os benefícios advindos dessa revolução. No mercado de </w:t>
      </w:r>
      <w:r w:rsidRPr="009C19A1">
        <w:rPr>
          <w:i/>
          <w:iCs/>
        </w:rPr>
        <w:t>commodities</w:t>
      </w:r>
      <w:r w:rsidRPr="009C19A1">
        <w:t xml:space="preserve"> o preço é dado e o produtor deve se adaptar para conseguir acompanhá-lo e manter a competitividade.</w:t>
      </w:r>
    </w:p>
    <w:p w14:paraId="4387136A" w14:textId="06452874" w:rsidR="00CC3956" w:rsidRPr="009C19A1" w:rsidRDefault="00CC3956" w:rsidP="002A63B7">
      <w:pPr>
        <w:spacing w:line="360" w:lineRule="auto"/>
        <w:ind w:firstLine="709"/>
        <w:jc w:val="both"/>
      </w:pPr>
      <w:r w:rsidRPr="009C19A1">
        <w:t>Destaca-se</w:t>
      </w:r>
      <w:r w:rsidR="00BA7CCD" w:rsidRPr="009C19A1">
        <w:t>,</w:t>
      </w:r>
      <w:r w:rsidRPr="009C19A1">
        <w:t xml:space="preserve"> dentre todos os produtos do agronegócio, o algodão que movimenta quantias significativas nas balanças comerciais de diversos países e por ser o principal produto da indústria têxtil é uma </w:t>
      </w:r>
      <w:r w:rsidRPr="009C19A1">
        <w:rPr>
          <w:i/>
          <w:iCs/>
        </w:rPr>
        <w:t>commodity</w:t>
      </w:r>
      <w:r w:rsidRPr="009C19A1">
        <w:t xml:space="preserve"> que merece atenção. A indústria têxtil tem um papel importante n</w:t>
      </w:r>
      <w:r w:rsidR="0050768B" w:rsidRPr="009C19A1">
        <w:t>a cadeia algodoeira</w:t>
      </w:r>
      <w:r w:rsidRPr="009C19A1">
        <w:t xml:space="preserve">, pois é a uma grande absorvedora de algodão em pluma do mercado mundial </w:t>
      </w:r>
      <w:r w:rsidR="00FB4A82" w:rsidRPr="009C19A1">
        <w:t>e dado</w:t>
      </w:r>
      <w:r w:rsidRPr="009C19A1">
        <w:t xml:space="preserve"> o seu crescimento nas últimas décadas observa-se uma tendência de aumento da necessidade de matéria-prima (</w:t>
      </w:r>
      <w:r w:rsidR="00B5539D" w:rsidRPr="009C19A1">
        <w:t>Ribeiro</w:t>
      </w:r>
      <w:r w:rsidRPr="009C19A1">
        <w:t>, 2017)</w:t>
      </w:r>
      <w:r w:rsidR="00B5539D">
        <w:t>.</w:t>
      </w:r>
    </w:p>
    <w:p w14:paraId="3000B388" w14:textId="1A8E2374" w:rsidR="00CC3956" w:rsidRPr="009C19A1" w:rsidRDefault="00CC3956" w:rsidP="002A63B7">
      <w:pPr>
        <w:spacing w:line="360" w:lineRule="auto"/>
        <w:ind w:firstLine="709"/>
        <w:jc w:val="both"/>
      </w:pPr>
      <w:r w:rsidRPr="009C19A1">
        <w:t>O Brasil possui clima e solo adequados a cultura do algodão</w:t>
      </w:r>
      <w:r w:rsidR="00BA7CCD" w:rsidRPr="009C19A1">
        <w:t xml:space="preserve"> </w:t>
      </w:r>
      <w:r w:rsidRPr="009C19A1">
        <w:t>e por isso se destaca como o qu</w:t>
      </w:r>
      <w:r w:rsidR="0050768B" w:rsidRPr="009C19A1">
        <w:t>arto</w:t>
      </w:r>
      <w:r w:rsidRPr="009C19A1">
        <w:t xml:space="preserve"> maior exportador </w:t>
      </w:r>
      <w:r w:rsidR="00DF17B0" w:rsidRPr="009C19A1">
        <w:t xml:space="preserve">e quinto maior produtor </w:t>
      </w:r>
      <w:r w:rsidRPr="009C19A1">
        <w:t xml:space="preserve">dessa </w:t>
      </w:r>
      <w:r w:rsidRPr="009C19A1">
        <w:rPr>
          <w:i/>
          <w:iCs/>
        </w:rPr>
        <w:t>commodity</w:t>
      </w:r>
      <w:r w:rsidRPr="009C19A1">
        <w:t>, segundo dados da Associação Brasileira dos Produtores de Algodão</w:t>
      </w:r>
      <w:r w:rsidR="00CA4500" w:rsidRPr="009C19A1">
        <w:t xml:space="preserve"> (ABRAPA</w:t>
      </w:r>
      <w:r w:rsidR="00621A81" w:rsidRPr="009C19A1">
        <w:t>) (</w:t>
      </w:r>
      <w:r w:rsidR="00CA4500" w:rsidRPr="009C19A1">
        <w:t>201</w:t>
      </w:r>
      <w:r w:rsidR="002F680B" w:rsidRPr="009C19A1">
        <w:t>9</w:t>
      </w:r>
      <w:r w:rsidR="00CA4500" w:rsidRPr="009C19A1">
        <w:t>)</w:t>
      </w:r>
      <w:r w:rsidRPr="009C19A1">
        <w:t>. Por ser uma cultura tão grande dentro do Brasil, estima-se que mais de 180 mil empregos são ligados diretamente ao cultivo</w:t>
      </w:r>
      <w:r w:rsidR="00CA4500" w:rsidRPr="009C19A1">
        <w:t>,</w:t>
      </w:r>
      <w:r w:rsidRPr="009C19A1">
        <w:t xml:space="preserve"> </w:t>
      </w:r>
      <w:r w:rsidR="00CA4500" w:rsidRPr="009C19A1">
        <w:t>preparação e fiação das fibras</w:t>
      </w:r>
      <w:r w:rsidRPr="009C19A1">
        <w:t xml:space="preserve"> de algodão (</w:t>
      </w:r>
      <w:r w:rsidR="005D2330" w:rsidRPr="009C19A1">
        <w:t>Neves</w:t>
      </w:r>
      <w:r w:rsidR="005D2330">
        <w:t xml:space="preserve"> &amp;</w:t>
      </w:r>
      <w:r w:rsidR="005D2330" w:rsidRPr="009C19A1">
        <w:t xml:space="preserve"> Pinto</w:t>
      </w:r>
      <w:r w:rsidRPr="009C19A1">
        <w:t>, 20</w:t>
      </w:r>
      <w:r w:rsidR="00CA4500" w:rsidRPr="009C19A1">
        <w:t>17</w:t>
      </w:r>
      <w:r w:rsidRPr="009C19A1">
        <w:t>)</w:t>
      </w:r>
      <w:r w:rsidR="005D2330">
        <w:t>.</w:t>
      </w:r>
    </w:p>
    <w:p w14:paraId="25F44312" w14:textId="5E74329F" w:rsidR="00CC3956" w:rsidRPr="009C19A1" w:rsidRDefault="00CC3956" w:rsidP="002A63B7">
      <w:pPr>
        <w:spacing w:line="360" w:lineRule="auto"/>
        <w:ind w:firstLine="709"/>
        <w:jc w:val="both"/>
      </w:pPr>
      <w:r w:rsidRPr="009C19A1">
        <w:t>Apenas em 201</w:t>
      </w:r>
      <w:r w:rsidR="00325A65" w:rsidRPr="009C19A1">
        <w:t>7</w:t>
      </w:r>
      <w:r w:rsidRPr="009C19A1">
        <w:t xml:space="preserve"> foram exportadas </w:t>
      </w:r>
      <w:r w:rsidR="00396905" w:rsidRPr="009C19A1">
        <w:t xml:space="preserve">pelo Brasil </w:t>
      </w:r>
      <w:r w:rsidRPr="009C19A1">
        <w:t>8</w:t>
      </w:r>
      <w:r w:rsidR="00325A65" w:rsidRPr="009C19A1">
        <w:t>35</w:t>
      </w:r>
      <w:r w:rsidRPr="009C19A1">
        <w:t xml:space="preserve"> mil toneladas de algodão em pluma segundo dados do </w:t>
      </w:r>
      <w:proofErr w:type="spellStart"/>
      <w:r w:rsidRPr="009C19A1">
        <w:t>Database</w:t>
      </w:r>
      <w:proofErr w:type="spellEnd"/>
      <w:r w:rsidRPr="009C19A1">
        <w:t xml:space="preserve"> de Comércio Internacional das Nações Unidas (UN COMTRADE</w:t>
      </w:r>
      <w:r w:rsidR="005D2330">
        <w:t>) (</w:t>
      </w:r>
      <w:r w:rsidRPr="009C19A1">
        <w:t>201</w:t>
      </w:r>
      <w:r w:rsidR="00325A65" w:rsidRPr="009C19A1">
        <w:t>9</w:t>
      </w:r>
      <w:r w:rsidRPr="009C19A1">
        <w:t>), movimentando mais de</w:t>
      </w:r>
      <w:r w:rsidR="0050768B" w:rsidRPr="009C19A1">
        <w:t xml:space="preserve"> US$</w:t>
      </w:r>
      <w:r w:rsidRPr="009C19A1">
        <w:t xml:space="preserve"> </w:t>
      </w:r>
      <w:r w:rsidR="0050768B" w:rsidRPr="009C19A1">
        <w:t>1,</w:t>
      </w:r>
      <w:r w:rsidR="00325A65" w:rsidRPr="009C19A1">
        <w:t>36</w:t>
      </w:r>
      <w:r w:rsidRPr="009C19A1">
        <w:t xml:space="preserve"> bilhões. A quantidade exportada coloca o Brasil em uma posição de destaque, porém esta não oferece garantias de estabilidade no longo prazo, sendo assim é cada vez mais importante estar atento aos passos </w:t>
      </w:r>
      <w:r w:rsidR="00B5049B" w:rsidRPr="009C19A1">
        <w:t>dos produtores</w:t>
      </w:r>
      <w:r w:rsidRPr="009C19A1">
        <w:t xml:space="preserve"> concor</w:t>
      </w:r>
      <w:r w:rsidR="00B5049B" w:rsidRPr="009C19A1">
        <w:t>rente</w:t>
      </w:r>
      <w:r w:rsidR="005D2330">
        <w:t>s</w:t>
      </w:r>
      <w:r w:rsidRPr="009C19A1">
        <w:t>.</w:t>
      </w:r>
    </w:p>
    <w:p w14:paraId="26BDDB23" w14:textId="1C9A8F88" w:rsidR="00CC3956" w:rsidRPr="009C19A1" w:rsidRDefault="00CC3956" w:rsidP="002A63B7">
      <w:pPr>
        <w:spacing w:line="360" w:lineRule="auto"/>
        <w:ind w:firstLine="709"/>
        <w:jc w:val="both"/>
      </w:pPr>
      <w:r w:rsidRPr="009C19A1">
        <w:t>A história mostra que é possível produzir distorções no mercado internacional por meio da política agrícola implementada no país</w:t>
      </w:r>
      <w:r w:rsidR="0050768B" w:rsidRPr="009C19A1">
        <w:t xml:space="preserve"> de origem da </w:t>
      </w:r>
      <w:r w:rsidR="0050768B" w:rsidRPr="009C19A1">
        <w:rPr>
          <w:i/>
          <w:iCs/>
        </w:rPr>
        <w:t>commodity</w:t>
      </w:r>
      <w:r w:rsidRPr="009C19A1">
        <w:t>, por isso, visando garantir permanência e competitividade no mercado internacional, o Brasil solicitou</w:t>
      </w:r>
      <w:r w:rsidR="005D2330">
        <w:t>,</w:t>
      </w:r>
      <w:r w:rsidRPr="009C19A1">
        <w:t xml:space="preserve"> junto à Organização Mundial do Comércio (OMC) em 2002, uma consulta para contestar a política de subsídio</w:t>
      </w:r>
      <w:r w:rsidR="0050768B" w:rsidRPr="009C19A1">
        <w:t>s</w:t>
      </w:r>
      <w:r w:rsidRPr="009C19A1">
        <w:t xml:space="preserve"> agrícolas norte-americana. Essa disputa internacional durou até o início de 2014, </w:t>
      </w:r>
      <w:r w:rsidRPr="009C19A1">
        <w:lastRenderedPageBreak/>
        <w:t>quando então chegou-se a um acordo, e os E</w:t>
      </w:r>
      <w:r w:rsidR="00285C2C" w:rsidRPr="009C19A1">
        <w:t xml:space="preserve">stados Unidos </w:t>
      </w:r>
      <w:r w:rsidRPr="009C19A1">
        <w:t xml:space="preserve">pagaram compensações indenizatórias e mudaram a sua lei de apoio à agricultura, nomeada </w:t>
      </w:r>
      <w:proofErr w:type="spellStart"/>
      <w:r w:rsidRPr="009C19A1">
        <w:t>Farm</w:t>
      </w:r>
      <w:proofErr w:type="spellEnd"/>
      <w:r w:rsidRPr="009C19A1">
        <w:t xml:space="preserve"> Bill (</w:t>
      </w:r>
      <w:r w:rsidR="005D2330" w:rsidRPr="009C19A1">
        <w:t>Barral</w:t>
      </w:r>
      <w:r w:rsidR="005D2330">
        <w:t xml:space="preserve"> &amp; </w:t>
      </w:r>
      <w:r w:rsidR="005D2330" w:rsidRPr="009C19A1">
        <w:t>Amaral</w:t>
      </w:r>
      <w:r w:rsidRPr="009C19A1">
        <w:t>, 2015)</w:t>
      </w:r>
      <w:r w:rsidR="005D2330">
        <w:t>.</w:t>
      </w:r>
    </w:p>
    <w:p w14:paraId="5C8CA022" w14:textId="49696921" w:rsidR="00CC3956" w:rsidRPr="009C19A1" w:rsidRDefault="00CC3956" w:rsidP="002A63B7">
      <w:pPr>
        <w:spacing w:line="360" w:lineRule="auto"/>
        <w:ind w:firstLine="709"/>
        <w:jc w:val="both"/>
      </w:pPr>
      <w:r w:rsidRPr="009C19A1">
        <w:t>Desde então, estudos analisam os diferentes impactos que essa decisão teve para o agronegócio brasileiro. Barral e Amaral (2015), Dal Pai</w:t>
      </w:r>
      <w:r w:rsidR="005D2330">
        <w:t xml:space="preserve">, </w:t>
      </w:r>
      <w:proofErr w:type="spellStart"/>
      <w:r w:rsidR="005D2330">
        <w:t>Strassburg</w:t>
      </w:r>
      <w:proofErr w:type="spellEnd"/>
      <w:r w:rsidR="005D2330">
        <w:t xml:space="preserve">, </w:t>
      </w:r>
      <w:proofErr w:type="spellStart"/>
      <w:r w:rsidR="005D2330">
        <w:t>Braun</w:t>
      </w:r>
      <w:proofErr w:type="spellEnd"/>
      <w:r w:rsidR="005D2330">
        <w:t xml:space="preserve"> e Oliveira</w:t>
      </w:r>
      <w:r w:rsidRPr="009C19A1">
        <w:t xml:space="preserve"> (2014) e </w:t>
      </w:r>
      <w:proofErr w:type="spellStart"/>
      <w:r w:rsidRPr="009C19A1">
        <w:t>Schnepf</w:t>
      </w:r>
      <w:proofErr w:type="spellEnd"/>
      <w:r w:rsidRPr="009C19A1">
        <w:t xml:space="preserve"> (2014) falaram da importância econômica e política desse contencioso, pois ele não interferiu apenas no setor de cotonicultura, mas no agronegócio mundial como um todo. Além disso, o Brasil ganhou posição de destaque junto à OMC pela força política para vencer uma disputa que se arrastou por mais de uma década.</w:t>
      </w:r>
    </w:p>
    <w:p w14:paraId="19E83110" w14:textId="569D2626" w:rsidR="00CC3956" w:rsidRPr="009C19A1" w:rsidRDefault="0050768B" w:rsidP="002A63B7">
      <w:pPr>
        <w:spacing w:line="360" w:lineRule="auto"/>
        <w:ind w:firstLine="709"/>
        <w:jc w:val="both"/>
      </w:pPr>
      <w:r w:rsidRPr="009C19A1">
        <w:t>Sendo assim</w:t>
      </w:r>
      <w:r w:rsidR="00CC3956" w:rsidRPr="009C19A1">
        <w:t xml:space="preserve">, justifica-se uma avaliação econômica dos desdobramentos do contencioso para as exportações brasileiras de algodão em pluma, principalmente pelos impactos social e econômico que o setor tem no agronegócio. O estudo tem por objetivo avaliar a </w:t>
      </w:r>
      <w:r w:rsidR="002B6F8B" w:rsidRPr="009C19A1">
        <w:t>competitividade da cotonicultura d</w:t>
      </w:r>
      <w:r w:rsidR="009A01E6" w:rsidRPr="009C19A1">
        <w:t>e países selecionados</w:t>
      </w:r>
      <w:r w:rsidR="002B6F8B" w:rsidRPr="009C19A1">
        <w:t xml:space="preserve"> </w:t>
      </w:r>
      <w:r w:rsidR="004D1A58" w:rsidRPr="009C19A1">
        <w:t xml:space="preserve">comparando-a com a brasileira </w:t>
      </w:r>
      <w:r w:rsidR="002B6F8B" w:rsidRPr="009C19A1">
        <w:t xml:space="preserve">no período de 2000 a 2017, por meio de indicadores selecionados </w:t>
      </w:r>
      <w:r w:rsidR="00CC3956" w:rsidRPr="009C19A1">
        <w:t>e averiguar os resultados advindos do contencioso.</w:t>
      </w:r>
    </w:p>
    <w:p w14:paraId="035A6D4E" w14:textId="77777777" w:rsidR="000458B2" w:rsidRPr="009C19A1" w:rsidRDefault="000458B2" w:rsidP="002A63B7"/>
    <w:p w14:paraId="3F1FF22C" w14:textId="70F12AEE" w:rsidR="00CC3956" w:rsidRPr="007056EC" w:rsidRDefault="00411003" w:rsidP="002A63B7">
      <w:pPr>
        <w:spacing w:before="240" w:after="240"/>
        <w:rPr>
          <w:b/>
          <w:bCs/>
        </w:rPr>
      </w:pPr>
      <w:r w:rsidRPr="007056EC">
        <w:rPr>
          <w:b/>
          <w:bCs/>
        </w:rPr>
        <w:t xml:space="preserve">2 </w:t>
      </w:r>
      <w:r w:rsidR="00563B3A" w:rsidRPr="007056EC">
        <w:rPr>
          <w:b/>
          <w:bCs/>
        </w:rPr>
        <w:t>Referencial</w:t>
      </w:r>
      <w:r w:rsidR="00CC3956" w:rsidRPr="007056EC">
        <w:rPr>
          <w:b/>
          <w:bCs/>
        </w:rPr>
        <w:t xml:space="preserve"> Teórico</w:t>
      </w:r>
    </w:p>
    <w:p w14:paraId="07B8DFB7" w14:textId="6F08E551" w:rsidR="00CC3956" w:rsidRPr="007056EC" w:rsidRDefault="00CC3956" w:rsidP="002A63B7">
      <w:pPr>
        <w:spacing w:before="240" w:after="240"/>
        <w:rPr>
          <w:b/>
          <w:bCs/>
        </w:rPr>
      </w:pPr>
      <w:r w:rsidRPr="007056EC">
        <w:rPr>
          <w:b/>
          <w:bCs/>
        </w:rPr>
        <w:t>2.1 Breve panorama da importância histórica da cotonicultura no Brasil</w:t>
      </w:r>
    </w:p>
    <w:p w14:paraId="5A6B2EDE" w14:textId="1BB4E294" w:rsidR="00CC3956" w:rsidRPr="009C19A1" w:rsidRDefault="00CC3956" w:rsidP="00773AD3">
      <w:pPr>
        <w:spacing w:line="360" w:lineRule="auto"/>
        <w:ind w:firstLine="709"/>
        <w:jc w:val="both"/>
      </w:pPr>
      <w:r w:rsidRPr="009C19A1">
        <w:t xml:space="preserve">O cultivo de algodão iniciou-se junto com a chegada dos colonizadores no Brasil, utilizando espécies nativas e importadas. Neste momento histórico, o algodão é utilizado apenas para consumo interno e seu regime de produção é pequeno e rudimentar. </w:t>
      </w:r>
      <w:r w:rsidR="00247797" w:rsidRPr="009C19A1">
        <w:t>Um</w:t>
      </w:r>
      <w:r w:rsidRPr="009C19A1">
        <w:t xml:space="preserve"> aumento da produção acontece na metade do século XVII com a corrida do ouro e a necessidade d</w:t>
      </w:r>
      <w:r w:rsidR="00247797" w:rsidRPr="009C19A1">
        <w:t xml:space="preserve">a indústria têxtil de confeccionar </w:t>
      </w:r>
      <w:r w:rsidRPr="009C19A1">
        <w:t>e vestir a crescente população (</w:t>
      </w:r>
      <w:r w:rsidR="00D670F1" w:rsidRPr="009C19A1">
        <w:t>Costa</w:t>
      </w:r>
      <w:r w:rsidR="00D670F1">
        <w:t xml:space="preserve"> &amp; </w:t>
      </w:r>
      <w:r w:rsidR="00D670F1" w:rsidRPr="009C19A1">
        <w:t>Bueno</w:t>
      </w:r>
      <w:r w:rsidRPr="009C19A1">
        <w:t>, 2004)</w:t>
      </w:r>
      <w:r w:rsidR="00D670F1">
        <w:t>.</w:t>
      </w:r>
    </w:p>
    <w:p w14:paraId="5CF1EE1D" w14:textId="5C82BB92" w:rsidR="00CC3956" w:rsidRPr="009C19A1" w:rsidRDefault="00CC3956" w:rsidP="00773AD3">
      <w:pPr>
        <w:spacing w:line="360" w:lineRule="auto"/>
        <w:ind w:firstLine="709"/>
        <w:jc w:val="both"/>
      </w:pPr>
      <w:r w:rsidRPr="009C19A1">
        <w:t xml:space="preserve">Entre o fim do século XVIII e o início do século XIX a produção de algodão </w:t>
      </w:r>
      <w:r w:rsidR="00247797" w:rsidRPr="009C19A1">
        <w:t>to</w:t>
      </w:r>
      <w:r w:rsidRPr="009C19A1">
        <w:t>rnou</w:t>
      </w:r>
      <w:r w:rsidR="00247797" w:rsidRPr="009C19A1">
        <w:t>-se</w:t>
      </w:r>
      <w:r w:rsidRPr="009C19A1">
        <w:t xml:space="preserve"> voltada para o mercado inglês, devido à Revolução Industrial Inglesa, que mecanizou e </w:t>
      </w:r>
      <w:r w:rsidR="00247797" w:rsidRPr="009C19A1">
        <w:t>modernizou</w:t>
      </w:r>
      <w:r w:rsidRPr="009C19A1">
        <w:t xml:space="preserve"> a indústria têxtil</w:t>
      </w:r>
      <w:r w:rsidR="00247797" w:rsidRPr="009C19A1">
        <w:t xml:space="preserve"> com o desenvolvimento de teares mecanizados</w:t>
      </w:r>
      <w:r w:rsidRPr="009C19A1">
        <w:t>. Aproveitando essa janela de oportunidade, o Brasil produziu algodão em pluma extensivamente visando atender</w:t>
      </w:r>
      <w:r w:rsidR="00247797" w:rsidRPr="009C19A1">
        <w:t xml:space="preserve"> principalmente</w:t>
      </w:r>
      <w:r w:rsidRPr="009C19A1">
        <w:t xml:space="preserve"> a demanda externa (</w:t>
      </w:r>
      <w:r w:rsidR="00D670F1" w:rsidRPr="009C19A1">
        <w:t xml:space="preserve">Dal Pai </w:t>
      </w:r>
      <w:r w:rsidRPr="00D670F1">
        <w:t>et al.,</w:t>
      </w:r>
      <w:r w:rsidRPr="009C19A1">
        <w:t xml:space="preserve"> 2014)</w:t>
      </w:r>
      <w:r w:rsidR="00D670F1">
        <w:t>.</w:t>
      </w:r>
    </w:p>
    <w:p w14:paraId="4848A4DA" w14:textId="07DD14B3" w:rsidR="00CC3956" w:rsidRPr="009C19A1" w:rsidRDefault="00CC3956" w:rsidP="00773AD3">
      <w:pPr>
        <w:spacing w:line="360" w:lineRule="auto"/>
        <w:ind w:firstLine="709"/>
        <w:jc w:val="both"/>
      </w:pPr>
      <w:r w:rsidRPr="009C19A1">
        <w:t xml:space="preserve">O início do século XX </w:t>
      </w:r>
      <w:r w:rsidR="00247797" w:rsidRPr="009C19A1">
        <w:t>caracterizou-se</w:t>
      </w:r>
      <w:r w:rsidRPr="009C19A1">
        <w:t xml:space="preserve"> pelo estabelecimento de uma indústria têxtil local, capaz de absorver grande parte da produção de algodão, produção esta que deixou de ser consumida pelo mercado inglês devido à Grande Guerra. Por este motivo, houve ainda, incentivo</w:t>
      </w:r>
      <w:r w:rsidR="00247797" w:rsidRPr="009C19A1">
        <w:t>s</w:t>
      </w:r>
      <w:r w:rsidRPr="009C19A1">
        <w:t xml:space="preserve"> do governo brasileiro tanto </w:t>
      </w:r>
      <w:r w:rsidR="00247797" w:rsidRPr="009C19A1">
        <w:t xml:space="preserve">para </w:t>
      </w:r>
      <w:r w:rsidRPr="009C19A1">
        <w:t>a</w:t>
      </w:r>
      <w:r w:rsidR="00247797" w:rsidRPr="009C19A1">
        <w:t xml:space="preserve"> manutenção da</w:t>
      </w:r>
      <w:r w:rsidRPr="009C19A1">
        <w:t xml:space="preserve"> produção de algodão quanto para a indústria têxtil (</w:t>
      </w:r>
      <w:r w:rsidR="00D670F1" w:rsidRPr="009C19A1">
        <w:t>Costa</w:t>
      </w:r>
      <w:r w:rsidR="00D670F1">
        <w:t xml:space="preserve"> &amp; </w:t>
      </w:r>
      <w:r w:rsidR="00D670F1" w:rsidRPr="009C19A1">
        <w:t>Bueno</w:t>
      </w:r>
      <w:r w:rsidRPr="009C19A1">
        <w:t>, 2004)</w:t>
      </w:r>
      <w:r w:rsidR="00D670F1">
        <w:t>.</w:t>
      </w:r>
    </w:p>
    <w:p w14:paraId="56C2F758" w14:textId="73BB07C1" w:rsidR="00B2130C" w:rsidRPr="009C19A1" w:rsidRDefault="00B2130C" w:rsidP="00773AD3">
      <w:pPr>
        <w:spacing w:line="360" w:lineRule="auto"/>
        <w:ind w:firstLine="709"/>
        <w:jc w:val="both"/>
      </w:pPr>
      <w:r w:rsidRPr="009C19A1">
        <w:lastRenderedPageBreak/>
        <w:t xml:space="preserve">Vieira, </w:t>
      </w:r>
      <w:proofErr w:type="spellStart"/>
      <w:r w:rsidRPr="009C19A1">
        <w:t>Lunas</w:t>
      </w:r>
      <w:proofErr w:type="spellEnd"/>
      <w:r w:rsidRPr="009C19A1">
        <w:t xml:space="preserve"> e Garcia (2016) afirmaram que d</w:t>
      </w:r>
      <w:r w:rsidR="009A01C9" w:rsidRPr="009C19A1">
        <w:t>urante</w:t>
      </w:r>
      <w:r w:rsidR="00153273" w:rsidRPr="009C19A1">
        <w:t xml:space="preserve"> a década de 1980 a cotonicultura passou por um período desafiador, com queda de produção de 1,17 milhão de tonelada</w:t>
      </w:r>
      <w:r w:rsidR="0074406C" w:rsidRPr="009C19A1">
        <w:t>s</w:t>
      </w:r>
      <w:r w:rsidR="00153273" w:rsidRPr="009C19A1">
        <w:t xml:space="preserve"> para 420 mil tone</w:t>
      </w:r>
      <w:r w:rsidR="00D8199A" w:rsidRPr="009C19A1">
        <w:t>la</w:t>
      </w:r>
      <w:r w:rsidR="00153273" w:rsidRPr="009C19A1">
        <w:t>das devido a incidência da praga do bicudo nos grandes centros produtores</w:t>
      </w:r>
      <w:r w:rsidR="00CC3956" w:rsidRPr="009C19A1">
        <w:t xml:space="preserve"> da região </w:t>
      </w:r>
      <w:r w:rsidR="00DF5ACA" w:rsidRPr="009C19A1">
        <w:t>n</w:t>
      </w:r>
      <w:r w:rsidR="00CC3956" w:rsidRPr="009C19A1">
        <w:t>ordeste.</w:t>
      </w:r>
      <w:r w:rsidR="008E5C81" w:rsidRPr="009C19A1">
        <w:t xml:space="preserve"> </w:t>
      </w:r>
      <w:r w:rsidRPr="009C19A1">
        <w:t>Dados de Costa e Bueno (2004) mostraram que entre 1985 e 1994, em decorrência da queda da produção e dos preços do algodão no mercado externo, mais de 800 mil postos de trabalho foram retirados dando origem ao maior êxodo rural da história do Brasil.</w:t>
      </w:r>
    </w:p>
    <w:p w14:paraId="3EFED339" w14:textId="7F70CD00" w:rsidR="008E5C81" w:rsidRPr="009C19A1" w:rsidRDefault="00B2130C" w:rsidP="00773AD3">
      <w:pPr>
        <w:spacing w:line="360" w:lineRule="auto"/>
        <w:ind w:firstLine="709"/>
        <w:jc w:val="both"/>
      </w:pPr>
      <w:r w:rsidRPr="009C19A1">
        <w:t>D</w:t>
      </w:r>
      <w:r w:rsidR="00DF5ACA" w:rsidRPr="009C19A1">
        <w:t xml:space="preserve">urante a </w:t>
      </w:r>
      <w:r w:rsidR="00CC3956" w:rsidRPr="009C19A1">
        <w:t xml:space="preserve">década de </w:t>
      </w:r>
      <w:r w:rsidR="00DF5ACA" w:rsidRPr="009C19A1">
        <w:t>19</w:t>
      </w:r>
      <w:r w:rsidR="00CC3956" w:rsidRPr="009C19A1">
        <w:t xml:space="preserve">90 </w:t>
      </w:r>
      <w:r w:rsidR="00DF5ACA" w:rsidRPr="009C19A1">
        <w:t>o Brasil passou para o posto de importador de algodão devido os preços artificialmente baixos promovidos por subsídios dos governos norte americanos e europeu.</w:t>
      </w:r>
      <w:r w:rsidR="008E5C81" w:rsidRPr="009C19A1">
        <w:t xml:space="preserve"> N</w:t>
      </w:r>
      <w:r w:rsidR="00CC3956" w:rsidRPr="009C19A1">
        <w:t xml:space="preserve">este período, o Brasil saiu do </w:t>
      </w:r>
      <w:r w:rsidR="0074406C" w:rsidRPr="009C19A1">
        <w:t>status</w:t>
      </w:r>
      <w:r w:rsidR="00CC3956" w:rsidRPr="009C19A1">
        <w:t xml:space="preserve"> de autossuficiente para o posto de importador de algodão do mercado externo</w:t>
      </w:r>
      <w:r w:rsidRPr="009C19A1">
        <w:t xml:space="preserve"> (</w:t>
      </w:r>
      <w:proofErr w:type="spellStart"/>
      <w:r w:rsidR="00D670F1" w:rsidRPr="009C19A1">
        <w:t>Barchet</w:t>
      </w:r>
      <w:proofErr w:type="spellEnd"/>
      <w:r w:rsidR="00D670F1" w:rsidRPr="009C19A1">
        <w:t xml:space="preserve">, Rocha, </w:t>
      </w:r>
      <w:r w:rsidR="00D670F1">
        <w:t xml:space="preserve">&amp; </w:t>
      </w:r>
      <w:r w:rsidR="00D670F1" w:rsidRPr="009C19A1">
        <w:t>Dal Pai</w:t>
      </w:r>
      <w:r w:rsidRPr="009C19A1">
        <w:t>, 2016)</w:t>
      </w:r>
      <w:r w:rsidR="00D670F1">
        <w:t>.</w:t>
      </w:r>
    </w:p>
    <w:p w14:paraId="2F40CBF2" w14:textId="25757169" w:rsidR="00CC3956" w:rsidRPr="009C19A1" w:rsidRDefault="00CC3956" w:rsidP="00773AD3">
      <w:pPr>
        <w:spacing w:line="360" w:lineRule="auto"/>
        <w:ind w:firstLine="709"/>
        <w:jc w:val="both"/>
      </w:pPr>
      <w:r w:rsidRPr="009C19A1">
        <w:t>Segundo Ferreira Filho, Alves e Villar (2009)</w:t>
      </w:r>
      <w:r w:rsidR="00D670F1">
        <w:t>,</w:t>
      </w:r>
      <w:r w:rsidRPr="009C19A1">
        <w:t xml:space="preserve"> no início do século XXI os índices de produção tornaram a aumentar gerando excedente de oferta </w:t>
      </w:r>
      <w:r w:rsidR="0074406C" w:rsidRPr="009C19A1">
        <w:t xml:space="preserve">sendo este destinado </w:t>
      </w:r>
      <w:r w:rsidRPr="009C19A1">
        <w:t>para exportação e já na safra 2003/04 representava 6,3% do total de algodão em pluma produzido no mundo e 3% das exportações mundiais de algodão.</w:t>
      </w:r>
    </w:p>
    <w:p w14:paraId="63DCDACE" w14:textId="2C7C460B" w:rsidR="00CC3956" w:rsidRPr="009C19A1" w:rsidRDefault="00CC3956" w:rsidP="00773AD3">
      <w:pPr>
        <w:spacing w:line="360" w:lineRule="auto"/>
        <w:ind w:firstLine="709"/>
        <w:jc w:val="both"/>
      </w:pPr>
      <w:r w:rsidRPr="009C19A1">
        <w:t>Em 2017 o Brasil figurava entre os cinco maiores produtores mundiais de algodão (China, Índia, Estados Unidos e Paquistão), aparecendo também como um dos maiores exportadores mundiais. Internamente o cenário também é promissor, pois figura entre os maiores consumidores do algodão em pluma (ABRAPA, 201</w:t>
      </w:r>
      <w:r w:rsidR="0053253A" w:rsidRPr="009C19A1">
        <w:t>9</w:t>
      </w:r>
      <w:r w:rsidRPr="009C19A1">
        <w:t>)</w:t>
      </w:r>
      <w:r w:rsidR="00D670F1">
        <w:t>.</w:t>
      </w:r>
    </w:p>
    <w:p w14:paraId="2AC2ED26" w14:textId="3697EC56" w:rsidR="003C1CC7" w:rsidRPr="009C19A1" w:rsidRDefault="00CC3956" w:rsidP="00773AD3">
      <w:pPr>
        <w:spacing w:line="360" w:lineRule="auto"/>
        <w:ind w:firstLine="709"/>
        <w:jc w:val="both"/>
      </w:pPr>
      <w:r w:rsidRPr="009C19A1">
        <w:t xml:space="preserve">Segundo </w:t>
      </w:r>
      <w:r w:rsidR="0099651B" w:rsidRPr="009C19A1">
        <w:t xml:space="preserve">Oliveira </w:t>
      </w:r>
      <w:r w:rsidRPr="009C19A1">
        <w:t>Neto (2017)</w:t>
      </w:r>
      <w:r w:rsidR="00D670F1">
        <w:t>,</w:t>
      </w:r>
      <w:r w:rsidRPr="009C19A1">
        <w:t xml:space="preserve"> o Brasil foi responsável, em média, por 6% da produção mundial e 7,85% da exportação total de algodão em pluma entre os anos-safra 2006/07 a 2016/17. Estados Unidos e Índia respondem por aproximadamente 50% do total de exportações mundiais de algodão em pluma. A China é o maior produtor mundial de algodão, porém todo o montante produzido </w:t>
      </w:r>
      <w:r w:rsidR="00C24D73" w:rsidRPr="009C19A1">
        <w:t>é c</w:t>
      </w:r>
      <w:r w:rsidRPr="009C19A1">
        <w:t>onsumido no mercado interno.</w:t>
      </w:r>
    </w:p>
    <w:p w14:paraId="13109C41" w14:textId="7277EBE5" w:rsidR="00CC3956" w:rsidRPr="009C19A1" w:rsidRDefault="00CC3956" w:rsidP="00773AD3">
      <w:pPr>
        <w:spacing w:line="360" w:lineRule="auto"/>
        <w:ind w:firstLine="709"/>
        <w:jc w:val="both"/>
      </w:pPr>
      <w:r w:rsidRPr="009C19A1">
        <w:t xml:space="preserve">Segundo dados de </w:t>
      </w:r>
      <w:r w:rsidR="00CA4500" w:rsidRPr="009C19A1">
        <w:t>Neves e Pinto</w:t>
      </w:r>
      <w:r w:rsidRPr="009C19A1">
        <w:t xml:space="preserve"> (20</w:t>
      </w:r>
      <w:r w:rsidR="00CA4500" w:rsidRPr="009C19A1">
        <w:t>17</w:t>
      </w:r>
      <w:r w:rsidRPr="009C19A1">
        <w:t>), estima-se que toda a cadeia do algodão gera mais de 1,2 milhões de empregos em todo o Brasil, deste total, 180 mil empregos estão diretamente relacionados ao agronegócio, distribuídos entre o plantio, colheita e preparação da fibra para a indústria têxtil</w:t>
      </w:r>
      <w:r w:rsidR="00CA4500" w:rsidRPr="009C19A1">
        <w:t>, e 1,05 milhão de empregos estão ligados à confecção e ao varejo</w:t>
      </w:r>
      <w:r w:rsidRPr="009C19A1">
        <w:t>. Por ser uma cultura altamente mecanizada, a tendência é a diminuição dos empregos diretos, mas um aumento da produtividade</w:t>
      </w:r>
      <w:r w:rsidR="00183527" w:rsidRPr="009C19A1">
        <w:t xml:space="preserve"> pode</w:t>
      </w:r>
      <w:r w:rsidRPr="009C19A1">
        <w:t xml:space="preserve"> gera</w:t>
      </w:r>
      <w:r w:rsidR="00183527" w:rsidRPr="009C19A1">
        <w:t>r</w:t>
      </w:r>
      <w:r w:rsidRPr="009C19A1">
        <w:t xml:space="preserve"> mais empregos distribuídos por toda a cadeia.</w:t>
      </w:r>
    </w:p>
    <w:p w14:paraId="7F472E18" w14:textId="0440A0E7" w:rsidR="00CC3956" w:rsidRPr="009C19A1" w:rsidRDefault="000251CF" w:rsidP="00773AD3">
      <w:pPr>
        <w:spacing w:line="360" w:lineRule="auto"/>
        <w:ind w:firstLine="709"/>
        <w:jc w:val="both"/>
      </w:pPr>
      <w:r w:rsidRPr="009C19A1">
        <w:t xml:space="preserve">O </w:t>
      </w:r>
      <w:r w:rsidR="00252611" w:rsidRPr="009C19A1">
        <w:t>cult</w:t>
      </w:r>
      <w:r w:rsidRPr="009C19A1">
        <w:t>ivo</w:t>
      </w:r>
      <w:r w:rsidR="00252611" w:rsidRPr="009C19A1">
        <w:t xml:space="preserve"> est</w:t>
      </w:r>
      <w:r w:rsidR="00CC3956" w:rsidRPr="009C19A1">
        <w:t xml:space="preserve">á presente em todas as regiões do país, duas se destacam: o centro-oeste, representado pelo estado do Mato Grosso, seguido por Mato Grosso do Sul e Goiás, sem plantações no Distrito Federal; e a região nordeste que é representada pela Bahia, seguida pelo Maranhão e pelo Piauí, os demais estados da região têm pouca ou nenhuma representatividade </w:t>
      </w:r>
      <w:r w:rsidR="00CC3956" w:rsidRPr="009C19A1">
        <w:lastRenderedPageBreak/>
        <w:t>no montante cultivado. As outras regiões do país possuem pouca representatividade na área destinada ao cultivo de algodão.</w:t>
      </w:r>
      <w:r w:rsidR="00EE5C78" w:rsidRPr="009C19A1">
        <w:t xml:space="preserve"> Em termos de área cultivada, Mato Grosso e a Bahia representam, respectivamente, 66,8% e 21,5% da área total cultivada de algodão do país (</w:t>
      </w:r>
      <w:r w:rsidR="00D670F1" w:rsidRPr="009C19A1">
        <w:t>Ribeiro</w:t>
      </w:r>
      <w:r w:rsidR="00EE5C78" w:rsidRPr="009C19A1">
        <w:t>, 2017)</w:t>
      </w:r>
      <w:r w:rsidR="00D670F1">
        <w:t>.</w:t>
      </w:r>
    </w:p>
    <w:p w14:paraId="68C04FAB" w14:textId="3E697BE2" w:rsidR="00CC3956" w:rsidRPr="009C19A1" w:rsidRDefault="00A27138" w:rsidP="00773AD3">
      <w:pPr>
        <w:spacing w:line="360" w:lineRule="auto"/>
        <w:ind w:firstLine="709"/>
        <w:jc w:val="both"/>
      </w:pPr>
      <w:r w:rsidRPr="009C19A1">
        <w:t>Ainda segundo Ribeiro (2017)</w:t>
      </w:r>
      <w:r w:rsidR="00D670F1">
        <w:t>,</w:t>
      </w:r>
      <w:r w:rsidRPr="009C19A1">
        <w:t xml:space="preserve"> a</w:t>
      </w:r>
      <w:r w:rsidR="00CC3956" w:rsidRPr="009C19A1">
        <w:t xml:space="preserve"> Bahia destaca-se na produtividade, com índices de tonelada por hectare maiores que os do Mato Grosso. Sendo assim, a região Norte-Nordeste possuí índices de produtividade maiores que a região Centro-Sul. O microclima e a topografia o qual o estado baiano está inserido também colabora para esses índices, pois permite a alta mecanização e produz uma fibra de maior qualidade.</w:t>
      </w:r>
    </w:p>
    <w:p w14:paraId="12DE93E9" w14:textId="6F7B70F5" w:rsidR="0074406C" w:rsidRDefault="0074406C" w:rsidP="00773AD3">
      <w:pPr>
        <w:spacing w:line="360" w:lineRule="auto"/>
        <w:ind w:firstLine="709"/>
        <w:jc w:val="both"/>
      </w:pPr>
      <w:r w:rsidRPr="00982384">
        <w:t xml:space="preserve">Para a safra 2018/19 é esperado, segundo dados </w:t>
      </w:r>
      <w:r w:rsidR="00E63B8C" w:rsidRPr="00982384">
        <w:t xml:space="preserve">de </w:t>
      </w:r>
      <w:proofErr w:type="spellStart"/>
      <w:r w:rsidRPr="00982384">
        <w:t>Dohlman</w:t>
      </w:r>
      <w:proofErr w:type="spellEnd"/>
      <w:r w:rsidRPr="00982384">
        <w:t xml:space="preserve"> et al</w:t>
      </w:r>
      <w:r w:rsidR="00BA7CCD" w:rsidRPr="00982384">
        <w:t>.</w:t>
      </w:r>
      <w:r w:rsidRPr="00982384">
        <w:t xml:space="preserve"> (2019)</w:t>
      </w:r>
      <w:r w:rsidR="00D670F1" w:rsidRPr="00982384">
        <w:t>,</w:t>
      </w:r>
      <w:r w:rsidRPr="00982384">
        <w:t xml:space="preserve"> do</w:t>
      </w:r>
      <w:r w:rsidRPr="009C19A1">
        <w:t xml:space="preserve"> Departamento de Agricultura Norte Americano, um incremento de produção de algodão em pluma brasileiro de mais de 2 milhões de fardos (aproximadamente 440 mil toneladas) quando comparado com </w:t>
      </w:r>
      <w:r w:rsidR="002B1CA0" w:rsidRPr="009C19A1">
        <w:t xml:space="preserve">a safra de 2017/18. </w:t>
      </w:r>
      <w:r w:rsidR="00D670F1">
        <w:t>A Figura</w:t>
      </w:r>
      <w:r w:rsidR="002B1CA0" w:rsidRPr="009C19A1">
        <w:t xml:space="preserve"> 1 apresenta a comparação entre as</w:t>
      </w:r>
      <w:r w:rsidR="00510FC8" w:rsidRPr="009C19A1">
        <w:t xml:space="preserve"> estimativas das</w:t>
      </w:r>
      <w:r w:rsidR="002B1CA0" w:rsidRPr="009C19A1">
        <w:t xml:space="preserve"> safras 2017/18 e 2018/19 dos principais produtores de algodão.</w:t>
      </w:r>
    </w:p>
    <w:p w14:paraId="7D7B8491" w14:textId="77777777" w:rsidR="00A315AA" w:rsidRPr="009C19A1" w:rsidRDefault="00A315AA" w:rsidP="00773AD3">
      <w:pPr>
        <w:spacing w:line="360" w:lineRule="auto"/>
        <w:ind w:firstLine="709"/>
        <w:jc w:val="both"/>
      </w:pPr>
    </w:p>
    <w:p w14:paraId="2BDF82B7" w14:textId="77777777" w:rsidR="00B73EDF" w:rsidRDefault="00B73EDF" w:rsidP="002A63B7"/>
    <w:p w14:paraId="6300A4B7" w14:textId="6FF5EA36" w:rsidR="00B73EDF" w:rsidRDefault="00B73EDF" w:rsidP="00B73EDF">
      <w:pPr>
        <w:jc w:val="center"/>
      </w:pPr>
      <w:r w:rsidRPr="009C19A1">
        <w:rPr>
          <w:noProof/>
        </w:rPr>
        <w:drawing>
          <wp:inline distT="0" distB="0" distL="0" distR="0" wp14:anchorId="48270570" wp14:editId="1C088237">
            <wp:extent cx="3924300" cy="2029991"/>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9884"/>
                    <a:stretch/>
                  </pic:blipFill>
                  <pic:spPr bwMode="auto">
                    <a:xfrm>
                      <a:off x="0" y="0"/>
                      <a:ext cx="3950242" cy="2043411"/>
                    </a:xfrm>
                    <a:prstGeom prst="rect">
                      <a:avLst/>
                    </a:prstGeom>
                    <a:ln>
                      <a:noFill/>
                    </a:ln>
                    <a:extLst>
                      <a:ext uri="{53640926-AAD7-44D8-BBD7-CCE9431645EC}">
                        <a14:shadowObscured xmlns:a14="http://schemas.microsoft.com/office/drawing/2010/main"/>
                      </a:ext>
                    </a:extLst>
                  </pic:spPr>
                </pic:pic>
              </a:graphicData>
            </a:graphic>
          </wp:inline>
        </w:drawing>
      </w:r>
    </w:p>
    <w:p w14:paraId="052BDC86" w14:textId="77777777" w:rsidR="00B73EDF" w:rsidRDefault="00B73EDF" w:rsidP="002A63B7"/>
    <w:p w14:paraId="74D02B7A" w14:textId="61C91AB4" w:rsidR="002B1CA0" w:rsidRPr="009C19A1" w:rsidRDefault="00B73EDF" w:rsidP="00B73EDF">
      <w:pPr>
        <w:jc w:val="both"/>
      </w:pPr>
      <w:r w:rsidRPr="00B73EDF">
        <w:rPr>
          <w:b/>
          <w:bCs/>
        </w:rPr>
        <w:t>Figura 1.</w:t>
      </w:r>
      <w:r>
        <w:t xml:space="preserve"> </w:t>
      </w:r>
      <w:r w:rsidRPr="009C19A1">
        <w:t xml:space="preserve">Comparação entre a produção mundial de algodão entre 2017/19 e 2018/19 em </w:t>
      </w:r>
      <w:r w:rsidR="002B1CA0" w:rsidRPr="009C19A1">
        <w:t>milhões de fardos</w:t>
      </w:r>
      <w:r>
        <w:t>.</w:t>
      </w:r>
    </w:p>
    <w:p w14:paraId="6611F07E" w14:textId="2A5EEB68" w:rsidR="002B1CA0" w:rsidRPr="00B73EDF" w:rsidRDefault="002B1CA0" w:rsidP="002A63B7">
      <w:pPr>
        <w:rPr>
          <w:sz w:val="20"/>
          <w:szCs w:val="20"/>
        </w:rPr>
      </w:pPr>
      <w:r w:rsidRPr="00982384">
        <w:rPr>
          <w:sz w:val="20"/>
          <w:szCs w:val="20"/>
        </w:rPr>
        <w:t xml:space="preserve">Fonte: </w:t>
      </w:r>
      <w:r w:rsidR="004558CF" w:rsidRPr="00982384">
        <w:rPr>
          <w:sz w:val="20"/>
          <w:szCs w:val="20"/>
        </w:rPr>
        <w:t xml:space="preserve">Adaptado de </w:t>
      </w:r>
      <w:proofErr w:type="spellStart"/>
      <w:r w:rsidRPr="00982384">
        <w:rPr>
          <w:sz w:val="20"/>
          <w:szCs w:val="20"/>
        </w:rPr>
        <w:t>Dohlman</w:t>
      </w:r>
      <w:proofErr w:type="spellEnd"/>
      <w:r w:rsidRPr="00982384">
        <w:rPr>
          <w:sz w:val="20"/>
          <w:szCs w:val="20"/>
        </w:rPr>
        <w:t xml:space="preserve"> et al</w:t>
      </w:r>
      <w:r w:rsidR="00BA7CCD" w:rsidRPr="00982384">
        <w:rPr>
          <w:sz w:val="20"/>
          <w:szCs w:val="20"/>
        </w:rPr>
        <w:t>.</w:t>
      </w:r>
      <w:r w:rsidRPr="00982384">
        <w:rPr>
          <w:sz w:val="20"/>
          <w:szCs w:val="20"/>
        </w:rPr>
        <w:t xml:space="preserve"> (2019)</w:t>
      </w:r>
      <w:r w:rsidR="00B73EDF" w:rsidRPr="00982384">
        <w:rPr>
          <w:sz w:val="20"/>
          <w:szCs w:val="20"/>
        </w:rPr>
        <w:t>.</w:t>
      </w:r>
    </w:p>
    <w:p w14:paraId="1A3F1821" w14:textId="77777777" w:rsidR="00773AD3" w:rsidRDefault="00773AD3" w:rsidP="002A63B7"/>
    <w:p w14:paraId="4F33125E" w14:textId="77777777" w:rsidR="00A315AA" w:rsidRDefault="00A315AA" w:rsidP="00773AD3">
      <w:pPr>
        <w:spacing w:line="360" w:lineRule="auto"/>
        <w:ind w:firstLine="709"/>
        <w:jc w:val="both"/>
      </w:pPr>
    </w:p>
    <w:p w14:paraId="1878C1F6" w14:textId="4890E66E" w:rsidR="004700F9" w:rsidRDefault="004700F9" w:rsidP="00773AD3">
      <w:pPr>
        <w:spacing w:line="360" w:lineRule="auto"/>
        <w:ind w:firstLine="709"/>
        <w:jc w:val="both"/>
      </w:pPr>
      <w:r w:rsidRPr="009C19A1">
        <w:t>Pelo quarto ano consecutivo é esperado um crescimento nas exportações de algodão; p</w:t>
      </w:r>
      <w:r w:rsidR="00510FC8" w:rsidRPr="009C19A1">
        <w:t>ara a safra 2019/20</w:t>
      </w:r>
      <w:r w:rsidRPr="009C19A1">
        <w:t xml:space="preserve"> o crescimento esperado é de 7,9% nas exportações mundiais</w:t>
      </w:r>
      <w:r w:rsidR="00510FC8" w:rsidRPr="009C19A1">
        <w:t xml:space="preserve"> segundo dados do </w:t>
      </w:r>
      <w:r w:rsidR="00B525FF" w:rsidRPr="009C19A1">
        <w:rPr>
          <w:i/>
          <w:iCs/>
        </w:rPr>
        <w:t xml:space="preserve">United </w:t>
      </w:r>
      <w:proofErr w:type="spellStart"/>
      <w:r w:rsidR="00B525FF" w:rsidRPr="009C19A1">
        <w:rPr>
          <w:i/>
          <w:iCs/>
        </w:rPr>
        <w:t>States</w:t>
      </w:r>
      <w:proofErr w:type="spellEnd"/>
      <w:r w:rsidR="00B525FF" w:rsidRPr="009C19A1">
        <w:rPr>
          <w:i/>
          <w:iCs/>
        </w:rPr>
        <w:t xml:space="preserve"> </w:t>
      </w:r>
      <w:proofErr w:type="spellStart"/>
      <w:r w:rsidR="00B525FF" w:rsidRPr="009C19A1">
        <w:rPr>
          <w:i/>
          <w:iCs/>
        </w:rPr>
        <w:t>Department</w:t>
      </w:r>
      <w:proofErr w:type="spellEnd"/>
      <w:r w:rsidR="00B525FF" w:rsidRPr="009C19A1">
        <w:rPr>
          <w:i/>
          <w:iCs/>
        </w:rPr>
        <w:t xml:space="preserve"> </w:t>
      </w:r>
      <w:proofErr w:type="spellStart"/>
      <w:r w:rsidR="00B525FF" w:rsidRPr="009C19A1">
        <w:rPr>
          <w:i/>
          <w:iCs/>
        </w:rPr>
        <w:t>of</w:t>
      </w:r>
      <w:proofErr w:type="spellEnd"/>
      <w:r w:rsidR="00B525FF" w:rsidRPr="009C19A1">
        <w:rPr>
          <w:i/>
          <w:iCs/>
        </w:rPr>
        <w:t xml:space="preserve"> </w:t>
      </w:r>
      <w:proofErr w:type="spellStart"/>
      <w:r w:rsidR="00B525FF" w:rsidRPr="009C19A1">
        <w:rPr>
          <w:i/>
          <w:iCs/>
        </w:rPr>
        <w:t>Agriculture</w:t>
      </w:r>
      <w:proofErr w:type="spellEnd"/>
      <w:r w:rsidR="00B525FF" w:rsidRPr="009C19A1">
        <w:t xml:space="preserve"> </w:t>
      </w:r>
      <w:r w:rsidR="00B73EDF">
        <w:t xml:space="preserve">(USDA) </w:t>
      </w:r>
      <w:r w:rsidR="00B525FF" w:rsidRPr="009C19A1">
        <w:t>(2019)</w:t>
      </w:r>
      <w:r w:rsidRPr="009C19A1">
        <w:t xml:space="preserve">. Tanto o Brasil quanto os Estados Unidos são os principais exportadores esperados para esta safra. </w:t>
      </w:r>
      <w:r w:rsidR="00D670F1">
        <w:t>A Figura</w:t>
      </w:r>
      <w:r w:rsidRPr="009C19A1">
        <w:t xml:space="preserve"> 2 mostra o total de fardos exportados</w:t>
      </w:r>
      <w:r w:rsidR="0059490C" w:rsidRPr="009C19A1">
        <w:t xml:space="preserve"> nos 4 últimos anos</w:t>
      </w:r>
      <w:r w:rsidR="009F47A9" w:rsidRPr="009C19A1">
        <w:t>,</w:t>
      </w:r>
      <w:r w:rsidR="0059490C" w:rsidRPr="009C19A1">
        <w:t xml:space="preserve"> a expectativa da safra </w:t>
      </w:r>
      <w:r w:rsidR="00E63B8C" w:rsidRPr="009C19A1">
        <w:t>2019/20</w:t>
      </w:r>
      <w:r w:rsidRPr="009C19A1">
        <w:t xml:space="preserve"> </w:t>
      </w:r>
      <w:r w:rsidR="00460467" w:rsidRPr="009C19A1">
        <w:t>e o percentual de crescimento quando comparado com a safra 2018/19.</w:t>
      </w:r>
    </w:p>
    <w:p w14:paraId="377E5F3D" w14:textId="7035EF5D" w:rsidR="004700F9" w:rsidRPr="009C19A1" w:rsidRDefault="004700F9" w:rsidP="00B73EDF">
      <w:pPr>
        <w:jc w:val="center"/>
      </w:pPr>
      <w:r w:rsidRPr="009C19A1">
        <w:rPr>
          <w:noProof/>
        </w:rPr>
        <w:lastRenderedPageBreak/>
        <w:drawing>
          <wp:inline distT="0" distB="0" distL="0" distR="0" wp14:anchorId="16437265" wp14:editId="086D3A43">
            <wp:extent cx="4251553" cy="27717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1930"/>
                    <a:stretch/>
                  </pic:blipFill>
                  <pic:spPr bwMode="auto">
                    <a:xfrm>
                      <a:off x="0" y="0"/>
                      <a:ext cx="4265935" cy="2781151"/>
                    </a:xfrm>
                    <a:prstGeom prst="rect">
                      <a:avLst/>
                    </a:prstGeom>
                    <a:ln>
                      <a:noFill/>
                    </a:ln>
                    <a:extLst>
                      <a:ext uri="{53640926-AAD7-44D8-BBD7-CCE9431645EC}">
                        <a14:shadowObscured xmlns:a14="http://schemas.microsoft.com/office/drawing/2010/main"/>
                      </a:ext>
                    </a:extLst>
                  </pic:spPr>
                </pic:pic>
              </a:graphicData>
            </a:graphic>
          </wp:inline>
        </w:drawing>
      </w:r>
    </w:p>
    <w:p w14:paraId="0E89F0C7" w14:textId="5CE6AF53" w:rsidR="00B73EDF" w:rsidRPr="009C19A1" w:rsidRDefault="00B73EDF" w:rsidP="00B73EDF">
      <w:r w:rsidRPr="00B73EDF">
        <w:rPr>
          <w:b/>
          <w:bCs/>
        </w:rPr>
        <w:t>Figura 2.</w:t>
      </w:r>
      <w:r w:rsidRPr="009C19A1">
        <w:t xml:space="preserve"> Total das exportações dos últimos 4 anos e previsão para a safra 2019/20 em milhões de fardos</w:t>
      </w:r>
      <w:r>
        <w:t>.</w:t>
      </w:r>
    </w:p>
    <w:p w14:paraId="781A25E7" w14:textId="6330CA2D" w:rsidR="00681EF6" w:rsidRPr="00B73EDF" w:rsidRDefault="00681EF6" w:rsidP="002A63B7">
      <w:pPr>
        <w:rPr>
          <w:sz w:val="20"/>
          <w:szCs w:val="20"/>
        </w:rPr>
      </w:pPr>
      <w:r w:rsidRPr="00B73EDF">
        <w:rPr>
          <w:sz w:val="20"/>
          <w:szCs w:val="20"/>
        </w:rPr>
        <w:t xml:space="preserve">Fonte: </w:t>
      </w:r>
      <w:r w:rsidR="004558CF" w:rsidRPr="00B73EDF">
        <w:rPr>
          <w:sz w:val="20"/>
          <w:szCs w:val="20"/>
        </w:rPr>
        <w:t xml:space="preserve">Adaptado de </w:t>
      </w:r>
      <w:r w:rsidR="00B525FF" w:rsidRPr="00B73EDF">
        <w:rPr>
          <w:sz w:val="20"/>
          <w:szCs w:val="20"/>
        </w:rPr>
        <w:t>USDA</w:t>
      </w:r>
      <w:r w:rsidRPr="00B73EDF">
        <w:rPr>
          <w:sz w:val="20"/>
          <w:szCs w:val="20"/>
        </w:rPr>
        <w:t xml:space="preserve"> (2019)</w:t>
      </w:r>
      <w:r w:rsidR="00B73EDF">
        <w:rPr>
          <w:sz w:val="20"/>
          <w:szCs w:val="20"/>
        </w:rPr>
        <w:t>.</w:t>
      </w:r>
    </w:p>
    <w:p w14:paraId="34BD4430" w14:textId="73D86335" w:rsidR="00DD0E78" w:rsidRDefault="00DD0E78" w:rsidP="002A63B7"/>
    <w:p w14:paraId="4F62DDAA" w14:textId="77777777" w:rsidR="00B73EDF" w:rsidRPr="009C19A1" w:rsidRDefault="00B73EDF" w:rsidP="002A63B7"/>
    <w:p w14:paraId="5BEDC2F2" w14:textId="4352542E" w:rsidR="00CC3956" w:rsidRPr="007056EC" w:rsidRDefault="009D5ED7" w:rsidP="002A63B7">
      <w:pPr>
        <w:spacing w:before="240" w:after="240"/>
        <w:rPr>
          <w:b/>
          <w:bCs/>
        </w:rPr>
      </w:pPr>
      <w:r w:rsidRPr="007056EC">
        <w:rPr>
          <w:b/>
          <w:bCs/>
        </w:rPr>
        <w:t xml:space="preserve">2.2 </w:t>
      </w:r>
      <w:r w:rsidR="00563B3A" w:rsidRPr="007056EC">
        <w:rPr>
          <w:b/>
          <w:bCs/>
        </w:rPr>
        <w:t>Contencioso de número DS267 na OMC</w:t>
      </w:r>
    </w:p>
    <w:p w14:paraId="4B5CB221" w14:textId="2090D5F6" w:rsidR="00563B3A" w:rsidRPr="009C19A1" w:rsidRDefault="00563B3A" w:rsidP="00773AD3">
      <w:pPr>
        <w:spacing w:line="360" w:lineRule="auto"/>
        <w:ind w:firstLine="709"/>
        <w:jc w:val="both"/>
      </w:pPr>
      <w:r w:rsidRPr="009C19A1">
        <w:t>Em 2002 o Brasil deu entrada a um processo na OMC contra o governo do</w:t>
      </w:r>
      <w:r w:rsidR="00244ECF" w:rsidRPr="009C19A1">
        <w:t>s</w:t>
      </w:r>
      <w:r w:rsidRPr="009C19A1">
        <w:t xml:space="preserve"> Estados Unidos, tendo como motivo</w:t>
      </w:r>
      <w:r w:rsidR="00244ECF" w:rsidRPr="009C19A1">
        <w:t xml:space="preserve"> principal</w:t>
      </w:r>
      <w:r w:rsidRPr="009C19A1">
        <w:t xml:space="preserve"> a </w:t>
      </w:r>
      <w:r w:rsidR="00244ECF" w:rsidRPr="009C19A1">
        <w:t xml:space="preserve">agressiva </w:t>
      </w:r>
      <w:r w:rsidRPr="009C19A1">
        <w:t xml:space="preserve">política de subsídios </w:t>
      </w:r>
      <w:r w:rsidR="00244ECF" w:rsidRPr="009C19A1">
        <w:t>agrícolas seguida</w:t>
      </w:r>
      <w:r w:rsidRPr="009C19A1">
        <w:t xml:space="preserve"> pelo governo norte americano. Esta política prejudic</w:t>
      </w:r>
      <w:r w:rsidR="00244ECF" w:rsidRPr="009C19A1">
        <w:t>ou</w:t>
      </w:r>
      <w:r w:rsidRPr="009C19A1">
        <w:t xml:space="preserve"> a rentabilidade do algodão exportado pelo Brasil</w:t>
      </w:r>
      <w:r w:rsidR="00244ECF" w:rsidRPr="009C19A1">
        <w:t xml:space="preserve"> e demais países produtores</w:t>
      </w:r>
      <w:r w:rsidRPr="009C19A1">
        <w:t xml:space="preserve"> e </w:t>
      </w:r>
      <w:r w:rsidR="00244ECF" w:rsidRPr="009C19A1">
        <w:t xml:space="preserve">reduziu expressivamente </w:t>
      </w:r>
      <w:r w:rsidRPr="009C19A1">
        <w:t xml:space="preserve">a competitividade </w:t>
      </w:r>
      <w:r w:rsidR="00244ECF" w:rsidRPr="009C19A1">
        <w:t xml:space="preserve">da </w:t>
      </w:r>
      <w:r w:rsidR="00D2462A" w:rsidRPr="009C19A1">
        <w:rPr>
          <w:i/>
          <w:iCs/>
        </w:rPr>
        <w:t>commodity</w:t>
      </w:r>
      <w:r w:rsidR="00D2462A" w:rsidRPr="009C19A1">
        <w:t xml:space="preserve"> </w:t>
      </w:r>
      <w:r w:rsidRPr="009C19A1">
        <w:t>no mercado internacional, favorecendo produtores norte-americanos.</w:t>
      </w:r>
    </w:p>
    <w:p w14:paraId="3E2A6B43" w14:textId="60CDC15A" w:rsidR="00563B3A" w:rsidRPr="009C19A1" w:rsidRDefault="00563B3A" w:rsidP="00773AD3">
      <w:pPr>
        <w:spacing w:line="360" w:lineRule="auto"/>
        <w:ind w:firstLine="709"/>
        <w:jc w:val="both"/>
      </w:pPr>
      <w:r w:rsidRPr="009C19A1">
        <w:t xml:space="preserve">As medidas protecionistas realizadas pelo governo norte americano tinham influências diretas no comércio dessa </w:t>
      </w:r>
      <w:r w:rsidRPr="009C19A1">
        <w:rPr>
          <w:i/>
          <w:iCs/>
        </w:rPr>
        <w:t>commodity</w:t>
      </w:r>
      <w:r w:rsidRPr="009C19A1">
        <w:t xml:space="preserve">, provocando distorções no preço do mercado mundial. Países como Austrália e Argentina, além do grupo Cotton-4 (Benin, Burkina Faso, Chade e Mali) eram igualmente prejudicados (DAL PAI </w:t>
      </w:r>
      <w:r w:rsidRPr="00B73EDF">
        <w:t>et al.,</w:t>
      </w:r>
      <w:r w:rsidRPr="009C19A1">
        <w:t xml:space="preserve"> 2014)</w:t>
      </w:r>
      <w:r w:rsidR="00B73EDF">
        <w:t>.</w:t>
      </w:r>
    </w:p>
    <w:p w14:paraId="7C61C9EB" w14:textId="507F7A94" w:rsidR="00563B3A" w:rsidRPr="009C19A1" w:rsidRDefault="00A26313" w:rsidP="00773AD3">
      <w:pPr>
        <w:spacing w:line="360" w:lineRule="auto"/>
        <w:ind w:firstLine="709"/>
        <w:jc w:val="both"/>
      </w:pPr>
      <w:r w:rsidRPr="009C19A1">
        <w:t>Ainda s</w:t>
      </w:r>
      <w:r w:rsidR="00563B3A" w:rsidRPr="009C19A1">
        <w:t xml:space="preserve">egundo Dal Pai </w:t>
      </w:r>
      <w:r w:rsidR="00563B3A" w:rsidRPr="00B73EDF">
        <w:t>et al</w:t>
      </w:r>
      <w:r w:rsidR="00BA7CCD" w:rsidRPr="00B73EDF">
        <w:t>.</w:t>
      </w:r>
      <w:r w:rsidR="00563B3A" w:rsidRPr="009C19A1">
        <w:t xml:space="preserve"> (2014)</w:t>
      </w:r>
      <w:r w:rsidR="00B73EDF">
        <w:t>,</w:t>
      </w:r>
      <w:r w:rsidR="00563B3A" w:rsidRPr="009C19A1">
        <w:t xml:space="preserve"> o Brasil é um país com grande atividade política </w:t>
      </w:r>
      <w:r w:rsidR="00244ECF" w:rsidRPr="009C19A1">
        <w:t xml:space="preserve">e influencia </w:t>
      </w:r>
      <w:r w:rsidR="00563B3A" w:rsidRPr="009C19A1">
        <w:t>dentro da OMC, portanto, esses países contaram com a expertise brasileira para reverter a situação e dar fim a política de incentivos fiscais e subsídios norte-americanos tornando o mercado mundial de algodão mais competitivo e igualitário.</w:t>
      </w:r>
    </w:p>
    <w:p w14:paraId="4E8C41BE" w14:textId="00444A2B" w:rsidR="00563B3A" w:rsidRPr="009C19A1" w:rsidRDefault="00563B3A" w:rsidP="00773AD3">
      <w:pPr>
        <w:spacing w:line="360" w:lineRule="auto"/>
        <w:ind w:firstLine="709"/>
        <w:jc w:val="both"/>
      </w:pPr>
      <w:r w:rsidRPr="009C19A1">
        <w:t xml:space="preserve">O processo passou por diversas rodadas de julgamento na OMC. Em 2005 o Brasil requereu uma retaliação pela prática estadunidense no valor de US$ 3 bilhões. Em 2008 houve uma arbitração da OMC para conferência deste valor, considerado alto, ficando então estabelecido uma indenização no valor de US$ 829,3 milhões. Este valor acabou não sendo </w:t>
      </w:r>
      <w:r w:rsidRPr="009C19A1">
        <w:lastRenderedPageBreak/>
        <w:t>pago na sua totalidade pelos EUA nos termos acordados, e assim se sucedeu a mais uma série de rodada de negociações (SCHNEPF, 2014)</w:t>
      </w:r>
      <w:r w:rsidR="00B73EDF">
        <w:t>.</w:t>
      </w:r>
    </w:p>
    <w:p w14:paraId="75C2FC26" w14:textId="6AF271D8" w:rsidR="00563B3A" w:rsidRPr="009C19A1" w:rsidRDefault="00563B3A" w:rsidP="00773AD3">
      <w:pPr>
        <w:spacing w:line="360" w:lineRule="auto"/>
        <w:ind w:firstLine="709"/>
        <w:jc w:val="both"/>
      </w:pPr>
      <w:r w:rsidRPr="009C19A1">
        <w:t>Em outubro de 2014 o contencioso se encerrou, marcando uma vitória histórica para o Brasil. Foi consolidada uma indenização aos produtores de algodão brasileiro no valor de US$ 300 milhões, além da alteração da lei de apoio à agricultura norte americana (</w:t>
      </w:r>
      <w:proofErr w:type="spellStart"/>
      <w:r w:rsidRPr="009C19A1">
        <w:t>Farm</w:t>
      </w:r>
      <w:proofErr w:type="spellEnd"/>
      <w:r w:rsidRPr="009C19A1">
        <w:t xml:space="preserve"> Bill) com menores intervenções </w:t>
      </w:r>
      <w:r w:rsidR="00244ECF" w:rsidRPr="009C19A1">
        <w:t xml:space="preserve">estatais </w:t>
      </w:r>
      <w:r w:rsidRPr="009C19A1">
        <w:t>e subsídios para os produtores de algodão norte-americanos (</w:t>
      </w:r>
      <w:r w:rsidR="00B73EDF" w:rsidRPr="009C19A1">
        <w:t>Barral</w:t>
      </w:r>
      <w:r w:rsidR="00B73EDF">
        <w:t xml:space="preserve"> &amp;</w:t>
      </w:r>
      <w:r w:rsidR="00B73EDF" w:rsidRPr="009C19A1">
        <w:t xml:space="preserve"> Amaral</w:t>
      </w:r>
      <w:r w:rsidRPr="009C19A1">
        <w:t>, 2015)</w:t>
      </w:r>
      <w:r w:rsidR="00B73EDF">
        <w:t>.</w:t>
      </w:r>
    </w:p>
    <w:p w14:paraId="54502DBF" w14:textId="14EF07F0" w:rsidR="00563B3A" w:rsidRPr="009C19A1" w:rsidRDefault="00244ECF" w:rsidP="00773AD3">
      <w:pPr>
        <w:spacing w:line="360" w:lineRule="auto"/>
        <w:ind w:firstLine="709"/>
        <w:jc w:val="both"/>
      </w:pPr>
      <w:r w:rsidRPr="009C19A1">
        <w:t xml:space="preserve">É esperado </w:t>
      </w:r>
      <w:r w:rsidR="00B5049B" w:rsidRPr="009C19A1">
        <w:t xml:space="preserve">com a </w:t>
      </w:r>
      <w:proofErr w:type="spellStart"/>
      <w:r w:rsidR="00B5049B" w:rsidRPr="009C19A1">
        <w:t>Farm</w:t>
      </w:r>
      <w:proofErr w:type="spellEnd"/>
      <w:r w:rsidR="00B5049B" w:rsidRPr="009C19A1">
        <w:t xml:space="preserve"> Bill</w:t>
      </w:r>
      <w:r w:rsidRPr="009C19A1">
        <w:t xml:space="preserve"> </w:t>
      </w:r>
      <w:r w:rsidR="00F770E9" w:rsidRPr="009C19A1">
        <w:t xml:space="preserve">norte-americana </w:t>
      </w:r>
      <w:r w:rsidRPr="009C19A1">
        <w:t xml:space="preserve">que o mercado </w:t>
      </w:r>
      <w:r w:rsidR="00F770E9" w:rsidRPr="009C19A1">
        <w:t>produtor e exportador de algodão em pluma s</w:t>
      </w:r>
      <w:r w:rsidRPr="009C19A1">
        <w:t xml:space="preserve">e </w:t>
      </w:r>
      <w:r w:rsidR="00F770E9" w:rsidRPr="009C19A1">
        <w:t>regularize no longo prazo, fazendo com que as distorções antes provocadas no mercado internacional sejam sanadas e que outros países produtores, além do Brasil, se beneficiem dessas medidas.</w:t>
      </w:r>
    </w:p>
    <w:p w14:paraId="22F7E09D" w14:textId="77777777" w:rsidR="00DD0E78" w:rsidRPr="009C19A1" w:rsidRDefault="00DD0E78" w:rsidP="002A63B7"/>
    <w:p w14:paraId="1A70B3EA" w14:textId="2016336C" w:rsidR="00411003" w:rsidRPr="007056EC" w:rsidRDefault="00563B3A" w:rsidP="002A63B7">
      <w:pPr>
        <w:spacing w:before="240" w:after="240"/>
        <w:rPr>
          <w:b/>
          <w:bCs/>
        </w:rPr>
      </w:pPr>
      <w:r w:rsidRPr="007056EC">
        <w:rPr>
          <w:b/>
          <w:bCs/>
        </w:rPr>
        <w:t xml:space="preserve">2.3 Conceituação de </w:t>
      </w:r>
      <w:r w:rsidR="007056EC" w:rsidRPr="007056EC">
        <w:rPr>
          <w:b/>
          <w:bCs/>
        </w:rPr>
        <w:t>c</w:t>
      </w:r>
      <w:r w:rsidRPr="007056EC">
        <w:rPr>
          <w:b/>
          <w:bCs/>
        </w:rPr>
        <w:t>ompetitividade</w:t>
      </w:r>
    </w:p>
    <w:p w14:paraId="1E13C2D5" w14:textId="7206696C" w:rsidR="00E5027F" w:rsidRPr="009C19A1" w:rsidRDefault="00E5027F" w:rsidP="00773AD3">
      <w:pPr>
        <w:spacing w:line="360" w:lineRule="auto"/>
        <w:ind w:firstLine="709"/>
        <w:jc w:val="both"/>
      </w:pPr>
      <w:r w:rsidRPr="009C19A1">
        <w:t xml:space="preserve">De acordo com </w:t>
      </w:r>
      <w:proofErr w:type="spellStart"/>
      <w:r w:rsidR="00241D3F" w:rsidRPr="009C19A1">
        <w:t>Schwab</w:t>
      </w:r>
      <w:proofErr w:type="spellEnd"/>
      <w:r w:rsidRPr="009C19A1">
        <w:t xml:space="preserve"> (201</w:t>
      </w:r>
      <w:r w:rsidR="007E72BF" w:rsidRPr="009C19A1">
        <w:t>7</w:t>
      </w:r>
      <w:r w:rsidRPr="009C19A1">
        <w:t>)</w:t>
      </w:r>
      <w:r w:rsidR="00B73EDF">
        <w:t>,</w:t>
      </w:r>
      <w:r w:rsidRPr="009C19A1">
        <w:t xml:space="preserve"> competitividade é o conjunto de instituições, políticas e fatores que determinam o nível de produtividade de uma economia que, por sua vez, definem o nível de prosperidade de um país. </w:t>
      </w:r>
      <w:r w:rsidR="001A1BA8" w:rsidRPr="009C19A1">
        <w:t xml:space="preserve">Para o crescimento da competitividade de um país é </w:t>
      </w:r>
      <w:r w:rsidRPr="009C19A1">
        <w:t>necessário um esforço coordenado de ações do Estado, da comunidade empresarial e da sociedade civil.</w:t>
      </w:r>
    </w:p>
    <w:p w14:paraId="4864796C" w14:textId="6E8799B6" w:rsidR="00E5027F" w:rsidRPr="009C19A1" w:rsidRDefault="00E5027F" w:rsidP="00773AD3">
      <w:pPr>
        <w:spacing w:line="360" w:lineRule="auto"/>
        <w:ind w:firstLine="709"/>
        <w:jc w:val="both"/>
      </w:pPr>
      <w:r w:rsidRPr="009C19A1">
        <w:t>Para Carvalho e Guedes (2018)</w:t>
      </w:r>
      <w:r w:rsidR="00B73EDF">
        <w:t>,</w:t>
      </w:r>
      <w:r w:rsidRPr="009C19A1">
        <w:t xml:space="preserve"> ser competitivo é ter êxito no ambiente econômico. Seja você uma empresa, um setor industrial ou um país, ter competitividade é ser capaz de atuar no processo competitivo o qual você se encontra </w:t>
      </w:r>
      <w:r w:rsidR="003C45F2" w:rsidRPr="009C19A1">
        <w:t xml:space="preserve">durante </w:t>
      </w:r>
      <w:r w:rsidRPr="009C19A1">
        <w:t xml:space="preserve">determinado período. A análise pode ser realizada sob duas dimensões temporais, é possível avaliar a competitividade de maneira </w:t>
      </w:r>
      <w:proofErr w:type="spellStart"/>
      <w:r w:rsidRPr="009C19A1">
        <w:rPr>
          <w:i/>
          <w:iCs/>
        </w:rPr>
        <w:t>ex-ante</w:t>
      </w:r>
      <w:proofErr w:type="spellEnd"/>
      <w:r w:rsidRPr="009C19A1">
        <w:t xml:space="preserve"> (relativo a um intervalo de tempo futuro) ou </w:t>
      </w:r>
      <w:proofErr w:type="spellStart"/>
      <w:r w:rsidRPr="009C19A1">
        <w:rPr>
          <w:i/>
          <w:iCs/>
        </w:rPr>
        <w:t>ex-post</w:t>
      </w:r>
      <w:proofErr w:type="spellEnd"/>
      <w:r w:rsidRPr="009C19A1">
        <w:t xml:space="preserve"> (referente a um intervalo de tempo passado).</w:t>
      </w:r>
    </w:p>
    <w:p w14:paraId="657494DF" w14:textId="0FF6AD68" w:rsidR="00E5027F" w:rsidRPr="009C19A1" w:rsidRDefault="00E5027F" w:rsidP="00773AD3">
      <w:pPr>
        <w:spacing w:line="360" w:lineRule="auto"/>
        <w:ind w:firstLine="709"/>
        <w:jc w:val="both"/>
      </w:pPr>
      <w:r w:rsidRPr="009C19A1">
        <w:t>No mercado internacional a competitividade é tratada como a capacidade de exportar bens e serviços no tempo, local, e condições desejadas pelos compradores, a preços iguais ou melhores que a concorrência e de maneira que estes supram os custos de oportunidade dos recursos empregados (</w:t>
      </w:r>
      <w:r w:rsidR="00B73EDF" w:rsidRPr="009C19A1">
        <w:t>Giordano</w:t>
      </w:r>
      <w:r w:rsidRPr="009C19A1">
        <w:t>, 2000)</w:t>
      </w:r>
      <w:r w:rsidR="00B73EDF">
        <w:t>.</w:t>
      </w:r>
    </w:p>
    <w:p w14:paraId="72900ADD" w14:textId="05671D77" w:rsidR="008C7818" w:rsidRPr="009C19A1" w:rsidRDefault="008C7818" w:rsidP="00773AD3">
      <w:pPr>
        <w:spacing w:line="360" w:lineRule="auto"/>
        <w:ind w:firstLine="709"/>
        <w:jc w:val="both"/>
      </w:pPr>
      <w:r w:rsidRPr="009C19A1">
        <w:t xml:space="preserve">Ferraz, </w:t>
      </w:r>
      <w:proofErr w:type="spellStart"/>
      <w:r w:rsidRPr="009C19A1">
        <w:t>Kupfer</w:t>
      </w:r>
      <w:proofErr w:type="spellEnd"/>
      <w:r w:rsidRPr="009C19A1">
        <w:t xml:space="preserve"> e </w:t>
      </w:r>
      <w:proofErr w:type="spellStart"/>
      <w:r w:rsidRPr="009C19A1">
        <w:t>Haguenauer</w:t>
      </w:r>
      <w:proofErr w:type="spellEnd"/>
      <w:r w:rsidRPr="009C19A1">
        <w:t xml:space="preserve"> (1995) afirmam que existem duas formas de se mensurar a competitividade</w:t>
      </w:r>
      <w:r w:rsidR="00A83CDC" w:rsidRPr="009C19A1">
        <w:t>. U</w:t>
      </w:r>
      <w:r w:rsidRPr="009C19A1">
        <w:t xml:space="preserve">ma delas é a competitividade vista pela ótica do </w:t>
      </w:r>
      <w:r w:rsidRPr="009C19A1">
        <w:rPr>
          <w:i/>
          <w:iCs/>
        </w:rPr>
        <w:t xml:space="preserve">Market </w:t>
      </w:r>
      <w:proofErr w:type="spellStart"/>
      <w:r w:rsidRPr="009C19A1">
        <w:rPr>
          <w:i/>
          <w:iCs/>
        </w:rPr>
        <w:t>Share</w:t>
      </w:r>
      <w:proofErr w:type="spellEnd"/>
      <w:r w:rsidRPr="009C19A1">
        <w:t>, que mensura o alcance de uma firma</w:t>
      </w:r>
      <w:r w:rsidR="00A83CDC" w:rsidRPr="009C19A1">
        <w:t xml:space="preserve"> ou instituição</w:t>
      </w:r>
      <w:r w:rsidRPr="009C19A1">
        <w:t xml:space="preserve"> em um determinado mercado </w:t>
      </w:r>
      <w:r w:rsidR="00A83CDC" w:rsidRPr="009C19A1">
        <w:t xml:space="preserve">durante </w:t>
      </w:r>
      <w:r w:rsidRPr="009C19A1">
        <w:t>um</w:t>
      </w:r>
      <w:r w:rsidR="00A83CDC" w:rsidRPr="009C19A1">
        <w:t xml:space="preserve"> determinado</w:t>
      </w:r>
      <w:r w:rsidRPr="009C19A1">
        <w:t xml:space="preserve"> espaço de tempo</w:t>
      </w:r>
      <w:r w:rsidR="00A83CDC" w:rsidRPr="009C19A1">
        <w:t>.</w:t>
      </w:r>
      <w:r w:rsidRPr="009C19A1">
        <w:t xml:space="preserve"> </w:t>
      </w:r>
      <w:r w:rsidR="00A83CDC" w:rsidRPr="009C19A1">
        <w:t xml:space="preserve">A outra ótica </w:t>
      </w:r>
      <w:r w:rsidRPr="009C19A1">
        <w:t>é a análise da eficiência</w:t>
      </w:r>
      <w:r w:rsidR="0081401D" w:rsidRPr="009C19A1">
        <w:t xml:space="preserve"> do conjunto</w:t>
      </w:r>
      <w:r w:rsidRPr="009C19A1">
        <w:t>, que verifica o rendimento d</w:t>
      </w:r>
      <w:r w:rsidR="0081401D" w:rsidRPr="009C19A1">
        <w:t>e uma firma ou instituição</w:t>
      </w:r>
      <w:r w:rsidRPr="009C19A1">
        <w:t xml:space="preserve"> por meio da conversão de insumos em produto.</w:t>
      </w:r>
    </w:p>
    <w:p w14:paraId="6B7A369B" w14:textId="2B6726A3" w:rsidR="00E252FF" w:rsidRPr="009C19A1" w:rsidRDefault="00E252FF" w:rsidP="00773AD3">
      <w:pPr>
        <w:spacing w:line="360" w:lineRule="auto"/>
        <w:ind w:firstLine="709"/>
        <w:jc w:val="both"/>
      </w:pPr>
      <w:r w:rsidRPr="009C19A1">
        <w:lastRenderedPageBreak/>
        <w:t xml:space="preserve">Pinheiro e Horta (1992) acrescentam ainda uma terceira ótica </w:t>
      </w:r>
      <w:r w:rsidR="00E5027F" w:rsidRPr="009C19A1">
        <w:t>para analisar a</w:t>
      </w:r>
      <w:r w:rsidRPr="009C19A1">
        <w:t xml:space="preserve"> competitividade: o conceito macro, que é centrado nas variáveis que dependem de decisões político-econômicas, tais como a taxa de câmbio e os subsídios</w:t>
      </w:r>
      <w:r w:rsidR="00E5027F" w:rsidRPr="009C19A1">
        <w:t xml:space="preserve"> e</w:t>
      </w:r>
      <w:r w:rsidRPr="009C19A1">
        <w:t>/</w:t>
      </w:r>
      <w:r w:rsidR="00E5027F" w:rsidRPr="009C19A1">
        <w:t xml:space="preserve">ou </w:t>
      </w:r>
      <w:r w:rsidRPr="009C19A1">
        <w:t>incentivos à exportação, portanto, este modelo dá maior importância às taxas de câmbio e a relação cambio/salário.</w:t>
      </w:r>
    </w:p>
    <w:p w14:paraId="396BF795" w14:textId="5E437665" w:rsidR="00AA3773" w:rsidRPr="009C19A1" w:rsidRDefault="00AA3773" w:rsidP="00773AD3">
      <w:pPr>
        <w:spacing w:line="360" w:lineRule="auto"/>
        <w:ind w:firstLine="709"/>
        <w:jc w:val="both"/>
      </w:pPr>
      <w:r w:rsidRPr="009C19A1">
        <w:t xml:space="preserve">Diversos estudos avaliam a capacidade brasileira de ser competitivo na exportação de </w:t>
      </w:r>
      <w:r w:rsidRPr="009C19A1">
        <w:rPr>
          <w:i/>
          <w:iCs/>
        </w:rPr>
        <w:t>commodities</w:t>
      </w:r>
      <w:r w:rsidRPr="009C19A1">
        <w:t xml:space="preserve"> agrícolas. Aurélio Neto (2018) avaliou a competitividade brasileira na exportação de carne bovina mostrando que o Brasil figura entre os maiores produtores e exportadores de carne bovina do mundo, tendo alta qualidade e bom preço resulta</w:t>
      </w:r>
      <w:r w:rsidR="001E60DA" w:rsidRPr="009C19A1">
        <w:t>ndo</w:t>
      </w:r>
      <w:r w:rsidRPr="009C19A1">
        <w:t xml:space="preserve"> em um mercado promissor e competitivo.</w:t>
      </w:r>
    </w:p>
    <w:p w14:paraId="168CEA7B" w14:textId="0CA05A64" w:rsidR="007E72BF" w:rsidRPr="009C19A1" w:rsidRDefault="00F56C4A" w:rsidP="00773AD3">
      <w:pPr>
        <w:spacing w:line="360" w:lineRule="auto"/>
        <w:ind w:firstLine="709"/>
        <w:jc w:val="both"/>
      </w:pPr>
      <w:r w:rsidRPr="009C19A1">
        <w:t>A importância do</w:t>
      </w:r>
      <w:r w:rsidR="007E72BF" w:rsidRPr="009C19A1">
        <w:t xml:space="preserve"> complexo-soja foi </w:t>
      </w:r>
      <w:r w:rsidR="00E014B1" w:rsidRPr="009C19A1">
        <w:t>analisada</w:t>
      </w:r>
      <w:r w:rsidR="007E72BF" w:rsidRPr="009C19A1">
        <w:t xml:space="preserve"> por Faccin e </w:t>
      </w:r>
      <w:proofErr w:type="spellStart"/>
      <w:r w:rsidR="007E72BF" w:rsidRPr="009C19A1">
        <w:t>Castillo</w:t>
      </w:r>
      <w:proofErr w:type="spellEnd"/>
      <w:r w:rsidR="007E72BF" w:rsidRPr="009C19A1">
        <w:t xml:space="preserve"> (2019) </w:t>
      </w:r>
      <w:r w:rsidR="00E014B1" w:rsidRPr="009C19A1">
        <w:t xml:space="preserve">que verificou o impacto desta cultura na economia nacional. A alta demanda da </w:t>
      </w:r>
      <w:r w:rsidR="00E014B1" w:rsidRPr="009C19A1">
        <w:rPr>
          <w:i/>
          <w:iCs/>
        </w:rPr>
        <w:t>commodity</w:t>
      </w:r>
      <w:r w:rsidR="00E014B1" w:rsidRPr="009C19A1">
        <w:t xml:space="preserve"> juntamente com o clima e terreno favorável mostrou a capacidade do agricultor brasileiro de </w:t>
      </w:r>
      <w:r w:rsidR="00800D34" w:rsidRPr="009C19A1">
        <w:t>se adaptar rapidamente ao cenário internacional, tornando o Brasil um dos principais exportadores de soja no mundo e com grandes áreas extremamente especializadas nesta cultura. Essa dinâmica mostrou como o agronegócio brasileiro é competitivo neste setor.</w:t>
      </w:r>
    </w:p>
    <w:p w14:paraId="38AE91F3" w14:textId="5E0BC083" w:rsidR="00AA3773" w:rsidRPr="009C19A1" w:rsidRDefault="00A9480A" w:rsidP="00773AD3">
      <w:pPr>
        <w:spacing w:line="360" w:lineRule="auto"/>
        <w:ind w:firstLine="709"/>
        <w:jc w:val="both"/>
      </w:pPr>
      <w:r w:rsidRPr="009C19A1">
        <w:t xml:space="preserve">Uma avaliação da competitividade do milho brasileiro no mercado internacional </w:t>
      </w:r>
      <w:r w:rsidR="00162E84" w:rsidRPr="009C19A1">
        <w:t xml:space="preserve">por meio de indicadores selecionados </w:t>
      </w:r>
      <w:r w:rsidRPr="009C19A1">
        <w:t xml:space="preserve">foi realizada por </w:t>
      </w:r>
      <w:r w:rsidR="001E60DA" w:rsidRPr="009C19A1">
        <w:t xml:space="preserve">Ferreira e </w:t>
      </w:r>
      <w:proofErr w:type="spellStart"/>
      <w:r w:rsidR="001E60DA" w:rsidRPr="009C19A1">
        <w:t>Capitani</w:t>
      </w:r>
      <w:proofErr w:type="spellEnd"/>
      <w:r w:rsidR="001E60DA" w:rsidRPr="009C19A1">
        <w:t xml:space="preserve"> (2017)</w:t>
      </w:r>
      <w:r w:rsidRPr="009C19A1">
        <w:t xml:space="preserve"> e conclu</w:t>
      </w:r>
      <w:r w:rsidR="00AB71C8" w:rsidRPr="009C19A1">
        <w:t>iu</w:t>
      </w:r>
      <w:r w:rsidRPr="009C19A1">
        <w:t xml:space="preserve"> que </w:t>
      </w:r>
      <w:r w:rsidR="00BC46AB" w:rsidRPr="009C19A1">
        <w:t>a cultura d</w:t>
      </w:r>
      <w:r w:rsidRPr="009C19A1">
        <w:t>o</w:t>
      </w:r>
      <w:r w:rsidR="00BC46AB" w:rsidRPr="009C19A1">
        <w:t xml:space="preserve"> </w:t>
      </w:r>
      <w:r w:rsidRPr="009C19A1">
        <w:t xml:space="preserve">milho </w:t>
      </w:r>
      <w:r w:rsidR="00AB71C8" w:rsidRPr="009C19A1">
        <w:t>foi, no período analisado,</w:t>
      </w:r>
      <w:r w:rsidRPr="009C19A1">
        <w:t xml:space="preserve"> um dos mais dinâmicos e competitivos do mercado brasileiro, apresentando taxas de crescimento positivas em todos os indicadores</w:t>
      </w:r>
      <w:r w:rsidR="00AB71C8" w:rsidRPr="009C19A1">
        <w:t xml:space="preserve"> analisados</w:t>
      </w:r>
      <w:r w:rsidRPr="009C19A1">
        <w:t>.</w:t>
      </w:r>
    </w:p>
    <w:p w14:paraId="3042B8FE" w14:textId="2A03AA35" w:rsidR="00193602" w:rsidRPr="009C19A1" w:rsidRDefault="00BC46AB" w:rsidP="00773AD3">
      <w:pPr>
        <w:spacing w:line="360" w:lineRule="auto"/>
        <w:ind w:firstLine="709"/>
        <w:jc w:val="both"/>
      </w:pPr>
      <w:proofErr w:type="spellStart"/>
      <w:r w:rsidRPr="009C19A1">
        <w:t>Franck</w:t>
      </w:r>
      <w:proofErr w:type="spellEnd"/>
      <w:r w:rsidR="00B73EDF">
        <w:t>,</w:t>
      </w:r>
      <w:r w:rsidR="00B73EDF" w:rsidRPr="00B73EDF">
        <w:t xml:space="preserve"> Coronel, </w:t>
      </w:r>
      <w:proofErr w:type="spellStart"/>
      <w:r w:rsidR="00EF025C">
        <w:t>Mygre</w:t>
      </w:r>
      <w:proofErr w:type="spellEnd"/>
      <w:r w:rsidR="00EF025C">
        <w:t xml:space="preserve"> </w:t>
      </w:r>
      <w:r w:rsidR="00B73EDF">
        <w:t xml:space="preserve">Silva e </w:t>
      </w:r>
      <w:r w:rsidR="00EF025C">
        <w:t xml:space="preserve">Rodrigo </w:t>
      </w:r>
      <w:r w:rsidR="00B73EDF">
        <w:t>Silva</w:t>
      </w:r>
      <w:r w:rsidRPr="009C19A1">
        <w:t xml:space="preserve"> (2015) avali</w:t>
      </w:r>
      <w:r w:rsidR="00B73EDF">
        <w:t>aram</w:t>
      </w:r>
      <w:r w:rsidRPr="009C19A1">
        <w:t xml:space="preserve"> a competitividade das exportações de minério de ferro do Brasil para a China, mostrando que o minério de ferro brasileiro é </w:t>
      </w:r>
      <w:r w:rsidR="00551D89" w:rsidRPr="009C19A1">
        <w:t>um produto de grande demanda chinesa e que o mercado é promissor, porém apresenta desafios relacionados ao custo logístico e alta competitividade do produto concorrente australiano.</w:t>
      </w:r>
    </w:p>
    <w:p w14:paraId="671D4415" w14:textId="044D2987" w:rsidR="00563B3A" w:rsidRPr="009C19A1" w:rsidRDefault="00563B3A" w:rsidP="00773AD3">
      <w:pPr>
        <w:spacing w:line="360" w:lineRule="auto"/>
        <w:ind w:firstLine="709"/>
        <w:jc w:val="both"/>
      </w:pPr>
      <w:r w:rsidRPr="009C19A1">
        <w:t xml:space="preserve">Exemplos como os citados enfatizam e mostram a capacidade do Brasil de ser um grande exportador de </w:t>
      </w:r>
      <w:r w:rsidRPr="009C19A1">
        <w:rPr>
          <w:i/>
          <w:iCs/>
        </w:rPr>
        <w:t>commodities</w:t>
      </w:r>
      <w:r w:rsidRPr="009C19A1">
        <w:t xml:space="preserve"> diversas, </w:t>
      </w:r>
      <w:r w:rsidR="00E27BF4" w:rsidRPr="009C19A1">
        <w:t>seja as ligadas ao agronegócio, como soja, milho, algodão, trigo, café, carne bovina, carne de aves;</w:t>
      </w:r>
      <w:r w:rsidRPr="009C19A1">
        <w:t xml:space="preserve"> assim como as</w:t>
      </w:r>
      <w:r w:rsidR="00E27BF4" w:rsidRPr="009C19A1">
        <w:t xml:space="preserve"> </w:t>
      </w:r>
      <w:r w:rsidR="00E27BF4" w:rsidRPr="009C19A1">
        <w:rPr>
          <w:i/>
          <w:iCs/>
        </w:rPr>
        <w:t>commodities</w:t>
      </w:r>
      <w:r w:rsidRPr="009C19A1">
        <w:t xml:space="preserve"> minerais</w:t>
      </w:r>
      <w:r w:rsidR="00E27BF4" w:rsidRPr="009C19A1">
        <w:t xml:space="preserve">, como </w:t>
      </w:r>
      <w:r w:rsidR="00193602" w:rsidRPr="009C19A1">
        <w:t xml:space="preserve">minério de </w:t>
      </w:r>
      <w:r w:rsidRPr="009C19A1">
        <w:t>ferro, níquel, nióbio</w:t>
      </w:r>
      <w:r w:rsidR="00193602" w:rsidRPr="009C19A1">
        <w:t xml:space="preserve"> e </w:t>
      </w:r>
      <w:r w:rsidR="00E27BF4" w:rsidRPr="009C19A1">
        <w:t>fosfato</w:t>
      </w:r>
      <w:r w:rsidRPr="009C19A1">
        <w:t>.</w:t>
      </w:r>
    </w:p>
    <w:p w14:paraId="74A70C34" w14:textId="0AB325FC" w:rsidR="00E27BF4" w:rsidRPr="009C19A1" w:rsidRDefault="00E27BF4" w:rsidP="00773AD3">
      <w:pPr>
        <w:spacing w:line="360" w:lineRule="auto"/>
        <w:ind w:firstLine="709"/>
        <w:jc w:val="both"/>
      </w:pPr>
      <w:r w:rsidRPr="009C19A1">
        <w:t xml:space="preserve">A importância do estudo da competitividade de um determinado setor ou cadeia produtiva se dá pelo conhecimento potencial acerca do mercado, sejam os potenciais concorrentes e como estes atuam no mercado, as barreiras </w:t>
      </w:r>
      <w:r w:rsidR="00304EED" w:rsidRPr="009C19A1">
        <w:t>à</w:t>
      </w:r>
      <w:r w:rsidRPr="009C19A1">
        <w:t xml:space="preserve"> entrada, o tamanho de mercado que é possível ocupar, as projeções futuras do comportamento do setor.</w:t>
      </w:r>
    </w:p>
    <w:p w14:paraId="68C9C646" w14:textId="77777777" w:rsidR="0011366B" w:rsidRPr="009C19A1" w:rsidRDefault="00563B3A" w:rsidP="00773AD3">
      <w:pPr>
        <w:spacing w:line="360" w:lineRule="auto"/>
        <w:ind w:firstLine="709"/>
        <w:jc w:val="both"/>
      </w:pPr>
      <w:r w:rsidRPr="009C19A1">
        <w:lastRenderedPageBreak/>
        <w:t>Para este estudo, considerou-se a interpretação de competitividade mais adequada aquela que diz que um processo produtivo é competitivo quando ele, além de atender as demandas do comprador, ainda é capaz de produzir rentabilidade e manter a participação no mercado, tanto interno quando externo.</w:t>
      </w:r>
    </w:p>
    <w:p w14:paraId="1FC853CF" w14:textId="77777777" w:rsidR="0011366B" w:rsidRPr="009C19A1" w:rsidRDefault="0011366B" w:rsidP="002A63B7"/>
    <w:p w14:paraId="6343E0A6" w14:textId="6163CFFC" w:rsidR="00411003" w:rsidRPr="009C19A1" w:rsidRDefault="000458B2" w:rsidP="002A63B7">
      <w:pPr>
        <w:spacing w:before="240" w:after="240"/>
      </w:pPr>
      <w:r w:rsidRPr="009C19A1">
        <w:rPr>
          <w:b/>
        </w:rPr>
        <w:t>3</w:t>
      </w:r>
      <w:r w:rsidR="007056EC">
        <w:rPr>
          <w:b/>
        </w:rPr>
        <w:t xml:space="preserve"> </w:t>
      </w:r>
      <w:r w:rsidR="00563B3A" w:rsidRPr="009C19A1">
        <w:rPr>
          <w:b/>
        </w:rPr>
        <w:t>Metodologia</w:t>
      </w:r>
    </w:p>
    <w:p w14:paraId="3E0E1FD7" w14:textId="77777777" w:rsidR="00563B3A" w:rsidRPr="009C19A1" w:rsidRDefault="00563B3A" w:rsidP="00773AD3">
      <w:pPr>
        <w:spacing w:line="360" w:lineRule="auto"/>
        <w:ind w:firstLine="709"/>
        <w:jc w:val="both"/>
      </w:pPr>
      <w:r w:rsidRPr="009C19A1">
        <w:t xml:space="preserve">Para analisar a competividade do total das exportações </w:t>
      </w:r>
      <w:r w:rsidR="00AE1103" w:rsidRPr="009C19A1">
        <w:t>dos principais países produtores</w:t>
      </w:r>
      <w:r w:rsidRPr="009C19A1">
        <w:t xml:space="preserve"> de algodão durante o período de 2000-2017 foi utilizado a Índice de Vantagem Comparativa Revelada (IVCR). Já para analisar a fatia de mercado que </w:t>
      </w:r>
      <w:r w:rsidR="00AE1103" w:rsidRPr="009C19A1">
        <w:t>estes países</w:t>
      </w:r>
      <w:r w:rsidRPr="009C19A1">
        <w:t xml:space="preserve"> possu</w:t>
      </w:r>
      <w:r w:rsidR="00AE1103" w:rsidRPr="009C19A1">
        <w:t>em</w:t>
      </w:r>
      <w:r w:rsidRPr="009C19A1">
        <w:t xml:space="preserve"> nas exportações de algodão foi utilizado o Market-</w:t>
      </w:r>
      <w:proofErr w:type="spellStart"/>
      <w:r w:rsidRPr="009C19A1">
        <w:t>Share</w:t>
      </w:r>
      <w:proofErr w:type="spellEnd"/>
      <w:r w:rsidRPr="009C19A1">
        <w:t xml:space="preserve"> (MS). O Índice de Contribuição ao Saldo (CS) tem por objetivo corroborar o apresentado no IVCR sendo este analisado por outra ótica.</w:t>
      </w:r>
    </w:p>
    <w:p w14:paraId="6FB6D49D" w14:textId="77777777" w:rsidR="00DD0E78" w:rsidRPr="009C19A1" w:rsidRDefault="00DD0E78" w:rsidP="00773AD3">
      <w:pPr>
        <w:spacing w:line="360" w:lineRule="auto"/>
        <w:ind w:firstLine="709"/>
        <w:jc w:val="both"/>
        <w:rPr>
          <w:b/>
        </w:rPr>
      </w:pPr>
    </w:p>
    <w:p w14:paraId="540775BB" w14:textId="6BD0ADDE" w:rsidR="00563B3A" w:rsidRPr="009C19A1" w:rsidRDefault="00563B3A" w:rsidP="002A63B7">
      <w:pPr>
        <w:spacing w:before="240" w:after="240"/>
        <w:rPr>
          <w:b/>
        </w:rPr>
      </w:pPr>
      <w:r w:rsidRPr="009C19A1">
        <w:rPr>
          <w:b/>
        </w:rPr>
        <w:t xml:space="preserve">3.1 Índice de </w:t>
      </w:r>
      <w:r w:rsidR="007056EC">
        <w:rPr>
          <w:b/>
        </w:rPr>
        <w:t>v</w:t>
      </w:r>
      <w:r w:rsidRPr="009C19A1">
        <w:rPr>
          <w:b/>
        </w:rPr>
        <w:t xml:space="preserve">antagens </w:t>
      </w:r>
      <w:r w:rsidR="007056EC">
        <w:rPr>
          <w:b/>
        </w:rPr>
        <w:t>c</w:t>
      </w:r>
      <w:r w:rsidRPr="009C19A1">
        <w:rPr>
          <w:b/>
        </w:rPr>
        <w:t xml:space="preserve">omparativas </w:t>
      </w:r>
      <w:r w:rsidR="007056EC">
        <w:rPr>
          <w:b/>
        </w:rPr>
        <w:t>r</w:t>
      </w:r>
      <w:r w:rsidRPr="009C19A1">
        <w:rPr>
          <w:b/>
        </w:rPr>
        <w:t>eveladas</w:t>
      </w:r>
    </w:p>
    <w:p w14:paraId="3D3C79F3" w14:textId="77777777" w:rsidR="00563B3A" w:rsidRPr="009C19A1" w:rsidRDefault="00563B3A" w:rsidP="00773AD3">
      <w:pPr>
        <w:spacing w:line="360" w:lineRule="auto"/>
        <w:ind w:firstLine="709"/>
        <w:jc w:val="both"/>
      </w:pPr>
      <w:r w:rsidRPr="009C19A1">
        <w:t xml:space="preserve">A definição de Vantagem Comparativa Revelada foi introduzida por </w:t>
      </w:r>
      <w:proofErr w:type="spellStart"/>
      <w:r w:rsidRPr="009C19A1">
        <w:t>Balassa</w:t>
      </w:r>
      <w:proofErr w:type="spellEnd"/>
      <w:r w:rsidRPr="009C19A1">
        <w:t xml:space="preserve"> (1965) para analisar a competitividade de um país, desde então este conceito vem sendo aplicado para esse tipo de análise.</w:t>
      </w:r>
    </w:p>
    <w:p w14:paraId="541F3226" w14:textId="7A414FB5" w:rsidR="00563B3A" w:rsidRPr="009C19A1" w:rsidRDefault="00563B3A" w:rsidP="00773AD3">
      <w:pPr>
        <w:spacing w:line="360" w:lineRule="auto"/>
        <w:ind w:firstLine="709"/>
        <w:jc w:val="both"/>
      </w:pPr>
      <w:r w:rsidRPr="009C19A1">
        <w:t>Segundo Siqueira (2011)</w:t>
      </w:r>
      <w:r w:rsidR="00B73EDF">
        <w:t>,</w:t>
      </w:r>
      <w:r w:rsidRPr="009C19A1">
        <w:t xml:space="preserve"> o indicador de Vantagens Comparativas Reveladas utiliza dados de pós-comércio, ou seja, o cálculo é balizado em valores já concretizados de exportações. A principal característica desse método é a análise das diferenças de custos relativos existentes entre países, direcionando, assim, a produção de determinados produtos e a importação de outros.</w:t>
      </w:r>
    </w:p>
    <w:p w14:paraId="4BD3B199" w14:textId="369BBEBA" w:rsidR="00563B3A" w:rsidRPr="009C19A1" w:rsidRDefault="00563B3A" w:rsidP="00773AD3">
      <w:pPr>
        <w:spacing w:line="360" w:lineRule="auto"/>
        <w:ind w:firstLine="709"/>
        <w:jc w:val="both"/>
      </w:pPr>
      <w:r w:rsidRPr="009C19A1">
        <w:t>Para Fernandes e Santos (2011)</w:t>
      </w:r>
      <w:r w:rsidR="00B73EDF">
        <w:t>,</w:t>
      </w:r>
      <w:r w:rsidRPr="009C19A1">
        <w:t xml:space="preserve"> o IVCR relaciona as exportações de um determinado produto de um país com as exportações mundiais desse mesmo produto, permitindo assim, comparar a participação relativa de um determinado</w:t>
      </w:r>
      <w:r w:rsidR="00DC71A5" w:rsidRPr="009C19A1">
        <w:t xml:space="preserve"> produto</w:t>
      </w:r>
      <w:r w:rsidRPr="009C19A1">
        <w:t xml:space="preserve"> no comercio internacional.</w:t>
      </w:r>
    </w:p>
    <w:p w14:paraId="1351139A" w14:textId="207641A2" w:rsidR="00563B3A" w:rsidRPr="009C19A1" w:rsidRDefault="00563B3A" w:rsidP="00773AD3">
      <w:pPr>
        <w:spacing w:line="360" w:lineRule="auto"/>
        <w:ind w:firstLine="709"/>
        <w:jc w:val="both"/>
      </w:pPr>
      <w:r w:rsidRPr="009C19A1">
        <w:t xml:space="preserve">A </w:t>
      </w:r>
      <w:r w:rsidR="00B73EDF">
        <w:t>e</w:t>
      </w:r>
      <w:r w:rsidRPr="009C19A1">
        <w:t xml:space="preserve">quação </w:t>
      </w:r>
      <w:r w:rsidR="00BB38F8" w:rsidRPr="009C19A1">
        <w:t>(</w:t>
      </w:r>
      <w:r w:rsidRPr="009C19A1">
        <w:t>1</w:t>
      </w:r>
      <w:r w:rsidR="00BB38F8" w:rsidRPr="009C19A1">
        <w:t>)</w:t>
      </w:r>
      <w:r w:rsidRPr="009C19A1">
        <w:t xml:space="preserve"> apresenta a fórmula da IVCR utilizada neste artigo.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6"/>
      </w:tblGrid>
      <w:tr w:rsidR="00563B3A" w:rsidRPr="009C19A1" w14:paraId="4F738F7A" w14:textId="77777777" w:rsidTr="00D86C59">
        <w:trPr>
          <w:jc w:val="center"/>
        </w:trPr>
        <w:tc>
          <w:tcPr>
            <w:tcW w:w="8574" w:type="dxa"/>
            <w:vAlign w:val="center"/>
          </w:tcPr>
          <w:p w14:paraId="2869A655" w14:textId="77777777" w:rsidR="00563B3A" w:rsidRPr="009C19A1" w:rsidRDefault="00547E18" w:rsidP="002A63B7">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IVCR</m:t>
                    </m:r>
                  </m:e>
                  <m:sub>
                    <m:r>
                      <w:rPr>
                        <w:rFonts w:ascii="Cambria Math" w:hAnsi="Cambria Math" w:cs="Times New Roman"/>
                      </w:rPr>
                      <m:t>ij</m:t>
                    </m:r>
                  </m:sub>
                </m:sSub>
                <m:r>
                  <w:rPr>
                    <w:rFonts w:ascii="Cambria Math" w:hAnsi="Cambria Math" w:cs="Times New Roman"/>
                  </w:rPr>
                  <m:t xml:space="preserve">= </m:t>
                </m:r>
                <m:f>
                  <m:fPr>
                    <m:ctrlPr>
                      <w:rPr>
                        <w:rFonts w:ascii="Cambria Math" w:hAnsi="Cambria Math" w:cs="Times New Roman"/>
                        <w:i/>
                      </w:rPr>
                    </m:ctrlPr>
                  </m:fPr>
                  <m:num>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den>
                    </m:f>
                  </m:num>
                  <m:den>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num>
                      <m:den>
                        <m:r>
                          <w:rPr>
                            <w:rFonts w:ascii="Cambria Math" w:hAnsi="Cambria Math" w:cs="Times New Roman"/>
                          </w:rPr>
                          <m:t>X</m:t>
                        </m:r>
                      </m:den>
                    </m:f>
                  </m:den>
                </m:f>
              </m:oMath>
            </m:oMathPara>
          </w:p>
        </w:tc>
        <w:tc>
          <w:tcPr>
            <w:tcW w:w="496" w:type="dxa"/>
            <w:vAlign w:val="center"/>
          </w:tcPr>
          <w:p w14:paraId="781EC4DF" w14:textId="77777777" w:rsidR="00563B3A" w:rsidRPr="009C19A1" w:rsidRDefault="00563B3A" w:rsidP="002A63B7">
            <w:pPr>
              <w:rPr>
                <w:rFonts w:ascii="Times New Roman" w:hAnsi="Times New Roman" w:cs="Times New Roman"/>
              </w:rPr>
            </w:pPr>
            <w:r w:rsidRPr="009C19A1">
              <w:rPr>
                <w:rFonts w:ascii="Times New Roman" w:hAnsi="Times New Roman" w:cs="Times New Roman"/>
              </w:rPr>
              <w:t>(1)</w:t>
            </w:r>
          </w:p>
        </w:tc>
      </w:tr>
    </w:tbl>
    <w:p w14:paraId="1F542DE3" w14:textId="2DB711B8" w:rsidR="00563B3A" w:rsidRPr="009C19A1" w:rsidRDefault="00B73EDF" w:rsidP="00773AD3">
      <w:pPr>
        <w:spacing w:line="360" w:lineRule="auto"/>
        <w:jc w:val="both"/>
      </w:pPr>
      <w:proofErr w:type="gramStart"/>
      <w:r>
        <w:t>em</w:t>
      </w:r>
      <w:proofErr w:type="gramEnd"/>
      <w:r>
        <w:t xml:space="preserve"> que </w:t>
      </w:r>
      <w:proofErr w:type="spellStart"/>
      <w:r w:rsidR="00563B3A" w:rsidRPr="009C19A1">
        <w:t>Xij</w:t>
      </w:r>
      <w:proofErr w:type="spellEnd"/>
      <w:r w:rsidR="00563B3A" w:rsidRPr="009C19A1">
        <w:t xml:space="preserve"> representa as exportações do produto i, pelo país j; </w:t>
      </w:r>
      <w:proofErr w:type="spellStart"/>
      <w:r w:rsidR="00563B3A" w:rsidRPr="009C19A1">
        <w:t>Xj</w:t>
      </w:r>
      <w:proofErr w:type="spellEnd"/>
      <w:r w:rsidR="00563B3A" w:rsidRPr="009C19A1">
        <w:t xml:space="preserve"> representa as exportações totais do país</w:t>
      </w:r>
      <w:r w:rsidR="00B052A4" w:rsidRPr="009C19A1">
        <w:t xml:space="preserve"> j</w:t>
      </w:r>
      <w:r w:rsidR="00563B3A" w:rsidRPr="009C19A1">
        <w:t>; X</w:t>
      </w:r>
      <w:r w:rsidR="006A2285" w:rsidRPr="009C19A1">
        <w:t>i</w:t>
      </w:r>
      <w:r w:rsidR="00563B3A" w:rsidRPr="009C19A1">
        <w:t xml:space="preserve"> representa as exportações mundiais do produto i; X representa as exportações mundiais totais.</w:t>
      </w:r>
    </w:p>
    <w:p w14:paraId="7B712CE3" w14:textId="77777777" w:rsidR="00563B3A" w:rsidRPr="009C19A1" w:rsidRDefault="00563B3A" w:rsidP="00A7269C">
      <w:pPr>
        <w:spacing w:line="360" w:lineRule="auto"/>
        <w:ind w:firstLine="709"/>
        <w:jc w:val="both"/>
      </w:pPr>
      <w:r w:rsidRPr="009C19A1">
        <w:t>O IVCR pode apresentar três resultados distintos:</w:t>
      </w:r>
    </w:p>
    <w:p w14:paraId="3FD3EEFC" w14:textId="01574548" w:rsidR="00563B3A" w:rsidRPr="009C19A1" w:rsidRDefault="00563B3A" w:rsidP="00A7269C">
      <w:pPr>
        <w:pStyle w:val="PargrafodaLista"/>
        <w:numPr>
          <w:ilvl w:val="0"/>
          <w:numId w:val="14"/>
        </w:numPr>
        <w:spacing w:line="360" w:lineRule="auto"/>
        <w:ind w:left="284" w:hanging="284"/>
        <w:jc w:val="both"/>
      </w:pPr>
      <w:r w:rsidRPr="009C19A1">
        <w:t>IVCR &gt; 1, o produto analisado possui vantagem comparativa revelada;</w:t>
      </w:r>
    </w:p>
    <w:p w14:paraId="41E775ED" w14:textId="77777777" w:rsidR="00A7269C" w:rsidRDefault="00563B3A" w:rsidP="00A7269C">
      <w:pPr>
        <w:pStyle w:val="PargrafodaLista"/>
        <w:numPr>
          <w:ilvl w:val="0"/>
          <w:numId w:val="14"/>
        </w:numPr>
        <w:spacing w:line="360" w:lineRule="auto"/>
        <w:ind w:left="284" w:hanging="284"/>
        <w:jc w:val="both"/>
      </w:pPr>
      <w:r w:rsidRPr="009C19A1">
        <w:lastRenderedPageBreak/>
        <w:t>IVCR &lt; 1, o produto analisado possui desvantagem comparativa revelada;</w:t>
      </w:r>
    </w:p>
    <w:p w14:paraId="257593D0" w14:textId="67A3DB6A" w:rsidR="00563B3A" w:rsidRPr="009C19A1" w:rsidRDefault="00563B3A" w:rsidP="00A7269C">
      <w:pPr>
        <w:pStyle w:val="PargrafodaLista"/>
        <w:numPr>
          <w:ilvl w:val="0"/>
          <w:numId w:val="14"/>
        </w:numPr>
        <w:spacing w:line="360" w:lineRule="auto"/>
        <w:ind w:left="284" w:hanging="284"/>
        <w:jc w:val="both"/>
      </w:pPr>
      <w:r w:rsidRPr="009C19A1">
        <w:t>IVCR = 1, neste caso, não existe excedente a ser exportado, o que representa que a produção local atende à demanda</w:t>
      </w:r>
      <w:r w:rsidR="00271696" w:rsidRPr="009C19A1">
        <w:t xml:space="preserve"> ou não existe demanda interna para o produto</w:t>
      </w:r>
      <w:r w:rsidRPr="009C19A1">
        <w:t>.</w:t>
      </w:r>
    </w:p>
    <w:p w14:paraId="2AB450FB" w14:textId="77777777" w:rsidR="00DD0E78" w:rsidRPr="009C19A1" w:rsidRDefault="00DD0E78" w:rsidP="00773AD3">
      <w:pPr>
        <w:spacing w:line="360" w:lineRule="auto"/>
        <w:jc w:val="both"/>
      </w:pPr>
    </w:p>
    <w:p w14:paraId="62936C6C" w14:textId="442E61C6" w:rsidR="006A2285" w:rsidRPr="009C19A1" w:rsidRDefault="006A2285" w:rsidP="002A63B7">
      <w:pPr>
        <w:spacing w:before="240" w:after="240"/>
      </w:pPr>
      <w:r w:rsidRPr="009C19A1">
        <w:rPr>
          <w:b/>
        </w:rPr>
        <w:t xml:space="preserve">3.2 </w:t>
      </w:r>
      <w:r w:rsidRPr="009C19A1">
        <w:rPr>
          <w:b/>
          <w:i/>
          <w:iCs/>
        </w:rPr>
        <w:t xml:space="preserve">Market </w:t>
      </w:r>
      <w:proofErr w:type="spellStart"/>
      <w:r w:rsidR="007056EC">
        <w:rPr>
          <w:b/>
          <w:i/>
          <w:iCs/>
        </w:rPr>
        <w:t>S</w:t>
      </w:r>
      <w:r w:rsidRPr="009C19A1">
        <w:rPr>
          <w:b/>
          <w:i/>
          <w:iCs/>
        </w:rPr>
        <w:t>hare</w:t>
      </w:r>
      <w:proofErr w:type="spellEnd"/>
      <w:r w:rsidRPr="009C19A1">
        <w:rPr>
          <w:b/>
        </w:rPr>
        <w:t xml:space="preserve"> (MS)</w:t>
      </w:r>
    </w:p>
    <w:p w14:paraId="4CB350C3" w14:textId="77385672" w:rsidR="006A2285" w:rsidRDefault="006A2285" w:rsidP="00773AD3">
      <w:pPr>
        <w:ind w:firstLine="709"/>
        <w:jc w:val="both"/>
      </w:pPr>
      <w:r w:rsidRPr="009C19A1">
        <w:t xml:space="preserve">A </w:t>
      </w:r>
      <w:r w:rsidR="00A7269C">
        <w:t>e</w:t>
      </w:r>
      <w:r w:rsidRPr="009C19A1">
        <w:t xml:space="preserve">quação </w:t>
      </w:r>
      <w:r w:rsidR="00BB38F8" w:rsidRPr="009C19A1">
        <w:t>(</w:t>
      </w:r>
      <w:r w:rsidRPr="009C19A1">
        <w:t>2</w:t>
      </w:r>
      <w:r w:rsidR="00BB38F8" w:rsidRPr="009C19A1">
        <w:t>)</w:t>
      </w:r>
      <w:r w:rsidRPr="009C19A1">
        <w:t xml:space="preserve"> apresenta a fórmula do </w:t>
      </w:r>
      <w:r w:rsidRPr="009C19A1">
        <w:rPr>
          <w:i/>
          <w:iCs/>
        </w:rPr>
        <w:t xml:space="preserve">Market </w:t>
      </w:r>
      <w:proofErr w:type="spellStart"/>
      <w:r w:rsidRPr="009C19A1">
        <w:rPr>
          <w:i/>
          <w:iCs/>
        </w:rPr>
        <w:t>Share</w:t>
      </w:r>
      <w:proofErr w:type="spellEnd"/>
      <w:r w:rsidRPr="009C19A1">
        <w:t xml:space="preserve"> utilizada.</w:t>
      </w:r>
    </w:p>
    <w:p w14:paraId="21A7958A" w14:textId="77777777" w:rsidR="00773AD3" w:rsidRPr="009C19A1" w:rsidRDefault="00773AD3" w:rsidP="00773AD3">
      <w:pPr>
        <w:ind w:firstLine="709"/>
        <w:jc w:val="both"/>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6"/>
      </w:tblGrid>
      <w:tr w:rsidR="006A2285" w:rsidRPr="009C19A1" w14:paraId="38CE4C9B" w14:textId="77777777" w:rsidTr="00D86C59">
        <w:trPr>
          <w:jc w:val="center"/>
        </w:trPr>
        <w:tc>
          <w:tcPr>
            <w:tcW w:w="8574" w:type="dxa"/>
          </w:tcPr>
          <w:p w14:paraId="162E2767" w14:textId="77777777" w:rsidR="006A2285" w:rsidRPr="009C19A1" w:rsidRDefault="006A2285" w:rsidP="002A63B7">
            <w:pPr>
              <w:rPr>
                <w:rFonts w:ascii="Times New Roman" w:hAnsi="Times New Roman" w:cs="Times New Roman"/>
              </w:rPr>
            </w:pPr>
            <m:oMathPara>
              <m:oMath>
                <m:r>
                  <w:rPr>
                    <w:rFonts w:ascii="Cambria Math" w:hAnsi="Cambria Math" w:cs="Times New Roman"/>
                  </w:rPr>
                  <m:t xml:space="preserve">MS=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den>
                </m:f>
              </m:oMath>
            </m:oMathPara>
          </w:p>
        </w:tc>
        <w:tc>
          <w:tcPr>
            <w:tcW w:w="496" w:type="dxa"/>
            <w:vAlign w:val="center"/>
          </w:tcPr>
          <w:p w14:paraId="03AA56BD" w14:textId="77777777" w:rsidR="006A2285" w:rsidRPr="009C19A1" w:rsidRDefault="006A2285" w:rsidP="002A63B7">
            <w:pPr>
              <w:rPr>
                <w:rFonts w:ascii="Times New Roman" w:hAnsi="Times New Roman" w:cs="Times New Roman"/>
              </w:rPr>
            </w:pPr>
            <w:r w:rsidRPr="009C19A1">
              <w:rPr>
                <w:rFonts w:ascii="Times New Roman" w:hAnsi="Times New Roman" w:cs="Times New Roman"/>
              </w:rPr>
              <w:t>(2)</w:t>
            </w:r>
          </w:p>
        </w:tc>
      </w:tr>
    </w:tbl>
    <w:p w14:paraId="404CF226" w14:textId="77777777" w:rsidR="00773AD3" w:rsidRDefault="00773AD3" w:rsidP="002A63B7"/>
    <w:p w14:paraId="5D5D95C5" w14:textId="156092D1" w:rsidR="006A2285" w:rsidRPr="009C19A1" w:rsidRDefault="00A7269C" w:rsidP="00773AD3">
      <w:pPr>
        <w:spacing w:line="360" w:lineRule="auto"/>
        <w:jc w:val="both"/>
      </w:pPr>
      <w:proofErr w:type="gramStart"/>
      <w:r>
        <w:t>em</w:t>
      </w:r>
      <w:proofErr w:type="gramEnd"/>
      <w:r>
        <w:t xml:space="preserve"> que </w:t>
      </w:r>
      <w:proofErr w:type="spellStart"/>
      <w:r w:rsidR="006A2285" w:rsidRPr="009C19A1">
        <w:t>Xij</w:t>
      </w:r>
      <w:proofErr w:type="spellEnd"/>
      <w:r w:rsidR="006A2285" w:rsidRPr="009C19A1">
        <w:t xml:space="preserve"> representa as exportações do produto i, pelo país j; Xi representa as exportações mundiais do produto i.</w:t>
      </w:r>
    </w:p>
    <w:p w14:paraId="6A47A0FF" w14:textId="6356C575" w:rsidR="006A2285" w:rsidRPr="009C19A1" w:rsidRDefault="006A2285" w:rsidP="00A7269C">
      <w:pPr>
        <w:spacing w:line="360" w:lineRule="auto"/>
        <w:ind w:firstLine="709"/>
        <w:jc w:val="both"/>
      </w:pPr>
      <w:r w:rsidRPr="009C19A1">
        <w:t xml:space="preserve">O resultado da </w:t>
      </w:r>
      <w:r w:rsidR="00A7269C">
        <w:t>e</w:t>
      </w:r>
      <w:r w:rsidRPr="009C19A1">
        <w:t xml:space="preserve">quação </w:t>
      </w:r>
      <w:r w:rsidR="00A7269C">
        <w:t>(</w:t>
      </w:r>
      <w:r w:rsidRPr="009C19A1">
        <w:t>2</w:t>
      </w:r>
      <w:r w:rsidR="00A7269C">
        <w:t>)</w:t>
      </w:r>
      <w:r w:rsidRPr="009C19A1">
        <w:t xml:space="preserve"> é a porcentagem de mercado do produto (i) que o país analisado (j), possui em relação a todo o comercio internacional do mesmo produto.</w:t>
      </w:r>
      <w:r w:rsidR="00271696" w:rsidRPr="009C19A1">
        <w:t xml:space="preserve"> Quanto maior o percentual, maior a fatia do mercado analisado o país possuí.</w:t>
      </w:r>
    </w:p>
    <w:p w14:paraId="58F84F32" w14:textId="77777777" w:rsidR="00DD0E78" w:rsidRPr="009C19A1" w:rsidRDefault="00DD0E78" w:rsidP="002A63B7"/>
    <w:p w14:paraId="490314F8" w14:textId="631FB733" w:rsidR="006A2285" w:rsidRPr="009C19A1" w:rsidRDefault="001D278A" w:rsidP="002A63B7">
      <w:pPr>
        <w:spacing w:before="240" w:after="240"/>
      </w:pPr>
      <w:r w:rsidRPr="009C19A1">
        <w:rPr>
          <w:b/>
        </w:rPr>
        <w:t xml:space="preserve">3.3 Índice de </w:t>
      </w:r>
      <w:r w:rsidR="007056EC">
        <w:rPr>
          <w:b/>
        </w:rPr>
        <w:t>C</w:t>
      </w:r>
      <w:r w:rsidRPr="009C19A1">
        <w:rPr>
          <w:b/>
        </w:rPr>
        <w:t xml:space="preserve">ontribuição ao </w:t>
      </w:r>
      <w:r w:rsidR="007056EC">
        <w:rPr>
          <w:b/>
        </w:rPr>
        <w:t>S</w:t>
      </w:r>
      <w:r w:rsidRPr="009C19A1">
        <w:rPr>
          <w:b/>
        </w:rPr>
        <w:t>aldo (ICS)</w:t>
      </w:r>
    </w:p>
    <w:p w14:paraId="164845D6" w14:textId="052C7B83" w:rsidR="001D278A" w:rsidRPr="009C19A1" w:rsidRDefault="00FB4FF4" w:rsidP="00773AD3">
      <w:pPr>
        <w:spacing w:line="360" w:lineRule="auto"/>
        <w:ind w:firstLine="709"/>
        <w:jc w:val="both"/>
      </w:pPr>
      <w:r w:rsidRPr="009C19A1">
        <w:t xml:space="preserve">Tendo em vista que o Índice de Vantagens Comparativas Reveladas considera apenas o fluxo de exportações de um país para medir </w:t>
      </w:r>
      <w:r w:rsidR="00A64957" w:rsidRPr="009C19A1">
        <w:t>a</w:t>
      </w:r>
      <w:r w:rsidRPr="009C19A1">
        <w:t xml:space="preserve"> capacidade competitiva</w:t>
      </w:r>
      <w:r w:rsidR="00A64957" w:rsidRPr="009C19A1">
        <w:t xml:space="preserve"> de um país</w:t>
      </w:r>
      <w:r w:rsidRPr="009C19A1">
        <w:t xml:space="preserve">, foi proposto por </w:t>
      </w:r>
      <w:proofErr w:type="spellStart"/>
      <w:r w:rsidRPr="009C19A1">
        <w:t>Lafay</w:t>
      </w:r>
      <w:proofErr w:type="spellEnd"/>
      <w:r w:rsidRPr="009C19A1">
        <w:t xml:space="preserve"> (1990) o Índice de Contribuição ao Saldo, que leva em consideração também o saldo comercial</w:t>
      </w:r>
      <w:r w:rsidR="00A64957" w:rsidRPr="009C19A1">
        <w:t xml:space="preserve"> de um país</w:t>
      </w:r>
      <w:r w:rsidRPr="009C19A1">
        <w:t xml:space="preserve">. </w:t>
      </w:r>
      <w:r w:rsidR="001D278A" w:rsidRPr="009C19A1">
        <w:t xml:space="preserve">A </w:t>
      </w:r>
      <w:r w:rsidR="00A7269C">
        <w:t>e</w:t>
      </w:r>
      <w:r w:rsidR="001D278A" w:rsidRPr="009C19A1">
        <w:t xml:space="preserve">quação </w:t>
      </w:r>
      <w:r w:rsidR="00BB38F8" w:rsidRPr="009C19A1">
        <w:t>(</w:t>
      </w:r>
      <w:r w:rsidR="001D278A" w:rsidRPr="009C19A1">
        <w:t>3</w:t>
      </w:r>
      <w:r w:rsidR="00BB38F8" w:rsidRPr="009C19A1">
        <w:t>)</w:t>
      </w:r>
      <w:r w:rsidR="001D278A" w:rsidRPr="009C19A1">
        <w:t xml:space="preserve"> apresenta a fórmula do Índice de Contribuição ao Saldo.</w:t>
      </w:r>
    </w:p>
    <w:tbl>
      <w:tblPr>
        <w:tblStyle w:val="Tabelacomgrade"/>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8"/>
        <w:gridCol w:w="496"/>
      </w:tblGrid>
      <w:tr w:rsidR="001D278A" w:rsidRPr="009C19A1" w14:paraId="5F6D95AA" w14:textId="77777777" w:rsidTr="00D86C59">
        <w:trPr>
          <w:jc w:val="center"/>
        </w:trPr>
        <w:tc>
          <w:tcPr>
            <w:tcW w:w="8628" w:type="dxa"/>
            <w:vAlign w:val="center"/>
          </w:tcPr>
          <w:p w14:paraId="6DABF11D" w14:textId="77777777" w:rsidR="001D278A" w:rsidRPr="009C19A1" w:rsidRDefault="00547E18" w:rsidP="002A63B7">
            <w:pP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ICS</m:t>
                    </m:r>
                  </m:e>
                  <m:sub>
                    <m:r>
                      <w:rPr>
                        <w:rFonts w:ascii="Cambria Math" w:hAnsi="Cambria Math" w:cs="Times New Roman"/>
                      </w:rPr>
                      <m:t>ij</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1000</m:t>
                    </m:r>
                  </m:num>
                  <m:den>
                    <m:sSub>
                      <m:sSubPr>
                        <m:ctrlPr>
                          <w:rPr>
                            <w:rFonts w:ascii="Cambria Math" w:hAnsi="Cambria Math" w:cs="Times New Roman"/>
                            <w:i/>
                          </w:rPr>
                        </m:ctrlPr>
                      </m:sSubPr>
                      <m:e>
                        <m:r>
                          <w:rPr>
                            <w:rFonts w:ascii="Cambria Math" w:hAnsi="Cambria Math" w:cs="Times New Roman"/>
                          </w:rPr>
                          <m:t>PIB</m:t>
                        </m:r>
                      </m:e>
                      <m:sub>
                        <m:r>
                          <w:rPr>
                            <w:rFonts w:ascii="Cambria Math" w:hAnsi="Cambria Math" w:cs="Times New Roman"/>
                          </w:rPr>
                          <m:t>j</m:t>
                        </m:r>
                      </m:sub>
                    </m:sSub>
                  </m:den>
                </m:f>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ij</m:t>
                        </m:r>
                      </m:sub>
                    </m:sSub>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j</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ij</m:t>
                                </m:r>
                              </m:sub>
                            </m:sSub>
                            <m:r>
                              <w:rPr>
                                <w:rFonts w:ascii="Cambria Math" w:hAnsi="Cambria Math" w:cs="Times New Roman"/>
                              </w:rPr>
                              <m:t>)</m:t>
                            </m:r>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j</m:t>
                                </m:r>
                              </m:sub>
                            </m:sSub>
                            <m:r>
                              <w:rPr>
                                <w:rFonts w:ascii="Cambria Math" w:hAnsi="Cambria Math" w:cs="Times New Roman"/>
                              </w:rPr>
                              <m:t>)</m:t>
                            </m:r>
                          </m:den>
                        </m:f>
                      </m:e>
                    </m:d>
                  </m:e>
                </m:d>
              </m:oMath>
            </m:oMathPara>
          </w:p>
        </w:tc>
        <w:tc>
          <w:tcPr>
            <w:tcW w:w="496" w:type="dxa"/>
            <w:vAlign w:val="center"/>
          </w:tcPr>
          <w:p w14:paraId="784DE596" w14:textId="77777777" w:rsidR="001D278A" w:rsidRPr="009C19A1" w:rsidRDefault="001D278A" w:rsidP="002A63B7">
            <w:pPr>
              <w:rPr>
                <w:rFonts w:ascii="Times New Roman" w:eastAsia="Calibri" w:hAnsi="Times New Roman" w:cs="Times New Roman"/>
              </w:rPr>
            </w:pPr>
            <w:r w:rsidRPr="009C19A1">
              <w:rPr>
                <w:rFonts w:ascii="Times New Roman" w:eastAsia="Calibri" w:hAnsi="Times New Roman" w:cs="Times New Roman"/>
              </w:rPr>
              <w:t>(3)</w:t>
            </w:r>
          </w:p>
        </w:tc>
      </w:tr>
    </w:tbl>
    <w:p w14:paraId="1427D720" w14:textId="77777777" w:rsidR="00773AD3" w:rsidRDefault="00773AD3" w:rsidP="002A63B7"/>
    <w:p w14:paraId="0A138370" w14:textId="0C8FE459" w:rsidR="006A2285" w:rsidRPr="009C19A1" w:rsidRDefault="00A7269C" w:rsidP="00A7269C">
      <w:pPr>
        <w:spacing w:line="360" w:lineRule="auto"/>
        <w:jc w:val="both"/>
      </w:pPr>
      <w:r>
        <w:t xml:space="preserve">em que </w:t>
      </w:r>
      <w:proofErr w:type="spellStart"/>
      <w:r w:rsidR="001D278A" w:rsidRPr="009C19A1">
        <w:t>Xij</w:t>
      </w:r>
      <w:proofErr w:type="spellEnd"/>
      <w:r w:rsidR="001D278A" w:rsidRPr="009C19A1">
        <w:t xml:space="preserve"> representa as exportações do produto i, pelo país j; </w:t>
      </w:r>
      <w:proofErr w:type="spellStart"/>
      <w:r w:rsidR="001D278A" w:rsidRPr="009C19A1">
        <w:t>Xj</w:t>
      </w:r>
      <w:proofErr w:type="spellEnd"/>
      <w:r w:rsidR="001D278A" w:rsidRPr="009C19A1">
        <w:t xml:space="preserve"> representa as exportações totais do país</w:t>
      </w:r>
      <w:r w:rsidR="00A263AD" w:rsidRPr="009C19A1">
        <w:t xml:space="preserve"> j</w:t>
      </w:r>
      <w:r w:rsidR="001D278A" w:rsidRPr="009C19A1">
        <w:t xml:space="preserve">; </w:t>
      </w:r>
      <w:proofErr w:type="spellStart"/>
      <w:r w:rsidR="001D278A" w:rsidRPr="009C19A1">
        <w:t>Mij</w:t>
      </w:r>
      <w:proofErr w:type="spellEnd"/>
      <w:r w:rsidR="001D278A" w:rsidRPr="009C19A1">
        <w:t xml:space="preserve"> representa as importações do produto i, pelo país j; </w:t>
      </w:r>
      <w:proofErr w:type="spellStart"/>
      <w:r w:rsidR="001D278A" w:rsidRPr="009C19A1">
        <w:t>Mj</w:t>
      </w:r>
      <w:proofErr w:type="spellEnd"/>
      <w:r w:rsidR="001D278A" w:rsidRPr="009C19A1">
        <w:t xml:space="preserve"> representa as importações totais do país j</w:t>
      </w:r>
      <w:r w:rsidR="005778C2" w:rsidRPr="009C19A1">
        <w:t xml:space="preserve">; </w:t>
      </w:r>
      <w:proofErr w:type="spellStart"/>
      <w:r w:rsidR="005778C2" w:rsidRPr="009C19A1">
        <w:t>PIBj</w:t>
      </w:r>
      <w:proofErr w:type="spellEnd"/>
      <w:r w:rsidR="005778C2" w:rsidRPr="009C19A1">
        <w:t xml:space="preserve"> representa o Produto Interno Bruto do país j.</w:t>
      </w:r>
    </w:p>
    <w:p w14:paraId="55A0D62B" w14:textId="77777777" w:rsidR="00A263AD" w:rsidRPr="009C19A1" w:rsidRDefault="00A263AD" w:rsidP="00773AD3">
      <w:pPr>
        <w:spacing w:line="360" w:lineRule="auto"/>
        <w:ind w:firstLine="709"/>
        <w:jc w:val="both"/>
      </w:pPr>
      <w:r w:rsidRPr="009C19A1">
        <w:t>O ICS pode apresentar dois resultados distintos:</w:t>
      </w:r>
    </w:p>
    <w:p w14:paraId="16450C3C" w14:textId="01D64748" w:rsidR="00A263AD" w:rsidRPr="009C19A1" w:rsidRDefault="00A263AD" w:rsidP="00A7269C">
      <w:pPr>
        <w:pStyle w:val="PargrafodaLista"/>
        <w:numPr>
          <w:ilvl w:val="0"/>
          <w:numId w:val="15"/>
        </w:numPr>
        <w:spacing w:line="360" w:lineRule="auto"/>
        <w:ind w:left="284" w:hanging="284"/>
        <w:jc w:val="both"/>
      </w:pPr>
      <w:r w:rsidRPr="009C19A1">
        <w:t>ICS &gt; 0, o produto analisado possui vantagem comparativa revelada;</w:t>
      </w:r>
    </w:p>
    <w:p w14:paraId="71F320C0" w14:textId="026CB952" w:rsidR="00A263AD" w:rsidRPr="009C19A1" w:rsidRDefault="00A263AD" w:rsidP="00A7269C">
      <w:pPr>
        <w:pStyle w:val="PargrafodaLista"/>
        <w:numPr>
          <w:ilvl w:val="0"/>
          <w:numId w:val="15"/>
        </w:numPr>
        <w:spacing w:line="360" w:lineRule="auto"/>
        <w:ind w:left="284" w:hanging="284"/>
        <w:jc w:val="both"/>
      </w:pPr>
      <w:r w:rsidRPr="009C19A1">
        <w:t>ICS &lt; 0, o produto analisado não possui vantagem comparativa revelada.</w:t>
      </w:r>
    </w:p>
    <w:p w14:paraId="29A609A6" w14:textId="1F3EF3F0" w:rsidR="001343B1" w:rsidRPr="009C19A1" w:rsidRDefault="00AE1103" w:rsidP="00773AD3">
      <w:pPr>
        <w:spacing w:line="360" w:lineRule="auto"/>
        <w:ind w:firstLine="709"/>
        <w:jc w:val="both"/>
      </w:pPr>
      <w:r w:rsidRPr="009C19A1">
        <w:t>O Índice de Contribuição ao Saldo, assim como o IVCR</w:t>
      </w:r>
      <w:r w:rsidR="00551D38" w:rsidRPr="009C19A1">
        <w:t xml:space="preserve">, </w:t>
      </w:r>
      <w:r w:rsidR="00F85BDC" w:rsidRPr="009C19A1">
        <w:t>é um indicado</w:t>
      </w:r>
      <w:r w:rsidR="00CE2696" w:rsidRPr="009C19A1">
        <w:t xml:space="preserve">r </w:t>
      </w:r>
      <w:proofErr w:type="spellStart"/>
      <w:r w:rsidR="00CE2696" w:rsidRPr="009C19A1">
        <w:rPr>
          <w:i/>
          <w:iCs/>
        </w:rPr>
        <w:t>e</w:t>
      </w:r>
      <w:r w:rsidR="00FB4FF4" w:rsidRPr="009C19A1">
        <w:rPr>
          <w:i/>
          <w:iCs/>
        </w:rPr>
        <w:t>x</w:t>
      </w:r>
      <w:proofErr w:type="spellEnd"/>
      <w:r w:rsidR="00FB4FF4" w:rsidRPr="009C19A1">
        <w:rPr>
          <w:i/>
          <w:iCs/>
        </w:rPr>
        <w:t xml:space="preserve"> post</w:t>
      </w:r>
      <w:r w:rsidRPr="009C19A1">
        <w:t xml:space="preserve">, ou seja, </w:t>
      </w:r>
      <w:r w:rsidR="00F85BDC" w:rsidRPr="009C19A1">
        <w:t>pós-consumo</w:t>
      </w:r>
      <w:r w:rsidR="003374E3" w:rsidRPr="009C19A1">
        <w:t xml:space="preserve">. </w:t>
      </w:r>
      <w:r w:rsidR="005F6AAB" w:rsidRPr="009C19A1">
        <w:t>Segundo Cunha e Xavier (2010)</w:t>
      </w:r>
      <w:r w:rsidR="00A7269C">
        <w:t>,</w:t>
      </w:r>
      <w:r w:rsidR="005F6AAB" w:rsidRPr="009C19A1">
        <w:t xml:space="preserve"> </w:t>
      </w:r>
      <w:r w:rsidR="00A263AD" w:rsidRPr="009C19A1">
        <w:t xml:space="preserve">o indicador procura expressar as vantagens comparativas baseadas nos saldos comerciais e não apenas no fluxo de exportações. Em caso </w:t>
      </w:r>
      <w:r w:rsidR="00A263AD" w:rsidRPr="009C19A1">
        <w:lastRenderedPageBreak/>
        <w:t>de ICS positivo pode-se afirmar que as exportações do setor contribuem positivamente para geração de saldo comercial</w:t>
      </w:r>
      <w:r w:rsidR="00A64957" w:rsidRPr="009C19A1">
        <w:t xml:space="preserve"> do país</w:t>
      </w:r>
      <w:r w:rsidR="00A263AD" w:rsidRPr="009C19A1">
        <w:t>.</w:t>
      </w:r>
    </w:p>
    <w:p w14:paraId="27FF59C5" w14:textId="72F0DF90" w:rsidR="001343B1" w:rsidRPr="009C19A1" w:rsidRDefault="001343B1" w:rsidP="002A63B7">
      <w:pPr>
        <w:spacing w:before="240" w:after="240"/>
        <w:rPr>
          <w:b/>
        </w:rPr>
      </w:pPr>
      <w:r w:rsidRPr="009C19A1">
        <w:rPr>
          <w:b/>
        </w:rPr>
        <w:t xml:space="preserve">3.4 Fonte de </w:t>
      </w:r>
      <w:r w:rsidR="007056EC">
        <w:rPr>
          <w:b/>
        </w:rPr>
        <w:t>d</w:t>
      </w:r>
      <w:r w:rsidRPr="009C19A1">
        <w:rPr>
          <w:b/>
        </w:rPr>
        <w:t>ados</w:t>
      </w:r>
    </w:p>
    <w:p w14:paraId="16B2EC9F" w14:textId="0220A6F0" w:rsidR="00CF6018" w:rsidRPr="009C19A1" w:rsidRDefault="001343B1" w:rsidP="00A315AA">
      <w:pPr>
        <w:spacing w:line="360" w:lineRule="auto"/>
        <w:ind w:firstLine="709"/>
        <w:jc w:val="both"/>
      </w:pPr>
      <w:r w:rsidRPr="009C19A1">
        <w:t xml:space="preserve">A </w:t>
      </w:r>
      <w:r w:rsidRPr="009C19A1">
        <w:rPr>
          <w:i/>
          <w:iCs/>
        </w:rPr>
        <w:t>commodity</w:t>
      </w:r>
      <w:r w:rsidRPr="009C19A1">
        <w:t xml:space="preserve"> analisada foi a de número SITC </w:t>
      </w:r>
      <w:r w:rsidR="00E4085D" w:rsidRPr="009C19A1">
        <w:t>(</w:t>
      </w:r>
      <w:r w:rsidR="00E4085D" w:rsidRPr="009C19A1">
        <w:rPr>
          <w:i/>
          <w:iCs/>
        </w:rPr>
        <w:t xml:space="preserve">Standard </w:t>
      </w:r>
      <w:proofErr w:type="spellStart"/>
      <w:r w:rsidR="00E4085D" w:rsidRPr="009C19A1">
        <w:rPr>
          <w:i/>
          <w:iCs/>
        </w:rPr>
        <w:t>International</w:t>
      </w:r>
      <w:proofErr w:type="spellEnd"/>
      <w:r w:rsidR="00E4085D" w:rsidRPr="009C19A1">
        <w:rPr>
          <w:i/>
          <w:iCs/>
        </w:rPr>
        <w:t xml:space="preserve"> Trade </w:t>
      </w:r>
      <w:proofErr w:type="spellStart"/>
      <w:r w:rsidR="00E4085D" w:rsidRPr="009C19A1">
        <w:rPr>
          <w:i/>
          <w:iCs/>
        </w:rPr>
        <w:t>Classification</w:t>
      </w:r>
      <w:proofErr w:type="spellEnd"/>
      <w:r w:rsidR="00E4085D" w:rsidRPr="009C19A1">
        <w:t xml:space="preserve">) </w:t>
      </w:r>
      <w:r w:rsidRPr="009C19A1">
        <w:t xml:space="preserve">2631 (Rev. 3) que engloba o Algodão Cru. Os dados foram </w:t>
      </w:r>
      <w:r w:rsidR="00013FE7" w:rsidRPr="009C19A1">
        <w:t>extraídos d</w:t>
      </w:r>
      <w:r w:rsidRPr="009C19A1">
        <w:t>a plataforma online do COMTRADE</w:t>
      </w:r>
      <w:r w:rsidR="00013FE7" w:rsidRPr="009C19A1">
        <w:t xml:space="preserve"> (</w:t>
      </w:r>
      <w:r w:rsidR="00013FE7" w:rsidRPr="009C19A1">
        <w:rPr>
          <w:i/>
        </w:rPr>
        <w:t xml:space="preserve">United </w:t>
      </w:r>
      <w:proofErr w:type="spellStart"/>
      <w:r w:rsidR="00013FE7" w:rsidRPr="009C19A1">
        <w:rPr>
          <w:i/>
        </w:rPr>
        <w:t>Nations</w:t>
      </w:r>
      <w:proofErr w:type="spellEnd"/>
      <w:r w:rsidR="00013FE7" w:rsidRPr="009C19A1">
        <w:rPr>
          <w:i/>
        </w:rPr>
        <w:t xml:space="preserve"> </w:t>
      </w:r>
      <w:proofErr w:type="spellStart"/>
      <w:r w:rsidR="00013FE7" w:rsidRPr="009C19A1">
        <w:rPr>
          <w:i/>
        </w:rPr>
        <w:t>International</w:t>
      </w:r>
      <w:proofErr w:type="spellEnd"/>
      <w:r w:rsidR="00013FE7" w:rsidRPr="009C19A1">
        <w:rPr>
          <w:i/>
        </w:rPr>
        <w:t xml:space="preserve"> Trade </w:t>
      </w:r>
      <w:proofErr w:type="spellStart"/>
      <w:r w:rsidR="00013FE7" w:rsidRPr="009C19A1">
        <w:rPr>
          <w:i/>
        </w:rPr>
        <w:t>Statistics</w:t>
      </w:r>
      <w:proofErr w:type="spellEnd"/>
      <w:r w:rsidR="00013FE7" w:rsidRPr="009C19A1">
        <w:rPr>
          <w:i/>
        </w:rPr>
        <w:t xml:space="preserve"> </w:t>
      </w:r>
      <w:proofErr w:type="spellStart"/>
      <w:r w:rsidR="00013FE7" w:rsidRPr="009C19A1">
        <w:rPr>
          <w:i/>
        </w:rPr>
        <w:t>Database</w:t>
      </w:r>
      <w:proofErr w:type="spellEnd"/>
      <w:r w:rsidR="00013FE7" w:rsidRPr="009C19A1">
        <w:t xml:space="preserve"> – Banco de Dados de Estatísticas do Comércio Internacional das Nações Unidas)</w:t>
      </w:r>
      <w:r w:rsidRPr="009C19A1">
        <w:t xml:space="preserve">. Foram </w:t>
      </w:r>
      <w:r w:rsidR="00013FE7" w:rsidRPr="009C19A1">
        <w:t>necessários</w:t>
      </w:r>
      <w:r w:rsidRPr="009C19A1">
        <w:t xml:space="preserve"> os dados de importação e exportação gerais mundo, e </w:t>
      </w:r>
      <w:r w:rsidR="00013FE7" w:rsidRPr="009C19A1">
        <w:t xml:space="preserve">os dados de importação e exportação da </w:t>
      </w:r>
      <w:r w:rsidR="00013FE7" w:rsidRPr="009C19A1">
        <w:rPr>
          <w:i/>
          <w:iCs/>
        </w:rPr>
        <w:t>commodity</w:t>
      </w:r>
      <w:r w:rsidR="00013FE7" w:rsidRPr="009C19A1">
        <w:t xml:space="preserve"> dos pri</w:t>
      </w:r>
      <w:r w:rsidRPr="009C19A1">
        <w:t xml:space="preserve">ncipais países importadores e exportadores. </w:t>
      </w:r>
      <w:r w:rsidR="00013FE7" w:rsidRPr="009C19A1">
        <w:t xml:space="preserve">Para o valor do </w:t>
      </w:r>
      <w:r w:rsidR="001911D1" w:rsidRPr="009C19A1">
        <w:t>PIB</w:t>
      </w:r>
      <w:r w:rsidR="00013FE7" w:rsidRPr="009C19A1">
        <w:t xml:space="preserve"> (Produto Interno Bruto)</w:t>
      </w:r>
      <w:r w:rsidR="003374E3" w:rsidRPr="009C19A1">
        <w:t xml:space="preserve"> dos países</w:t>
      </w:r>
      <w:r w:rsidR="00013FE7" w:rsidRPr="009C19A1">
        <w:t xml:space="preserve">, foi utilizada a base de dados </w:t>
      </w:r>
      <w:r w:rsidR="00634943" w:rsidRPr="009C19A1">
        <w:t>online d</w:t>
      </w:r>
      <w:r w:rsidR="00013FE7" w:rsidRPr="009C19A1">
        <w:t>o FMI (Fundo Monetário Internacional)</w:t>
      </w:r>
      <w:r w:rsidR="00634943" w:rsidRPr="009C19A1">
        <w:t>.</w:t>
      </w:r>
      <w:r w:rsidR="00C83A44" w:rsidRPr="009C19A1">
        <w:t xml:space="preserve"> </w:t>
      </w:r>
      <w:r w:rsidR="00CF6018" w:rsidRPr="009C19A1">
        <w:t xml:space="preserve">O período analisado foi de 2000 até 2017, por ser </w:t>
      </w:r>
      <w:r w:rsidR="007D1A0B" w:rsidRPr="009C19A1">
        <w:t xml:space="preserve">2017 </w:t>
      </w:r>
      <w:r w:rsidR="00CF6018" w:rsidRPr="009C19A1">
        <w:t xml:space="preserve">o último com </w:t>
      </w:r>
      <w:r w:rsidR="007D1A0B" w:rsidRPr="009C19A1">
        <w:t>a consolidação dos</w:t>
      </w:r>
      <w:r w:rsidR="00CF6018" w:rsidRPr="009C19A1">
        <w:t xml:space="preserve"> </w:t>
      </w:r>
      <w:r w:rsidR="002731CC" w:rsidRPr="009C19A1">
        <w:t>dados disponíveis</w:t>
      </w:r>
      <w:r w:rsidR="00CF6018" w:rsidRPr="009C19A1">
        <w:t>.</w:t>
      </w:r>
    </w:p>
    <w:p w14:paraId="692C4183" w14:textId="77777777" w:rsidR="00DD0E78" w:rsidRPr="009C19A1" w:rsidRDefault="00DD0E78" w:rsidP="002A63B7"/>
    <w:p w14:paraId="61DA2FCE" w14:textId="0A8A95D0" w:rsidR="008D1D0C" w:rsidRPr="009C19A1" w:rsidRDefault="008D1D0C" w:rsidP="002A63B7">
      <w:pPr>
        <w:spacing w:before="240" w:after="240"/>
      </w:pPr>
      <w:r w:rsidRPr="009C19A1">
        <w:rPr>
          <w:b/>
        </w:rPr>
        <w:t>4</w:t>
      </w:r>
      <w:r w:rsidR="007056EC">
        <w:rPr>
          <w:b/>
        </w:rPr>
        <w:t xml:space="preserve"> </w:t>
      </w:r>
      <w:r w:rsidRPr="009C19A1">
        <w:rPr>
          <w:b/>
        </w:rPr>
        <w:t>Apresentação e Análise dos Resultados</w:t>
      </w:r>
    </w:p>
    <w:p w14:paraId="0A68DD49" w14:textId="5215C7E7" w:rsidR="008D1D0C" w:rsidRPr="009C19A1" w:rsidRDefault="008D1D0C" w:rsidP="00A315AA">
      <w:pPr>
        <w:spacing w:line="360" w:lineRule="auto"/>
        <w:ind w:firstLine="709"/>
        <w:jc w:val="both"/>
      </w:pPr>
      <w:r w:rsidRPr="009C19A1">
        <w:t xml:space="preserve">Os resultados obtidos por meio do cálculo do </w:t>
      </w:r>
      <w:r w:rsidRPr="009C19A1">
        <w:rPr>
          <w:i/>
          <w:iCs/>
        </w:rPr>
        <w:t xml:space="preserve">Market </w:t>
      </w:r>
      <w:proofErr w:type="spellStart"/>
      <w:r w:rsidRPr="009C19A1">
        <w:rPr>
          <w:i/>
          <w:iCs/>
        </w:rPr>
        <w:t>Share</w:t>
      </w:r>
      <w:proofErr w:type="spellEnd"/>
      <w:r w:rsidRPr="009C19A1">
        <w:t xml:space="preserve"> mostram que, no ano de 2017, o Brasil ocupou a quarta posição no ranking dos maiores exportadores de algodão em pluma do mundo, estando atrás apenas dos Estados Unidos, Índia e Austrália, respectivamente. A Tabela 1 mostra a evolução da fatia de mercado destes países desde o início do século XXI.</w:t>
      </w:r>
    </w:p>
    <w:p w14:paraId="09C47792" w14:textId="77777777" w:rsidR="00883301" w:rsidRPr="009C19A1" w:rsidRDefault="00883301" w:rsidP="002A63B7"/>
    <w:p w14:paraId="0667060B" w14:textId="77777777" w:rsidR="00A7269C" w:rsidRDefault="008D1D0C" w:rsidP="002A63B7">
      <w:r w:rsidRPr="009C19A1">
        <w:t>Tabela 1</w:t>
      </w:r>
    </w:p>
    <w:p w14:paraId="72316502" w14:textId="3F938868" w:rsidR="008D1D0C" w:rsidRPr="00A7269C" w:rsidRDefault="008D1D0C" w:rsidP="00A7269C">
      <w:pPr>
        <w:jc w:val="both"/>
        <w:rPr>
          <w:b/>
          <w:bCs/>
        </w:rPr>
      </w:pPr>
      <w:r w:rsidRPr="00A7269C">
        <w:rPr>
          <w:b/>
          <w:bCs/>
          <w:i/>
          <w:iCs/>
        </w:rPr>
        <w:t xml:space="preserve">Market </w:t>
      </w:r>
      <w:proofErr w:type="spellStart"/>
      <w:r w:rsidR="00A7269C" w:rsidRPr="00A7269C">
        <w:rPr>
          <w:b/>
          <w:bCs/>
          <w:i/>
          <w:iCs/>
        </w:rPr>
        <w:t>share</w:t>
      </w:r>
      <w:proofErr w:type="spellEnd"/>
      <w:r w:rsidR="00A7269C" w:rsidRPr="00A7269C">
        <w:rPr>
          <w:b/>
          <w:bCs/>
        </w:rPr>
        <w:t xml:space="preserve"> dos principais países exportadores de algodão em pluma </w:t>
      </w:r>
      <w:r w:rsidR="00A43B92" w:rsidRPr="00A7269C">
        <w:rPr>
          <w:b/>
          <w:bCs/>
        </w:rPr>
        <w:t>no período de 2000-2017</w:t>
      </w:r>
      <w:r w:rsidR="00A7269C">
        <w:rPr>
          <w:b/>
          <w:bCs/>
        </w:rPr>
        <w:t xml:space="preserve"> (em %)</w:t>
      </w:r>
    </w:p>
    <w:p w14:paraId="003CDCC7" w14:textId="77777777" w:rsidR="00A7269C" w:rsidRPr="009C19A1" w:rsidRDefault="00A7269C" w:rsidP="002A63B7"/>
    <w:tbl>
      <w:tblPr>
        <w:tblW w:w="9072" w:type="dxa"/>
        <w:tblLayout w:type="fixed"/>
        <w:tblCellMar>
          <w:left w:w="70" w:type="dxa"/>
          <w:right w:w="70" w:type="dxa"/>
        </w:tblCellMar>
        <w:tblLook w:val="04A0" w:firstRow="1" w:lastRow="0" w:firstColumn="1" w:lastColumn="0" w:noHBand="0" w:noVBand="1"/>
      </w:tblPr>
      <w:tblGrid>
        <w:gridCol w:w="1134"/>
        <w:gridCol w:w="1984"/>
        <w:gridCol w:w="1985"/>
        <w:gridCol w:w="1984"/>
        <w:gridCol w:w="1985"/>
      </w:tblGrid>
      <w:tr w:rsidR="008D1D0C" w:rsidRPr="009C19A1" w14:paraId="0F25EE5D" w14:textId="77777777" w:rsidTr="00A7269C">
        <w:trPr>
          <w:trHeight w:val="227"/>
        </w:trPr>
        <w:tc>
          <w:tcPr>
            <w:tcW w:w="1134" w:type="dxa"/>
            <w:tcBorders>
              <w:top w:val="single" w:sz="12" w:space="0" w:color="auto"/>
              <w:left w:val="nil"/>
              <w:bottom w:val="single" w:sz="12" w:space="0" w:color="auto"/>
              <w:right w:val="nil"/>
            </w:tcBorders>
            <w:shd w:val="clear" w:color="auto" w:fill="auto"/>
            <w:noWrap/>
            <w:vAlign w:val="center"/>
            <w:hideMark/>
          </w:tcPr>
          <w:p w14:paraId="6BFCFDA0" w14:textId="77777777" w:rsidR="008D1D0C" w:rsidRPr="009C19A1" w:rsidRDefault="008D1D0C" w:rsidP="00A7269C">
            <w:pPr>
              <w:jc w:val="center"/>
              <w:rPr>
                <w:b/>
              </w:rPr>
            </w:pPr>
            <w:r w:rsidRPr="009C19A1">
              <w:rPr>
                <w:b/>
              </w:rPr>
              <w:t>Período</w:t>
            </w:r>
          </w:p>
        </w:tc>
        <w:tc>
          <w:tcPr>
            <w:tcW w:w="1984" w:type="dxa"/>
            <w:tcBorders>
              <w:top w:val="single" w:sz="12" w:space="0" w:color="auto"/>
              <w:left w:val="nil"/>
              <w:bottom w:val="single" w:sz="12" w:space="0" w:color="auto"/>
              <w:right w:val="nil"/>
            </w:tcBorders>
            <w:shd w:val="clear" w:color="auto" w:fill="auto"/>
            <w:noWrap/>
            <w:vAlign w:val="center"/>
            <w:hideMark/>
          </w:tcPr>
          <w:p w14:paraId="639AE5B9" w14:textId="77777777" w:rsidR="008D1D0C" w:rsidRPr="009C19A1" w:rsidRDefault="008D1D0C" w:rsidP="00A7269C">
            <w:pPr>
              <w:jc w:val="center"/>
              <w:rPr>
                <w:b/>
                <w:color w:val="000000"/>
              </w:rPr>
            </w:pPr>
            <w:r w:rsidRPr="009C19A1">
              <w:rPr>
                <w:b/>
                <w:color w:val="000000"/>
              </w:rPr>
              <w:t>Brasil</w:t>
            </w:r>
          </w:p>
        </w:tc>
        <w:tc>
          <w:tcPr>
            <w:tcW w:w="1985" w:type="dxa"/>
            <w:tcBorders>
              <w:top w:val="single" w:sz="12" w:space="0" w:color="auto"/>
              <w:left w:val="nil"/>
              <w:bottom w:val="single" w:sz="12" w:space="0" w:color="auto"/>
              <w:right w:val="nil"/>
            </w:tcBorders>
            <w:shd w:val="clear" w:color="auto" w:fill="auto"/>
            <w:noWrap/>
            <w:vAlign w:val="center"/>
            <w:hideMark/>
          </w:tcPr>
          <w:p w14:paraId="486BDB20" w14:textId="77777777" w:rsidR="008D1D0C" w:rsidRPr="009C19A1" w:rsidRDefault="008D1D0C" w:rsidP="00A7269C">
            <w:pPr>
              <w:jc w:val="center"/>
              <w:rPr>
                <w:b/>
                <w:color w:val="000000"/>
              </w:rPr>
            </w:pPr>
            <w:r w:rsidRPr="009C19A1">
              <w:rPr>
                <w:b/>
                <w:color w:val="000000"/>
              </w:rPr>
              <w:t>EUA</w:t>
            </w:r>
          </w:p>
        </w:tc>
        <w:tc>
          <w:tcPr>
            <w:tcW w:w="1984" w:type="dxa"/>
            <w:tcBorders>
              <w:top w:val="single" w:sz="12" w:space="0" w:color="auto"/>
              <w:left w:val="nil"/>
              <w:bottom w:val="single" w:sz="12" w:space="0" w:color="auto"/>
              <w:right w:val="nil"/>
            </w:tcBorders>
            <w:shd w:val="clear" w:color="auto" w:fill="auto"/>
            <w:noWrap/>
            <w:vAlign w:val="center"/>
            <w:hideMark/>
          </w:tcPr>
          <w:p w14:paraId="6CC22A32" w14:textId="77777777" w:rsidR="008D1D0C" w:rsidRPr="009C19A1" w:rsidRDefault="008D1D0C" w:rsidP="00A7269C">
            <w:pPr>
              <w:jc w:val="center"/>
              <w:rPr>
                <w:b/>
                <w:color w:val="000000"/>
              </w:rPr>
            </w:pPr>
            <w:r w:rsidRPr="009C19A1">
              <w:rPr>
                <w:b/>
                <w:color w:val="000000"/>
              </w:rPr>
              <w:t>Índia</w:t>
            </w:r>
          </w:p>
        </w:tc>
        <w:tc>
          <w:tcPr>
            <w:tcW w:w="1985" w:type="dxa"/>
            <w:tcBorders>
              <w:top w:val="single" w:sz="12" w:space="0" w:color="auto"/>
              <w:left w:val="nil"/>
              <w:bottom w:val="single" w:sz="12" w:space="0" w:color="auto"/>
              <w:right w:val="nil"/>
            </w:tcBorders>
            <w:shd w:val="clear" w:color="auto" w:fill="auto"/>
            <w:noWrap/>
            <w:vAlign w:val="center"/>
            <w:hideMark/>
          </w:tcPr>
          <w:p w14:paraId="6FD9BC9E" w14:textId="77777777" w:rsidR="008D1D0C" w:rsidRPr="009C19A1" w:rsidRDefault="008D1D0C" w:rsidP="00A7269C">
            <w:pPr>
              <w:jc w:val="center"/>
              <w:rPr>
                <w:b/>
                <w:color w:val="000000"/>
              </w:rPr>
            </w:pPr>
            <w:r w:rsidRPr="009C19A1">
              <w:rPr>
                <w:b/>
                <w:color w:val="000000"/>
              </w:rPr>
              <w:t>Austrália</w:t>
            </w:r>
          </w:p>
        </w:tc>
      </w:tr>
      <w:tr w:rsidR="008D1D0C" w:rsidRPr="009C19A1" w14:paraId="10953407" w14:textId="77777777" w:rsidTr="00A7269C">
        <w:trPr>
          <w:trHeight w:val="227"/>
        </w:trPr>
        <w:tc>
          <w:tcPr>
            <w:tcW w:w="1134" w:type="dxa"/>
            <w:tcBorders>
              <w:top w:val="single" w:sz="12" w:space="0" w:color="auto"/>
              <w:left w:val="nil"/>
              <w:bottom w:val="nil"/>
              <w:right w:val="nil"/>
            </w:tcBorders>
            <w:shd w:val="clear" w:color="auto" w:fill="auto"/>
            <w:noWrap/>
            <w:vAlign w:val="bottom"/>
            <w:hideMark/>
          </w:tcPr>
          <w:p w14:paraId="3D362E17" w14:textId="77777777" w:rsidR="008D1D0C" w:rsidRPr="009C19A1" w:rsidRDefault="008D1D0C" w:rsidP="00A7269C">
            <w:pPr>
              <w:jc w:val="center"/>
              <w:rPr>
                <w:color w:val="000000"/>
              </w:rPr>
            </w:pPr>
            <w:r w:rsidRPr="009C19A1">
              <w:rPr>
                <w:color w:val="000000"/>
              </w:rPr>
              <w:t>2000</w:t>
            </w:r>
          </w:p>
        </w:tc>
        <w:tc>
          <w:tcPr>
            <w:tcW w:w="1984" w:type="dxa"/>
            <w:tcBorders>
              <w:top w:val="single" w:sz="12" w:space="0" w:color="auto"/>
              <w:left w:val="nil"/>
              <w:bottom w:val="nil"/>
              <w:right w:val="nil"/>
            </w:tcBorders>
            <w:shd w:val="clear" w:color="auto" w:fill="auto"/>
            <w:noWrap/>
            <w:vAlign w:val="bottom"/>
            <w:hideMark/>
          </w:tcPr>
          <w:p w14:paraId="62930D0F" w14:textId="19E4E2CA" w:rsidR="008D1D0C" w:rsidRPr="009C19A1" w:rsidRDefault="008D1D0C" w:rsidP="00A7269C">
            <w:pPr>
              <w:ind w:right="785"/>
              <w:jc w:val="right"/>
              <w:rPr>
                <w:color w:val="000000"/>
              </w:rPr>
            </w:pPr>
            <w:r w:rsidRPr="009C19A1">
              <w:rPr>
                <w:color w:val="000000"/>
              </w:rPr>
              <w:t>0,50</w:t>
            </w:r>
          </w:p>
        </w:tc>
        <w:tc>
          <w:tcPr>
            <w:tcW w:w="1985" w:type="dxa"/>
            <w:tcBorders>
              <w:top w:val="single" w:sz="12" w:space="0" w:color="auto"/>
              <w:left w:val="nil"/>
              <w:bottom w:val="nil"/>
              <w:right w:val="nil"/>
            </w:tcBorders>
            <w:shd w:val="clear" w:color="auto" w:fill="auto"/>
            <w:noWrap/>
            <w:vAlign w:val="bottom"/>
            <w:hideMark/>
          </w:tcPr>
          <w:p w14:paraId="3E68D716" w14:textId="7CDD0D29" w:rsidR="008D1D0C" w:rsidRPr="009C19A1" w:rsidRDefault="008D1D0C" w:rsidP="00A7269C">
            <w:pPr>
              <w:ind w:right="785"/>
              <w:jc w:val="right"/>
              <w:rPr>
                <w:color w:val="000000"/>
              </w:rPr>
            </w:pPr>
            <w:r w:rsidRPr="009C19A1">
              <w:rPr>
                <w:color w:val="000000"/>
              </w:rPr>
              <w:t>29,97</w:t>
            </w:r>
          </w:p>
        </w:tc>
        <w:tc>
          <w:tcPr>
            <w:tcW w:w="1984" w:type="dxa"/>
            <w:tcBorders>
              <w:top w:val="single" w:sz="12" w:space="0" w:color="auto"/>
              <w:left w:val="nil"/>
              <w:bottom w:val="nil"/>
              <w:right w:val="nil"/>
            </w:tcBorders>
            <w:shd w:val="clear" w:color="auto" w:fill="auto"/>
            <w:noWrap/>
            <w:vAlign w:val="bottom"/>
            <w:hideMark/>
          </w:tcPr>
          <w:p w14:paraId="57102A47" w14:textId="474EDD6C" w:rsidR="008D1D0C" w:rsidRPr="009C19A1" w:rsidRDefault="008D1D0C" w:rsidP="00A7269C">
            <w:pPr>
              <w:ind w:right="785"/>
              <w:jc w:val="right"/>
              <w:rPr>
                <w:color w:val="000000"/>
              </w:rPr>
            </w:pPr>
            <w:r w:rsidRPr="009C19A1">
              <w:rPr>
                <w:color w:val="000000"/>
              </w:rPr>
              <w:t>0,14</w:t>
            </w:r>
          </w:p>
        </w:tc>
        <w:tc>
          <w:tcPr>
            <w:tcW w:w="1985" w:type="dxa"/>
            <w:tcBorders>
              <w:top w:val="single" w:sz="12" w:space="0" w:color="auto"/>
              <w:left w:val="nil"/>
              <w:bottom w:val="nil"/>
              <w:right w:val="nil"/>
            </w:tcBorders>
            <w:shd w:val="clear" w:color="auto" w:fill="auto"/>
            <w:noWrap/>
            <w:vAlign w:val="bottom"/>
            <w:hideMark/>
          </w:tcPr>
          <w:p w14:paraId="2232C3FB" w14:textId="37915812" w:rsidR="008D1D0C" w:rsidRPr="009C19A1" w:rsidRDefault="008D1D0C" w:rsidP="00A7269C">
            <w:pPr>
              <w:ind w:right="785"/>
              <w:jc w:val="right"/>
              <w:rPr>
                <w:color w:val="000000"/>
              </w:rPr>
            </w:pPr>
            <w:r w:rsidRPr="009C19A1">
              <w:rPr>
                <w:color w:val="000000"/>
              </w:rPr>
              <w:t>13,93</w:t>
            </w:r>
          </w:p>
        </w:tc>
      </w:tr>
      <w:tr w:rsidR="008D1D0C" w:rsidRPr="009C19A1" w14:paraId="04135B00" w14:textId="77777777" w:rsidTr="00A7269C">
        <w:trPr>
          <w:trHeight w:val="227"/>
        </w:trPr>
        <w:tc>
          <w:tcPr>
            <w:tcW w:w="1134" w:type="dxa"/>
            <w:tcBorders>
              <w:top w:val="nil"/>
              <w:left w:val="nil"/>
              <w:bottom w:val="nil"/>
              <w:right w:val="nil"/>
            </w:tcBorders>
            <w:shd w:val="clear" w:color="auto" w:fill="auto"/>
            <w:noWrap/>
            <w:vAlign w:val="bottom"/>
            <w:hideMark/>
          </w:tcPr>
          <w:p w14:paraId="46F99ABA" w14:textId="77777777" w:rsidR="008D1D0C" w:rsidRPr="009C19A1" w:rsidRDefault="008D1D0C" w:rsidP="00A7269C">
            <w:pPr>
              <w:jc w:val="center"/>
              <w:rPr>
                <w:color w:val="000000"/>
              </w:rPr>
            </w:pPr>
            <w:r w:rsidRPr="009C19A1">
              <w:rPr>
                <w:color w:val="000000"/>
              </w:rPr>
              <w:t>2001</w:t>
            </w:r>
          </w:p>
        </w:tc>
        <w:tc>
          <w:tcPr>
            <w:tcW w:w="1984" w:type="dxa"/>
            <w:tcBorders>
              <w:top w:val="nil"/>
              <w:left w:val="nil"/>
              <w:bottom w:val="nil"/>
              <w:right w:val="nil"/>
            </w:tcBorders>
            <w:shd w:val="clear" w:color="auto" w:fill="auto"/>
            <w:noWrap/>
            <w:vAlign w:val="bottom"/>
            <w:hideMark/>
          </w:tcPr>
          <w:p w14:paraId="70B1B586" w14:textId="5DEC6A3A" w:rsidR="008D1D0C" w:rsidRPr="009C19A1" w:rsidRDefault="008D1D0C" w:rsidP="00A7269C">
            <w:pPr>
              <w:ind w:right="785"/>
              <w:jc w:val="right"/>
              <w:rPr>
                <w:color w:val="000000"/>
              </w:rPr>
            </w:pPr>
            <w:r w:rsidRPr="009C19A1">
              <w:rPr>
                <w:color w:val="000000"/>
              </w:rPr>
              <w:t>2,57</w:t>
            </w:r>
          </w:p>
        </w:tc>
        <w:tc>
          <w:tcPr>
            <w:tcW w:w="1985" w:type="dxa"/>
            <w:tcBorders>
              <w:top w:val="nil"/>
              <w:left w:val="nil"/>
              <w:bottom w:val="nil"/>
              <w:right w:val="nil"/>
            </w:tcBorders>
            <w:shd w:val="clear" w:color="auto" w:fill="auto"/>
            <w:noWrap/>
            <w:vAlign w:val="bottom"/>
            <w:hideMark/>
          </w:tcPr>
          <w:p w14:paraId="6C8DBB5B" w14:textId="51B41C0B" w:rsidR="008D1D0C" w:rsidRPr="009C19A1" w:rsidRDefault="008D1D0C" w:rsidP="00A7269C">
            <w:pPr>
              <w:ind w:right="785"/>
              <w:jc w:val="right"/>
              <w:rPr>
                <w:color w:val="000000"/>
              </w:rPr>
            </w:pPr>
            <w:r w:rsidRPr="009C19A1">
              <w:rPr>
                <w:color w:val="000000"/>
              </w:rPr>
              <w:t>36,06</w:t>
            </w:r>
          </w:p>
        </w:tc>
        <w:tc>
          <w:tcPr>
            <w:tcW w:w="1984" w:type="dxa"/>
            <w:tcBorders>
              <w:top w:val="nil"/>
              <w:left w:val="nil"/>
              <w:bottom w:val="nil"/>
              <w:right w:val="nil"/>
            </w:tcBorders>
            <w:shd w:val="clear" w:color="auto" w:fill="auto"/>
            <w:noWrap/>
            <w:vAlign w:val="bottom"/>
            <w:hideMark/>
          </w:tcPr>
          <w:p w14:paraId="14597EA2" w14:textId="05A4BE32" w:rsidR="008D1D0C" w:rsidRPr="009C19A1" w:rsidRDefault="008D1D0C" w:rsidP="00A7269C">
            <w:pPr>
              <w:ind w:right="785"/>
              <w:jc w:val="right"/>
              <w:rPr>
                <w:color w:val="000000"/>
              </w:rPr>
            </w:pPr>
            <w:r w:rsidRPr="009C19A1">
              <w:rPr>
                <w:color w:val="000000"/>
              </w:rPr>
              <w:t>0,17</w:t>
            </w:r>
          </w:p>
        </w:tc>
        <w:tc>
          <w:tcPr>
            <w:tcW w:w="1985" w:type="dxa"/>
            <w:tcBorders>
              <w:top w:val="nil"/>
              <w:left w:val="nil"/>
              <w:bottom w:val="nil"/>
              <w:right w:val="nil"/>
            </w:tcBorders>
            <w:shd w:val="clear" w:color="auto" w:fill="auto"/>
            <w:noWrap/>
            <w:vAlign w:val="bottom"/>
            <w:hideMark/>
          </w:tcPr>
          <w:p w14:paraId="485BC7F8" w14:textId="1C2142BB" w:rsidR="008D1D0C" w:rsidRPr="009C19A1" w:rsidRDefault="008D1D0C" w:rsidP="00A7269C">
            <w:pPr>
              <w:ind w:right="785"/>
              <w:jc w:val="right"/>
              <w:rPr>
                <w:color w:val="000000"/>
              </w:rPr>
            </w:pPr>
            <w:r w:rsidRPr="009C19A1">
              <w:rPr>
                <w:color w:val="000000"/>
              </w:rPr>
              <w:t>17,16</w:t>
            </w:r>
          </w:p>
        </w:tc>
      </w:tr>
      <w:tr w:rsidR="008D1D0C" w:rsidRPr="009C19A1" w14:paraId="26A866DC" w14:textId="77777777" w:rsidTr="00A7269C">
        <w:trPr>
          <w:trHeight w:val="227"/>
        </w:trPr>
        <w:tc>
          <w:tcPr>
            <w:tcW w:w="1134" w:type="dxa"/>
            <w:tcBorders>
              <w:top w:val="nil"/>
              <w:left w:val="nil"/>
              <w:bottom w:val="nil"/>
              <w:right w:val="nil"/>
            </w:tcBorders>
            <w:shd w:val="clear" w:color="auto" w:fill="auto"/>
            <w:noWrap/>
            <w:vAlign w:val="bottom"/>
            <w:hideMark/>
          </w:tcPr>
          <w:p w14:paraId="7596C3AC" w14:textId="77777777" w:rsidR="008D1D0C" w:rsidRPr="009C19A1" w:rsidRDefault="008D1D0C" w:rsidP="00A7269C">
            <w:pPr>
              <w:jc w:val="center"/>
              <w:rPr>
                <w:color w:val="000000"/>
              </w:rPr>
            </w:pPr>
            <w:r w:rsidRPr="009C19A1">
              <w:rPr>
                <w:color w:val="000000"/>
              </w:rPr>
              <w:t>2002</w:t>
            </w:r>
          </w:p>
        </w:tc>
        <w:tc>
          <w:tcPr>
            <w:tcW w:w="1984" w:type="dxa"/>
            <w:tcBorders>
              <w:top w:val="nil"/>
              <w:left w:val="nil"/>
              <w:bottom w:val="nil"/>
              <w:right w:val="nil"/>
            </w:tcBorders>
            <w:shd w:val="clear" w:color="auto" w:fill="auto"/>
            <w:noWrap/>
            <w:vAlign w:val="bottom"/>
            <w:hideMark/>
          </w:tcPr>
          <w:p w14:paraId="33DD91ED" w14:textId="4309CD1C" w:rsidR="008D1D0C" w:rsidRPr="009C19A1" w:rsidRDefault="008D1D0C" w:rsidP="00A7269C">
            <w:pPr>
              <w:ind w:right="785"/>
              <w:jc w:val="right"/>
              <w:rPr>
                <w:color w:val="000000"/>
              </w:rPr>
            </w:pPr>
            <w:r w:rsidRPr="009C19A1">
              <w:rPr>
                <w:color w:val="000000"/>
              </w:rPr>
              <w:t>1,66</w:t>
            </w:r>
          </w:p>
        </w:tc>
        <w:tc>
          <w:tcPr>
            <w:tcW w:w="1985" w:type="dxa"/>
            <w:tcBorders>
              <w:top w:val="nil"/>
              <w:left w:val="nil"/>
              <w:bottom w:val="nil"/>
              <w:right w:val="nil"/>
            </w:tcBorders>
            <w:shd w:val="clear" w:color="auto" w:fill="auto"/>
            <w:noWrap/>
            <w:vAlign w:val="bottom"/>
            <w:hideMark/>
          </w:tcPr>
          <w:p w14:paraId="5633EF10" w14:textId="6A0E8875" w:rsidR="008D1D0C" w:rsidRPr="009C19A1" w:rsidRDefault="008D1D0C" w:rsidP="00A7269C">
            <w:pPr>
              <w:ind w:right="785"/>
              <w:jc w:val="right"/>
              <w:rPr>
                <w:color w:val="000000"/>
              </w:rPr>
            </w:pPr>
            <w:r w:rsidRPr="009C19A1">
              <w:rPr>
                <w:color w:val="000000"/>
              </w:rPr>
              <w:t>36,27</w:t>
            </w:r>
          </w:p>
        </w:tc>
        <w:tc>
          <w:tcPr>
            <w:tcW w:w="1984" w:type="dxa"/>
            <w:tcBorders>
              <w:top w:val="nil"/>
              <w:left w:val="nil"/>
              <w:bottom w:val="nil"/>
              <w:right w:val="nil"/>
            </w:tcBorders>
            <w:shd w:val="clear" w:color="auto" w:fill="auto"/>
            <w:noWrap/>
            <w:vAlign w:val="bottom"/>
            <w:hideMark/>
          </w:tcPr>
          <w:p w14:paraId="21671AF9" w14:textId="4A95CFD0" w:rsidR="008D1D0C" w:rsidRPr="009C19A1" w:rsidRDefault="008D1D0C" w:rsidP="00A7269C">
            <w:pPr>
              <w:ind w:right="785"/>
              <w:jc w:val="right"/>
              <w:rPr>
                <w:color w:val="000000"/>
              </w:rPr>
            </w:pPr>
            <w:r w:rsidRPr="009C19A1">
              <w:rPr>
                <w:color w:val="000000"/>
              </w:rPr>
              <w:t>0,12</w:t>
            </w:r>
          </w:p>
        </w:tc>
        <w:tc>
          <w:tcPr>
            <w:tcW w:w="1985" w:type="dxa"/>
            <w:tcBorders>
              <w:top w:val="nil"/>
              <w:left w:val="nil"/>
              <w:bottom w:val="nil"/>
              <w:right w:val="nil"/>
            </w:tcBorders>
            <w:shd w:val="clear" w:color="auto" w:fill="auto"/>
            <w:noWrap/>
            <w:vAlign w:val="bottom"/>
            <w:hideMark/>
          </w:tcPr>
          <w:p w14:paraId="0B8273FD" w14:textId="70523A32" w:rsidR="008D1D0C" w:rsidRPr="009C19A1" w:rsidRDefault="008D1D0C" w:rsidP="00A7269C">
            <w:pPr>
              <w:ind w:right="785"/>
              <w:jc w:val="right"/>
              <w:rPr>
                <w:color w:val="000000"/>
              </w:rPr>
            </w:pPr>
            <w:r w:rsidRPr="009C19A1">
              <w:rPr>
                <w:color w:val="000000"/>
              </w:rPr>
              <w:t>12,04</w:t>
            </w:r>
          </w:p>
        </w:tc>
      </w:tr>
      <w:tr w:rsidR="008D1D0C" w:rsidRPr="009C19A1" w14:paraId="2CF10B03" w14:textId="77777777" w:rsidTr="00A7269C">
        <w:trPr>
          <w:trHeight w:val="227"/>
        </w:trPr>
        <w:tc>
          <w:tcPr>
            <w:tcW w:w="1134" w:type="dxa"/>
            <w:tcBorders>
              <w:top w:val="nil"/>
              <w:left w:val="nil"/>
              <w:bottom w:val="nil"/>
              <w:right w:val="nil"/>
            </w:tcBorders>
            <w:shd w:val="clear" w:color="auto" w:fill="auto"/>
            <w:noWrap/>
            <w:vAlign w:val="bottom"/>
            <w:hideMark/>
          </w:tcPr>
          <w:p w14:paraId="257ED75F" w14:textId="77777777" w:rsidR="008D1D0C" w:rsidRPr="009C19A1" w:rsidRDefault="008D1D0C" w:rsidP="00A7269C">
            <w:pPr>
              <w:jc w:val="center"/>
              <w:rPr>
                <w:color w:val="000000"/>
              </w:rPr>
            </w:pPr>
            <w:r w:rsidRPr="009C19A1">
              <w:rPr>
                <w:color w:val="000000"/>
              </w:rPr>
              <w:t>2003</w:t>
            </w:r>
          </w:p>
        </w:tc>
        <w:tc>
          <w:tcPr>
            <w:tcW w:w="1984" w:type="dxa"/>
            <w:tcBorders>
              <w:top w:val="nil"/>
              <w:left w:val="nil"/>
              <w:bottom w:val="nil"/>
              <w:right w:val="nil"/>
            </w:tcBorders>
            <w:shd w:val="clear" w:color="auto" w:fill="auto"/>
            <w:noWrap/>
            <w:vAlign w:val="bottom"/>
            <w:hideMark/>
          </w:tcPr>
          <w:p w14:paraId="0E191C00" w14:textId="1D8F95FD" w:rsidR="008D1D0C" w:rsidRPr="009C19A1" w:rsidRDefault="008D1D0C" w:rsidP="00A7269C">
            <w:pPr>
              <w:ind w:right="785"/>
              <w:jc w:val="right"/>
              <w:rPr>
                <w:color w:val="000000"/>
              </w:rPr>
            </w:pPr>
            <w:r w:rsidRPr="009C19A1">
              <w:rPr>
                <w:color w:val="000000"/>
              </w:rPr>
              <w:t>2,48</w:t>
            </w:r>
          </w:p>
        </w:tc>
        <w:tc>
          <w:tcPr>
            <w:tcW w:w="1985" w:type="dxa"/>
            <w:tcBorders>
              <w:top w:val="nil"/>
              <w:left w:val="nil"/>
              <w:bottom w:val="nil"/>
              <w:right w:val="nil"/>
            </w:tcBorders>
            <w:shd w:val="clear" w:color="auto" w:fill="auto"/>
            <w:noWrap/>
            <w:vAlign w:val="bottom"/>
            <w:hideMark/>
          </w:tcPr>
          <w:p w14:paraId="7453E039" w14:textId="2879CE46" w:rsidR="008D1D0C" w:rsidRPr="009C19A1" w:rsidRDefault="008D1D0C" w:rsidP="00A7269C">
            <w:pPr>
              <w:ind w:right="785"/>
              <w:jc w:val="right"/>
              <w:rPr>
                <w:color w:val="000000"/>
              </w:rPr>
            </w:pPr>
            <w:r w:rsidRPr="009C19A1">
              <w:rPr>
                <w:color w:val="000000"/>
              </w:rPr>
              <w:t>44,35</w:t>
            </w:r>
          </w:p>
        </w:tc>
        <w:tc>
          <w:tcPr>
            <w:tcW w:w="1984" w:type="dxa"/>
            <w:tcBorders>
              <w:top w:val="nil"/>
              <w:left w:val="nil"/>
              <w:bottom w:val="nil"/>
              <w:right w:val="nil"/>
            </w:tcBorders>
            <w:shd w:val="clear" w:color="auto" w:fill="auto"/>
            <w:noWrap/>
            <w:vAlign w:val="bottom"/>
            <w:hideMark/>
          </w:tcPr>
          <w:p w14:paraId="50CDDBB3" w14:textId="63EB1238" w:rsidR="008D1D0C" w:rsidRPr="009C19A1" w:rsidRDefault="008D1D0C" w:rsidP="00A7269C">
            <w:pPr>
              <w:ind w:right="785"/>
              <w:jc w:val="right"/>
              <w:rPr>
                <w:color w:val="000000"/>
              </w:rPr>
            </w:pPr>
            <w:r w:rsidRPr="009C19A1">
              <w:rPr>
                <w:color w:val="000000"/>
              </w:rPr>
              <w:t>0,48</w:t>
            </w:r>
          </w:p>
        </w:tc>
        <w:tc>
          <w:tcPr>
            <w:tcW w:w="1985" w:type="dxa"/>
            <w:tcBorders>
              <w:top w:val="nil"/>
              <w:left w:val="nil"/>
              <w:bottom w:val="nil"/>
              <w:right w:val="nil"/>
            </w:tcBorders>
            <w:shd w:val="clear" w:color="auto" w:fill="auto"/>
            <w:noWrap/>
            <w:vAlign w:val="bottom"/>
            <w:hideMark/>
          </w:tcPr>
          <w:p w14:paraId="04723893" w14:textId="4C26D06D" w:rsidR="008D1D0C" w:rsidRPr="009C19A1" w:rsidRDefault="008D1D0C" w:rsidP="00A7269C">
            <w:pPr>
              <w:ind w:right="785"/>
              <w:jc w:val="right"/>
              <w:rPr>
                <w:color w:val="000000"/>
              </w:rPr>
            </w:pPr>
            <w:r w:rsidRPr="009C19A1">
              <w:rPr>
                <w:color w:val="000000"/>
              </w:rPr>
              <w:t>7,83</w:t>
            </w:r>
          </w:p>
        </w:tc>
      </w:tr>
      <w:tr w:rsidR="008D1D0C" w:rsidRPr="009C19A1" w14:paraId="0E16E014" w14:textId="77777777" w:rsidTr="00A7269C">
        <w:trPr>
          <w:trHeight w:val="227"/>
        </w:trPr>
        <w:tc>
          <w:tcPr>
            <w:tcW w:w="1134" w:type="dxa"/>
            <w:tcBorders>
              <w:top w:val="nil"/>
              <w:left w:val="nil"/>
              <w:bottom w:val="nil"/>
              <w:right w:val="nil"/>
            </w:tcBorders>
            <w:shd w:val="clear" w:color="auto" w:fill="auto"/>
            <w:noWrap/>
            <w:vAlign w:val="bottom"/>
            <w:hideMark/>
          </w:tcPr>
          <w:p w14:paraId="364040FE" w14:textId="77777777" w:rsidR="008D1D0C" w:rsidRPr="009C19A1" w:rsidRDefault="008D1D0C" w:rsidP="00A7269C">
            <w:pPr>
              <w:jc w:val="center"/>
              <w:rPr>
                <w:color w:val="000000"/>
              </w:rPr>
            </w:pPr>
            <w:r w:rsidRPr="009C19A1">
              <w:rPr>
                <w:color w:val="000000"/>
              </w:rPr>
              <w:t>2004</w:t>
            </w:r>
          </w:p>
        </w:tc>
        <w:tc>
          <w:tcPr>
            <w:tcW w:w="1984" w:type="dxa"/>
            <w:tcBorders>
              <w:top w:val="nil"/>
              <w:left w:val="nil"/>
              <w:bottom w:val="nil"/>
              <w:right w:val="nil"/>
            </w:tcBorders>
            <w:shd w:val="clear" w:color="auto" w:fill="auto"/>
            <w:noWrap/>
            <w:vAlign w:val="bottom"/>
            <w:hideMark/>
          </w:tcPr>
          <w:p w14:paraId="5A0A0E03" w14:textId="0816B686" w:rsidR="008D1D0C" w:rsidRPr="009C19A1" w:rsidRDefault="008D1D0C" w:rsidP="00A7269C">
            <w:pPr>
              <w:ind w:right="785"/>
              <w:jc w:val="right"/>
              <w:rPr>
                <w:color w:val="000000"/>
              </w:rPr>
            </w:pPr>
            <w:r w:rsidRPr="009C19A1">
              <w:rPr>
                <w:color w:val="000000"/>
              </w:rPr>
              <w:t>4,18</w:t>
            </w:r>
          </w:p>
        </w:tc>
        <w:tc>
          <w:tcPr>
            <w:tcW w:w="1985" w:type="dxa"/>
            <w:tcBorders>
              <w:top w:val="nil"/>
              <w:left w:val="nil"/>
              <w:bottom w:val="nil"/>
              <w:right w:val="nil"/>
            </w:tcBorders>
            <w:shd w:val="clear" w:color="auto" w:fill="auto"/>
            <w:noWrap/>
            <w:vAlign w:val="bottom"/>
            <w:hideMark/>
          </w:tcPr>
          <w:p w14:paraId="4EC87CB4" w14:textId="6A64ECBF" w:rsidR="008D1D0C" w:rsidRPr="009C19A1" w:rsidRDefault="008D1D0C" w:rsidP="00A7269C">
            <w:pPr>
              <w:ind w:right="785"/>
              <w:jc w:val="right"/>
              <w:rPr>
                <w:color w:val="000000"/>
              </w:rPr>
            </w:pPr>
            <w:r w:rsidRPr="009C19A1">
              <w:rPr>
                <w:color w:val="000000"/>
              </w:rPr>
              <w:t>43,77</w:t>
            </w:r>
          </w:p>
        </w:tc>
        <w:tc>
          <w:tcPr>
            <w:tcW w:w="1984" w:type="dxa"/>
            <w:tcBorders>
              <w:top w:val="nil"/>
              <w:left w:val="nil"/>
              <w:bottom w:val="nil"/>
              <w:right w:val="nil"/>
            </w:tcBorders>
            <w:shd w:val="clear" w:color="auto" w:fill="auto"/>
            <w:noWrap/>
            <w:vAlign w:val="bottom"/>
            <w:hideMark/>
          </w:tcPr>
          <w:p w14:paraId="7C64E9A4" w14:textId="3CDB52D3" w:rsidR="008D1D0C" w:rsidRPr="009C19A1" w:rsidRDefault="008D1D0C" w:rsidP="00A7269C">
            <w:pPr>
              <w:ind w:right="785"/>
              <w:jc w:val="right"/>
              <w:rPr>
                <w:color w:val="000000"/>
              </w:rPr>
            </w:pPr>
            <w:r w:rsidRPr="009C19A1">
              <w:rPr>
                <w:color w:val="000000"/>
              </w:rPr>
              <w:t>1,86</w:t>
            </w:r>
          </w:p>
        </w:tc>
        <w:tc>
          <w:tcPr>
            <w:tcW w:w="1985" w:type="dxa"/>
            <w:tcBorders>
              <w:top w:val="nil"/>
              <w:left w:val="nil"/>
              <w:bottom w:val="nil"/>
              <w:right w:val="nil"/>
            </w:tcBorders>
            <w:shd w:val="clear" w:color="auto" w:fill="auto"/>
            <w:noWrap/>
            <w:vAlign w:val="bottom"/>
            <w:hideMark/>
          </w:tcPr>
          <w:p w14:paraId="46643A21" w14:textId="450530A9" w:rsidR="008D1D0C" w:rsidRPr="009C19A1" w:rsidRDefault="008D1D0C" w:rsidP="00A7269C">
            <w:pPr>
              <w:ind w:right="785"/>
              <w:jc w:val="right"/>
              <w:rPr>
                <w:color w:val="000000"/>
              </w:rPr>
            </w:pPr>
            <w:r w:rsidRPr="009C19A1">
              <w:rPr>
                <w:color w:val="000000"/>
              </w:rPr>
              <w:t>7,32</w:t>
            </w:r>
          </w:p>
        </w:tc>
      </w:tr>
      <w:tr w:rsidR="008D1D0C" w:rsidRPr="009C19A1" w14:paraId="3BDD7695" w14:textId="77777777" w:rsidTr="00A7269C">
        <w:trPr>
          <w:trHeight w:val="227"/>
        </w:trPr>
        <w:tc>
          <w:tcPr>
            <w:tcW w:w="1134" w:type="dxa"/>
            <w:tcBorders>
              <w:top w:val="nil"/>
              <w:left w:val="nil"/>
              <w:bottom w:val="nil"/>
              <w:right w:val="nil"/>
            </w:tcBorders>
            <w:shd w:val="clear" w:color="auto" w:fill="auto"/>
            <w:noWrap/>
            <w:vAlign w:val="bottom"/>
            <w:hideMark/>
          </w:tcPr>
          <w:p w14:paraId="1E9F1BCF" w14:textId="77777777" w:rsidR="008D1D0C" w:rsidRPr="009C19A1" w:rsidRDefault="008D1D0C" w:rsidP="00A7269C">
            <w:pPr>
              <w:jc w:val="center"/>
              <w:rPr>
                <w:color w:val="000000"/>
              </w:rPr>
            </w:pPr>
            <w:r w:rsidRPr="009C19A1">
              <w:rPr>
                <w:color w:val="000000"/>
              </w:rPr>
              <w:t>2005</w:t>
            </w:r>
          </w:p>
        </w:tc>
        <w:tc>
          <w:tcPr>
            <w:tcW w:w="1984" w:type="dxa"/>
            <w:tcBorders>
              <w:top w:val="nil"/>
              <w:left w:val="nil"/>
              <w:bottom w:val="nil"/>
              <w:right w:val="nil"/>
            </w:tcBorders>
            <w:shd w:val="clear" w:color="auto" w:fill="auto"/>
            <w:noWrap/>
            <w:vAlign w:val="bottom"/>
            <w:hideMark/>
          </w:tcPr>
          <w:p w14:paraId="58FAA50C" w14:textId="73288C39" w:rsidR="008D1D0C" w:rsidRPr="009C19A1" w:rsidRDefault="008D1D0C" w:rsidP="00A7269C">
            <w:pPr>
              <w:ind w:right="785"/>
              <w:jc w:val="right"/>
              <w:rPr>
                <w:color w:val="000000"/>
              </w:rPr>
            </w:pPr>
            <w:r w:rsidRPr="009C19A1">
              <w:rPr>
                <w:color w:val="000000"/>
              </w:rPr>
              <w:t>5,42</w:t>
            </w:r>
          </w:p>
        </w:tc>
        <w:tc>
          <w:tcPr>
            <w:tcW w:w="1985" w:type="dxa"/>
            <w:tcBorders>
              <w:top w:val="nil"/>
              <w:left w:val="nil"/>
              <w:bottom w:val="nil"/>
              <w:right w:val="nil"/>
            </w:tcBorders>
            <w:shd w:val="clear" w:color="auto" w:fill="auto"/>
            <w:noWrap/>
            <w:vAlign w:val="bottom"/>
            <w:hideMark/>
          </w:tcPr>
          <w:p w14:paraId="229A96D3" w14:textId="759855D3" w:rsidR="008D1D0C" w:rsidRPr="009C19A1" w:rsidRDefault="008D1D0C" w:rsidP="00A7269C">
            <w:pPr>
              <w:ind w:right="785"/>
              <w:jc w:val="right"/>
              <w:rPr>
                <w:color w:val="000000"/>
              </w:rPr>
            </w:pPr>
            <w:r w:rsidRPr="009C19A1">
              <w:rPr>
                <w:color w:val="000000"/>
              </w:rPr>
              <w:t>47,30</w:t>
            </w:r>
          </w:p>
        </w:tc>
        <w:tc>
          <w:tcPr>
            <w:tcW w:w="1984" w:type="dxa"/>
            <w:tcBorders>
              <w:top w:val="nil"/>
              <w:left w:val="nil"/>
              <w:bottom w:val="nil"/>
              <w:right w:val="nil"/>
            </w:tcBorders>
            <w:shd w:val="clear" w:color="auto" w:fill="auto"/>
            <w:noWrap/>
            <w:vAlign w:val="bottom"/>
            <w:hideMark/>
          </w:tcPr>
          <w:p w14:paraId="1F98F1D9" w14:textId="702167E0" w:rsidR="008D1D0C" w:rsidRPr="009C19A1" w:rsidRDefault="008D1D0C" w:rsidP="00A7269C">
            <w:pPr>
              <w:ind w:right="785"/>
              <w:jc w:val="right"/>
              <w:rPr>
                <w:color w:val="000000"/>
              </w:rPr>
            </w:pPr>
            <w:r w:rsidRPr="009C19A1">
              <w:rPr>
                <w:color w:val="000000"/>
              </w:rPr>
              <w:t>3,93</w:t>
            </w:r>
          </w:p>
        </w:tc>
        <w:tc>
          <w:tcPr>
            <w:tcW w:w="1985" w:type="dxa"/>
            <w:tcBorders>
              <w:top w:val="nil"/>
              <w:left w:val="nil"/>
              <w:bottom w:val="nil"/>
              <w:right w:val="nil"/>
            </w:tcBorders>
            <w:shd w:val="clear" w:color="auto" w:fill="auto"/>
            <w:noWrap/>
            <w:vAlign w:val="bottom"/>
            <w:hideMark/>
          </w:tcPr>
          <w:p w14:paraId="4982D977" w14:textId="4C9AEFB0" w:rsidR="008D1D0C" w:rsidRPr="009C19A1" w:rsidRDefault="008D1D0C" w:rsidP="00A7269C">
            <w:pPr>
              <w:ind w:right="785"/>
              <w:jc w:val="right"/>
              <w:rPr>
                <w:color w:val="000000"/>
              </w:rPr>
            </w:pPr>
            <w:r w:rsidRPr="009C19A1">
              <w:rPr>
                <w:color w:val="000000"/>
              </w:rPr>
              <w:t>9,27</w:t>
            </w:r>
          </w:p>
        </w:tc>
      </w:tr>
      <w:tr w:rsidR="008D1D0C" w:rsidRPr="009C19A1" w14:paraId="6A895212" w14:textId="77777777" w:rsidTr="00A7269C">
        <w:trPr>
          <w:trHeight w:val="227"/>
        </w:trPr>
        <w:tc>
          <w:tcPr>
            <w:tcW w:w="1134" w:type="dxa"/>
            <w:tcBorders>
              <w:top w:val="nil"/>
              <w:left w:val="nil"/>
              <w:bottom w:val="nil"/>
              <w:right w:val="nil"/>
            </w:tcBorders>
            <w:shd w:val="clear" w:color="auto" w:fill="auto"/>
            <w:noWrap/>
            <w:vAlign w:val="bottom"/>
            <w:hideMark/>
          </w:tcPr>
          <w:p w14:paraId="3A1B0F7E" w14:textId="77777777" w:rsidR="008D1D0C" w:rsidRPr="009C19A1" w:rsidRDefault="008D1D0C" w:rsidP="00A7269C">
            <w:pPr>
              <w:jc w:val="center"/>
              <w:rPr>
                <w:color w:val="000000"/>
              </w:rPr>
            </w:pPr>
            <w:r w:rsidRPr="009C19A1">
              <w:rPr>
                <w:color w:val="000000"/>
              </w:rPr>
              <w:t>2006</w:t>
            </w:r>
          </w:p>
        </w:tc>
        <w:tc>
          <w:tcPr>
            <w:tcW w:w="1984" w:type="dxa"/>
            <w:tcBorders>
              <w:top w:val="nil"/>
              <w:left w:val="nil"/>
              <w:bottom w:val="nil"/>
              <w:right w:val="nil"/>
            </w:tcBorders>
            <w:shd w:val="clear" w:color="auto" w:fill="auto"/>
            <w:noWrap/>
            <w:vAlign w:val="bottom"/>
            <w:hideMark/>
          </w:tcPr>
          <w:p w14:paraId="3B2E14B0" w14:textId="6EEA21C1" w:rsidR="008D1D0C" w:rsidRPr="009C19A1" w:rsidRDefault="008D1D0C" w:rsidP="00A7269C">
            <w:pPr>
              <w:ind w:right="785"/>
              <w:jc w:val="right"/>
              <w:rPr>
                <w:color w:val="000000"/>
              </w:rPr>
            </w:pPr>
            <w:r w:rsidRPr="009C19A1">
              <w:rPr>
                <w:color w:val="000000"/>
              </w:rPr>
              <w:t>3,76</w:t>
            </w:r>
          </w:p>
        </w:tc>
        <w:tc>
          <w:tcPr>
            <w:tcW w:w="1985" w:type="dxa"/>
            <w:tcBorders>
              <w:top w:val="nil"/>
              <w:left w:val="nil"/>
              <w:bottom w:val="nil"/>
              <w:right w:val="nil"/>
            </w:tcBorders>
            <w:shd w:val="clear" w:color="auto" w:fill="auto"/>
            <w:noWrap/>
            <w:vAlign w:val="bottom"/>
            <w:hideMark/>
          </w:tcPr>
          <w:p w14:paraId="71DC7B73" w14:textId="271DDBC1" w:rsidR="008D1D0C" w:rsidRPr="009C19A1" w:rsidRDefault="008D1D0C" w:rsidP="00A7269C">
            <w:pPr>
              <w:ind w:right="785"/>
              <w:jc w:val="right"/>
              <w:rPr>
                <w:color w:val="000000"/>
              </w:rPr>
            </w:pPr>
            <w:r w:rsidRPr="009C19A1">
              <w:rPr>
                <w:color w:val="000000"/>
              </w:rPr>
              <w:t>50,10</w:t>
            </w:r>
          </w:p>
        </w:tc>
        <w:tc>
          <w:tcPr>
            <w:tcW w:w="1984" w:type="dxa"/>
            <w:tcBorders>
              <w:top w:val="nil"/>
              <w:left w:val="nil"/>
              <w:bottom w:val="nil"/>
              <w:right w:val="nil"/>
            </w:tcBorders>
            <w:shd w:val="clear" w:color="auto" w:fill="auto"/>
            <w:noWrap/>
            <w:vAlign w:val="bottom"/>
            <w:hideMark/>
          </w:tcPr>
          <w:p w14:paraId="3278F0FA" w14:textId="3F8451A8" w:rsidR="008D1D0C" w:rsidRPr="009C19A1" w:rsidRDefault="008D1D0C" w:rsidP="00A7269C">
            <w:pPr>
              <w:ind w:right="785"/>
              <w:jc w:val="right"/>
              <w:rPr>
                <w:color w:val="000000"/>
              </w:rPr>
            </w:pPr>
            <w:r w:rsidRPr="009C19A1">
              <w:rPr>
                <w:color w:val="000000"/>
              </w:rPr>
              <w:t>10,77</w:t>
            </w:r>
          </w:p>
        </w:tc>
        <w:tc>
          <w:tcPr>
            <w:tcW w:w="1985" w:type="dxa"/>
            <w:tcBorders>
              <w:top w:val="nil"/>
              <w:left w:val="nil"/>
              <w:bottom w:val="nil"/>
              <w:right w:val="nil"/>
            </w:tcBorders>
            <w:shd w:val="clear" w:color="auto" w:fill="auto"/>
            <w:noWrap/>
            <w:vAlign w:val="bottom"/>
            <w:hideMark/>
          </w:tcPr>
          <w:p w14:paraId="64C16695" w14:textId="523D6C01" w:rsidR="008D1D0C" w:rsidRPr="009C19A1" w:rsidRDefault="008D1D0C" w:rsidP="00A7269C">
            <w:pPr>
              <w:ind w:right="785"/>
              <w:jc w:val="right"/>
              <w:rPr>
                <w:color w:val="000000"/>
              </w:rPr>
            </w:pPr>
            <w:r w:rsidRPr="009C19A1">
              <w:rPr>
                <w:color w:val="000000"/>
              </w:rPr>
              <w:t>8,50</w:t>
            </w:r>
          </w:p>
        </w:tc>
      </w:tr>
      <w:tr w:rsidR="008D1D0C" w:rsidRPr="009C19A1" w14:paraId="1EFE1ACB" w14:textId="77777777" w:rsidTr="00A7269C">
        <w:trPr>
          <w:trHeight w:val="227"/>
        </w:trPr>
        <w:tc>
          <w:tcPr>
            <w:tcW w:w="1134" w:type="dxa"/>
            <w:tcBorders>
              <w:top w:val="nil"/>
              <w:left w:val="nil"/>
              <w:bottom w:val="nil"/>
              <w:right w:val="nil"/>
            </w:tcBorders>
            <w:shd w:val="clear" w:color="auto" w:fill="auto"/>
            <w:noWrap/>
            <w:vAlign w:val="bottom"/>
            <w:hideMark/>
          </w:tcPr>
          <w:p w14:paraId="311E649E" w14:textId="77777777" w:rsidR="008D1D0C" w:rsidRPr="009C19A1" w:rsidRDefault="008D1D0C" w:rsidP="00A7269C">
            <w:pPr>
              <w:jc w:val="center"/>
              <w:rPr>
                <w:color w:val="000000"/>
              </w:rPr>
            </w:pPr>
            <w:r w:rsidRPr="009C19A1">
              <w:rPr>
                <w:color w:val="000000"/>
              </w:rPr>
              <w:t>2007</w:t>
            </w:r>
          </w:p>
        </w:tc>
        <w:tc>
          <w:tcPr>
            <w:tcW w:w="1984" w:type="dxa"/>
            <w:tcBorders>
              <w:top w:val="nil"/>
              <w:left w:val="nil"/>
              <w:bottom w:val="nil"/>
              <w:right w:val="nil"/>
            </w:tcBorders>
            <w:shd w:val="clear" w:color="auto" w:fill="auto"/>
            <w:noWrap/>
            <w:vAlign w:val="bottom"/>
            <w:hideMark/>
          </w:tcPr>
          <w:p w14:paraId="7606C056" w14:textId="19653144" w:rsidR="008D1D0C" w:rsidRPr="009C19A1" w:rsidRDefault="008D1D0C" w:rsidP="00A7269C">
            <w:pPr>
              <w:ind w:right="785"/>
              <w:jc w:val="right"/>
              <w:rPr>
                <w:color w:val="000000"/>
              </w:rPr>
            </w:pPr>
            <w:r w:rsidRPr="009C19A1">
              <w:rPr>
                <w:color w:val="000000"/>
              </w:rPr>
              <w:t>5,23</w:t>
            </w:r>
          </w:p>
        </w:tc>
        <w:tc>
          <w:tcPr>
            <w:tcW w:w="1985" w:type="dxa"/>
            <w:tcBorders>
              <w:top w:val="nil"/>
              <w:left w:val="nil"/>
              <w:bottom w:val="nil"/>
              <w:right w:val="nil"/>
            </w:tcBorders>
            <w:shd w:val="clear" w:color="auto" w:fill="auto"/>
            <w:noWrap/>
            <w:vAlign w:val="bottom"/>
            <w:hideMark/>
          </w:tcPr>
          <w:p w14:paraId="7C0D9342" w14:textId="5A1FBB71" w:rsidR="008D1D0C" w:rsidRPr="009C19A1" w:rsidRDefault="008D1D0C" w:rsidP="00A7269C">
            <w:pPr>
              <w:ind w:right="785"/>
              <w:jc w:val="right"/>
              <w:rPr>
                <w:color w:val="000000"/>
              </w:rPr>
            </w:pPr>
            <w:r w:rsidRPr="009C19A1">
              <w:rPr>
                <w:color w:val="000000"/>
              </w:rPr>
              <w:t>47,22</w:t>
            </w:r>
          </w:p>
        </w:tc>
        <w:tc>
          <w:tcPr>
            <w:tcW w:w="1984" w:type="dxa"/>
            <w:tcBorders>
              <w:top w:val="nil"/>
              <w:left w:val="nil"/>
              <w:bottom w:val="nil"/>
              <w:right w:val="nil"/>
            </w:tcBorders>
            <w:shd w:val="clear" w:color="auto" w:fill="auto"/>
            <w:noWrap/>
            <w:vAlign w:val="bottom"/>
            <w:hideMark/>
          </w:tcPr>
          <w:p w14:paraId="2FD73A19" w14:textId="0E66D1AB" w:rsidR="008D1D0C" w:rsidRPr="009C19A1" w:rsidRDefault="008D1D0C" w:rsidP="00A7269C">
            <w:pPr>
              <w:ind w:right="785"/>
              <w:jc w:val="right"/>
              <w:rPr>
                <w:color w:val="000000"/>
              </w:rPr>
            </w:pPr>
            <w:r w:rsidRPr="009C19A1">
              <w:rPr>
                <w:color w:val="000000"/>
              </w:rPr>
              <w:t>16,93</w:t>
            </w:r>
          </w:p>
        </w:tc>
        <w:tc>
          <w:tcPr>
            <w:tcW w:w="1985" w:type="dxa"/>
            <w:tcBorders>
              <w:top w:val="nil"/>
              <w:left w:val="nil"/>
              <w:bottom w:val="nil"/>
              <w:right w:val="nil"/>
            </w:tcBorders>
            <w:shd w:val="clear" w:color="auto" w:fill="auto"/>
            <w:noWrap/>
            <w:vAlign w:val="bottom"/>
            <w:hideMark/>
          </w:tcPr>
          <w:p w14:paraId="6EDC92F1" w14:textId="19864B04" w:rsidR="008D1D0C" w:rsidRPr="009C19A1" w:rsidRDefault="008D1D0C" w:rsidP="00A7269C">
            <w:pPr>
              <w:ind w:right="785"/>
              <w:jc w:val="right"/>
              <w:rPr>
                <w:color w:val="000000"/>
              </w:rPr>
            </w:pPr>
            <w:r w:rsidRPr="009C19A1">
              <w:rPr>
                <w:color w:val="000000"/>
              </w:rPr>
              <w:t>4,81</w:t>
            </w:r>
          </w:p>
        </w:tc>
      </w:tr>
      <w:tr w:rsidR="008D1D0C" w:rsidRPr="009C19A1" w14:paraId="09FD6530" w14:textId="77777777" w:rsidTr="00A7269C">
        <w:trPr>
          <w:trHeight w:val="227"/>
        </w:trPr>
        <w:tc>
          <w:tcPr>
            <w:tcW w:w="1134" w:type="dxa"/>
            <w:tcBorders>
              <w:top w:val="nil"/>
              <w:left w:val="nil"/>
              <w:bottom w:val="nil"/>
              <w:right w:val="nil"/>
            </w:tcBorders>
            <w:shd w:val="clear" w:color="auto" w:fill="auto"/>
            <w:noWrap/>
            <w:vAlign w:val="bottom"/>
            <w:hideMark/>
          </w:tcPr>
          <w:p w14:paraId="15569F50" w14:textId="77777777" w:rsidR="008D1D0C" w:rsidRPr="009C19A1" w:rsidRDefault="008D1D0C" w:rsidP="00A7269C">
            <w:pPr>
              <w:jc w:val="center"/>
              <w:rPr>
                <w:color w:val="000000"/>
              </w:rPr>
            </w:pPr>
            <w:r w:rsidRPr="009C19A1">
              <w:rPr>
                <w:color w:val="000000"/>
              </w:rPr>
              <w:t>2008</w:t>
            </w:r>
          </w:p>
        </w:tc>
        <w:tc>
          <w:tcPr>
            <w:tcW w:w="1984" w:type="dxa"/>
            <w:tcBorders>
              <w:top w:val="nil"/>
              <w:left w:val="nil"/>
              <w:bottom w:val="nil"/>
              <w:right w:val="nil"/>
            </w:tcBorders>
            <w:shd w:val="clear" w:color="auto" w:fill="auto"/>
            <w:noWrap/>
            <w:vAlign w:val="bottom"/>
            <w:hideMark/>
          </w:tcPr>
          <w:p w14:paraId="372A7111" w14:textId="4FF88D47" w:rsidR="008D1D0C" w:rsidRPr="009C19A1" w:rsidRDefault="008D1D0C" w:rsidP="00A7269C">
            <w:pPr>
              <w:ind w:right="785"/>
              <w:jc w:val="right"/>
              <w:rPr>
                <w:color w:val="000000"/>
              </w:rPr>
            </w:pPr>
            <w:r w:rsidRPr="009C19A1">
              <w:rPr>
                <w:color w:val="000000"/>
              </w:rPr>
              <w:t>6,94</w:t>
            </w:r>
          </w:p>
        </w:tc>
        <w:tc>
          <w:tcPr>
            <w:tcW w:w="1985" w:type="dxa"/>
            <w:tcBorders>
              <w:top w:val="nil"/>
              <w:left w:val="nil"/>
              <w:bottom w:val="nil"/>
              <w:right w:val="nil"/>
            </w:tcBorders>
            <w:shd w:val="clear" w:color="auto" w:fill="auto"/>
            <w:noWrap/>
            <w:vAlign w:val="bottom"/>
            <w:hideMark/>
          </w:tcPr>
          <w:p w14:paraId="72406B12" w14:textId="0D50B8CF" w:rsidR="008D1D0C" w:rsidRPr="009C19A1" w:rsidRDefault="008D1D0C" w:rsidP="00A7269C">
            <w:pPr>
              <w:ind w:right="785"/>
              <w:jc w:val="right"/>
              <w:rPr>
                <w:color w:val="000000"/>
              </w:rPr>
            </w:pPr>
            <w:r w:rsidRPr="009C19A1">
              <w:rPr>
                <w:color w:val="000000"/>
              </w:rPr>
              <w:t>48,18</w:t>
            </w:r>
          </w:p>
        </w:tc>
        <w:tc>
          <w:tcPr>
            <w:tcW w:w="1984" w:type="dxa"/>
            <w:tcBorders>
              <w:top w:val="nil"/>
              <w:left w:val="nil"/>
              <w:bottom w:val="nil"/>
              <w:right w:val="nil"/>
            </w:tcBorders>
            <w:shd w:val="clear" w:color="auto" w:fill="auto"/>
            <w:noWrap/>
            <w:vAlign w:val="bottom"/>
            <w:hideMark/>
          </w:tcPr>
          <w:p w14:paraId="2C587FD6" w14:textId="6CCE92C5" w:rsidR="008D1D0C" w:rsidRPr="009C19A1" w:rsidRDefault="008D1D0C" w:rsidP="00A7269C">
            <w:pPr>
              <w:ind w:right="785"/>
              <w:jc w:val="right"/>
              <w:rPr>
                <w:color w:val="000000"/>
              </w:rPr>
            </w:pPr>
            <w:r w:rsidRPr="009C19A1">
              <w:rPr>
                <w:color w:val="000000"/>
              </w:rPr>
              <w:t>16,14</w:t>
            </w:r>
          </w:p>
        </w:tc>
        <w:tc>
          <w:tcPr>
            <w:tcW w:w="1985" w:type="dxa"/>
            <w:tcBorders>
              <w:top w:val="nil"/>
              <w:left w:val="nil"/>
              <w:bottom w:val="nil"/>
              <w:right w:val="nil"/>
            </w:tcBorders>
            <w:shd w:val="clear" w:color="auto" w:fill="auto"/>
            <w:noWrap/>
            <w:vAlign w:val="bottom"/>
            <w:hideMark/>
          </w:tcPr>
          <w:p w14:paraId="5A2CF69A" w14:textId="4BE18AE6" w:rsidR="008D1D0C" w:rsidRPr="009C19A1" w:rsidRDefault="008D1D0C" w:rsidP="00A7269C">
            <w:pPr>
              <w:ind w:right="785"/>
              <w:jc w:val="right"/>
              <w:rPr>
                <w:color w:val="000000"/>
              </w:rPr>
            </w:pPr>
            <w:r w:rsidRPr="009C19A1">
              <w:rPr>
                <w:color w:val="000000"/>
              </w:rPr>
              <w:t>3,77</w:t>
            </w:r>
          </w:p>
        </w:tc>
      </w:tr>
      <w:tr w:rsidR="008D1D0C" w:rsidRPr="009C19A1" w14:paraId="7B0A333B" w14:textId="77777777" w:rsidTr="00A7269C">
        <w:trPr>
          <w:trHeight w:val="227"/>
        </w:trPr>
        <w:tc>
          <w:tcPr>
            <w:tcW w:w="1134" w:type="dxa"/>
            <w:tcBorders>
              <w:top w:val="nil"/>
              <w:left w:val="nil"/>
              <w:bottom w:val="nil"/>
              <w:right w:val="nil"/>
            </w:tcBorders>
            <w:shd w:val="clear" w:color="auto" w:fill="auto"/>
            <w:noWrap/>
            <w:vAlign w:val="bottom"/>
            <w:hideMark/>
          </w:tcPr>
          <w:p w14:paraId="591FA3D9" w14:textId="77777777" w:rsidR="008D1D0C" w:rsidRPr="009C19A1" w:rsidRDefault="008D1D0C" w:rsidP="00A7269C">
            <w:pPr>
              <w:jc w:val="center"/>
              <w:rPr>
                <w:color w:val="000000"/>
              </w:rPr>
            </w:pPr>
            <w:r w:rsidRPr="009C19A1">
              <w:rPr>
                <w:color w:val="000000"/>
              </w:rPr>
              <w:t>2009</w:t>
            </w:r>
          </w:p>
        </w:tc>
        <w:tc>
          <w:tcPr>
            <w:tcW w:w="1984" w:type="dxa"/>
            <w:tcBorders>
              <w:top w:val="nil"/>
              <w:left w:val="nil"/>
              <w:bottom w:val="nil"/>
              <w:right w:val="nil"/>
            </w:tcBorders>
            <w:shd w:val="clear" w:color="auto" w:fill="auto"/>
            <w:noWrap/>
            <w:vAlign w:val="bottom"/>
            <w:hideMark/>
          </w:tcPr>
          <w:p w14:paraId="2DDDABA0" w14:textId="269A72CC" w:rsidR="008D1D0C" w:rsidRPr="009C19A1" w:rsidRDefault="008D1D0C" w:rsidP="00A7269C">
            <w:pPr>
              <w:ind w:right="785"/>
              <w:jc w:val="right"/>
              <w:rPr>
                <w:color w:val="000000"/>
              </w:rPr>
            </w:pPr>
            <w:r w:rsidRPr="009C19A1">
              <w:rPr>
                <w:color w:val="000000"/>
              </w:rPr>
              <w:t>8,91</w:t>
            </w:r>
          </w:p>
        </w:tc>
        <w:tc>
          <w:tcPr>
            <w:tcW w:w="1985" w:type="dxa"/>
            <w:tcBorders>
              <w:top w:val="nil"/>
              <w:left w:val="nil"/>
              <w:bottom w:val="nil"/>
              <w:right w:val="nil"/>
            </w:tcBorders>
            <w:shd w:val="clear" w:color="auto" w:fill="auto"/>
            <w:noWrap/>
            <w:vAlign w:val="bottom"/>
            <w:hideMark/>
          </w:tcPr>
          <w:p w14:paraId="2C0DF344" w14:textId="0E32BC67" w:rsidR="008D1D0C" w:rsidRPr="009C19A1" w:rsidRDefault="008D1D0C" w:rsidP="00A7269C">
            <w:pPr>
              <w:ind w:right="785"/>
              <w:jc w:val="right"/>
              <w:rPr>
                <w:color w:val="000000"/>
              </w:rPr>
            </w:pPr>
            <w:r w:rsidRPr="009C19A1">
              <w:rPr>
                <w:color w:val="000000"/>
              </w:rPr>
              <w:t>44,10</w:t>
            </w:r>
          </w:p>
        </w:tc>
        <w:tc>
          <w:tcPr>
            <w:tcW w:w="1984" w:type="dxa"/>
            <w:tcBorders>
              <w:top w:val="nil"/>
              <w:left w:val="nil"/>
              <w:bottom w:val="nil"/>
              <w:right w:val="nil"/>
            </w:tcBorders>
            <w:shd w:val="clear" w:color="auto" w:fill="auto"/>
            <w:noWrap/>
            <w:vAlign w:val="bottom"/>
            <w:hideMark/>
          </w:tcPr>
          <w:p w14:paraId="2E3A3EE3" w14:textId="4B72690D" w:rsidR="008D1D0C" w:rsidRPr="009C19A1" w:rsidRDefault="008D1D0C" w:rsidP="00A7269C">
            <w:pPr>
              <w:ind w:right="785"/>
              <w:jc w:val="right"/>
              <w:rPr>
                <w:color w:val="000000"/>
              </w:rPr>
            </w:pPr>
            <w:r w:rsidRPr="009C19A1">
              <w:rPr>
                <w:color w:val="000000"/>
              </w:rPr>
              <w:t>13,11</w:t>
            </w:r>
          </w:p>
        </w:tc>
        <w:tc>
          <w:tcPr>
            <w:tcW w:w="1985" w:type="dxa"/>
            <w:tcBorders>
              <w:top w:val="nil"/>
              <w:left w:val="nil"/>
              <w:bottom w:val="nil"/>
              <w:right w:val="nil"/>
            </w:tcBorders>
            <w:shd w:val="clear" w:color="auto" w:fill="auto"/>
            <w:noWrap/>
            <w:vAlign w:val="bottom"/>
            <w:hideMark/>
          </w:tcPr>
          <w:p w14:paraId="0B8B5360" w14:textId="7F34E2F2" w:rsidR="008D1D0C" w:rsidRPr="009C19A1" w:rsidRDefault="008D1D0C" w:rsidP="00A7269C">
            <w:pPr>
              <w:ind w:right="785"/>
              <w:jc w:val="right"/>
              <w:rPr>
                <w:color w:val="000000"/>
              </w:rPr>
            </w:pPr>
            <w:r w:rsidRPr="009C19A1">
              <w:rPr>
                <w:color w:val="000000"/>
              </w:rPr>
              <w:t>5,49</w:t>
            </w:r>
          </w:p>
        </w:tc>
      </w:tr>
      <w:tr w:rsidR="008D1D0C" w:rsidRPr="009C19A1" w14:paraId="381DA88D" w14:textId="77777777" w:rsidTr="00A7269C">
        <w:trPr>
          <w:trHeight w:val="227"/>
        </w:trPr>
        <w:tc>
          <w:tcPr>
            <w:tcW w:w="1134" w:type="dxa"/>
            <w:tcBorders>
              <w:top w:val="nil"/>
              <w:left w:val="nil"/>
              <w:bottom w:val="nil"/>
              <w:right w:val="nil"/>
            </w:tcBorders>
            <w:shd w:val="clear" w:color="auto" w:fill="auto"/>
            <w:noWrap/>
            <w:vAlign w:val="bottom"/>
            <w:hideMark/>
          </w:tcPr>
          <w:p w14:paraId="515C68D3" w14:textId="77777777" w:rsidR="008D1D0C" w:rsidRPr="009C19A1" w:rsidRDefault="008D1D0C" w:rsidP="00A7269C">
            <w:pPr>
              <w:jc w:val="center"/>
              <w:rPr>
                <w:color w:val="000000"/>
              </w:rPr>
            </w:pPr>
            <w:r w:rsidRPr="009C19A1">
              <w:rPr>
                <w:color w:val="000000"/>
              </w:rPr>
              <w:t>2010</w:t>
            </w:r>
          </w:p>
        </w:tc>
        <w:tc>
          <w:tcPr>
            <w:tcW w:w="1984" w:type="dxa"/>
            <w:tcBorders>
              <w:top w:val="nil"/>
              <w:left w:val="nil"/>
              <w:bottom w:val="nil"/>
              <w:right w:val="nil"/>
            </w:tcBorders>
            <w:shd w:val="clear" w:color="auto" w:fill="auto"/>
            <w:noWrap/>
            <w:vAlign w:val="bottom"/>
            <w:hideMark/>
          </w:tcPr>
          <w:p w14:paraId="612E535F" w14:textId="2AF36C34" w:rsidR="008D1D0C" w:rsidRPr="009C19A1" w:rsidRDefault="008D1D0C" w:rsidP="00A7269C">
            <w:pPr>
              <w:ind w:right="785"/>
              <w:jc w:val="right"/>
              <w:rPr>
                <w:color w:val="000000"/>
              </w:rPr>
            </w:pPr>
            <w:r w:rsidRPr="009C19A1">
              <w:rPr>
                <w:color w:val="000000"/>
              </w:rPr>
              <w:t>6,09</w:t>
            </w:r>
          </w:p>
        </w:tc>
        <w:tc>
          <w:tcPr>
            <w:tcW w:w="1985" w:type="dxa"/>
            <w:tcBorders>
              <w:top w:val="nil"/>
              <w:left w:val="nil"/>
              <w:bottom w:val="nil"/>
              <w:right w:val="nil"/>
            </w:tcBorders>
            <w:shd w:val="clear" w:color="auto" w:fill="auto"/>
            <w:noWrap/>
            <w:vAlign w:val="bottom"/>
            <w:hideMark/>
          </w:tcPr>
          <w:p w14:paraId="494152DB" w14:textId="578ADE55" w:rsidR="008D1D0C" w:rsidRPr="009C19A1" w:rsidRDefault="008D1D0C" w:rsidP="00A7269C">
            <w:pPr>
              <w:ind w:right="785"/>
              <w:jc w:val="right"/>
              <w:rPr>
                <w:color w:val="000000"/>
              </w:rPr>
            </w:pPr>
            <w:r w:rsidRPr="009C19A1">
              <w:rPr>
                <w:color w:val="000000"/>
              </w:rPr>
              <w:t>42,49</w:t>
            </w:r>
          </w:p>
        </w:tc>
        <w:tc>
          <w:tcPr>
            <w:tcW w:w="1984" w:type="dxa"/>
            <w:tcBorders>
              <w:top w:val="nil"/>
              <w:left w:val="nil"/>
              <w:bottom w:val="nil"/>
              <w:right w:val="nil"/>
            </w:tcBorders>
            <w:shd w:val="clear" w:color="auto" w:fill="auto"/>
            <w:noWrap/>
            <w:vAlign w:val="bottom"/>
            <w:hideMark/>
          </w:tcPr>
          <w:p w14:paraId="6A147240" w14:textId="05803BBF" w:rsidR="008D1D0C" w:rsidRPr="009C19A1" w:rsidRDefault="008D1D0C" w:rsidP="00A7269C">
            <w:pPr>
              <w:ind w:right="785"/>
              <w:jc w:val="right"/>
              <w:rPr>
                <w:color w:val="000000"/>
              </w:rPr>
            </w:pPr>
            <w:r w:rsidRPr="009C19A1">
              <w:rPr>
                <w:color w:val="000000"/>
              </w:rPr>
              <w:t>22,02</w:t>
            </w:r>
          </w:p>
        </w:tc>
        <w:tc>
          <w:tcPr>
            <w:tcW w:w="1985" w:type="dxa"/>
            <w:tcBorders>
              <w:top w:val="nil"/>
              <w:left w:val="nil"/>
              <w:bottom w:val="nil"/>
              <w:right w:val="nil"/>
            </w:tcBorders>
            <w:shd w:val="clear" w:color="auto" w:fill="auto"/>
            <w:noWrap/>
            <w:vAlign w:val="bottom"/>
            <w:hideMark/>
          </w:tcPr>
          <w:p w14:paraId="2D6FE129" w14:textId="2380D233" w:rsidR="008D1D0C" w:rsidRPr="009C19A1" w:rsidRDefault="008D1D0C" w:rsidP="00A7269C">
            <w:pPr>
              <w:ind w:right="785"/>
              <w:jc w:val="right"/>
              <w:rPr>
                <w:color w:val="000000"/>
              </w:rPr>
            </w:pPr>
            <w:r w:rsidRPr="009C19A1">
              <w:rPr>
                <w:color w:val="000000"/>
              </w:rPr>
              <w:t>7,10</w:t>
            </w:r>
          </w:p>
        </w:tc>
      </w:tr>
      <w:tr w:rsidR="008D1D0C" w:rsidRPr="009C19A1" w14:paraId="132EF611" w14:textId="77777777" w:rsidTr="00A7269C">
        <w:trPr>
          <w:trHeight w:val="227"/>
        </w:trPr>
        <w:tc>
          <w:tcPr>
            <w:tcW w:w="1134" w:type="dxa"/>
            <w:tcBorders>
              <w:top w:val="nil"/>
              <w:left w:val="nil"/>
              <w:bottom w:val="nil"/>
              <w:right w:val="nil"/>
            </w:tcBorders>
            <w:shd w:val="clear" w:color="auto" w:fill="auto"/>
            <w:noWrap/>
            <w:vAlign w:val="bottom"/>
            <w:hideMark/>
          </w:tcPr>
          <w:p w14:paraId="64D80E13" w14:textId="77777777" w:rsidR="008D1D0C" w:rsidRPr="009C19A1" w:rsidRDefault="008D1D0C" w:rsidP="00A7269C">
            <w:pPr>
              <w:jc w:val="center"/>
              <w:rPr>
                <w:color w:val="000000"/>
              </w:rPr>
            </w:pPr>
            <w:r w:rsidRPr="009C19A1">
              <w:rPr>
                <w:color w:val="000000"/>
              </w:rPr>
              <w:t>2011</w:t>
            </w:r>
          </w:p>
        </w:tc>
        <w:tc>
          <w:tcPr>
            <w:tcW w:w="1984" w:type="dxa"/>
            <w:tcBorders>
              <w:top w:val="nil"/>
              <w:left w:val="nil"/>
              <w:bottom w:val="nil"/>
              <w:right w:val="nil"/>
            </w:tcBorders>
            <w:shd w:val="clear" w:color="auto" w:fill="auto"/>
            <w:noWrap/>
            <w:vAlign w:val="bottom"/>
            <w:hideMark/>
          </w:tcPr>
          <w:p w14:paraId="4FA0DB79" w14:textId="200CB0C4" w:rsidR="008D1D0C" w:rsidRPr="009C19A1" w:rsidRDefault="008D1D0C" w:rsidP="00A7269C">
            <w:pPr>
              <w:ind w:right="785"/>
              <w:jc w:val="right"/>
              <w:rPr>
                <w:color w:val="000000"/>
              </w:rPr>
            </w:pPr>
            <w:r w:rsidRPr="009C19A1">
              <w:rPr>
                <w:color w:val="000000"/>
              </w:rPr>
              <w:t>8,06</w:t>
            </w:r>
          </w:p>
        </w:tc>
        <w:tc>
          <w:tcPr>
            <w:tcW w:w="1985" w:type="dxa"/>
            <w:tcBorders>
              <w:top w:val="nil"/>
              <w:left w:val="nil"/>
              <w:bottom w:val="nil"/>
              <w:right w:val="nil"/>
            </w:tcBorders>
            <w:shd w:val="clear" w:color="auto" w:fill="auto"/>
            <w:noWrap/>
            <w:vAlign w:val="bottom"/>
            <w:hideMark/>
          </w:tcPr>
          <w:p w14:paraId="6910925D" w14:textId="21E6188F" w:rsidR="008D1D0C" w:rsidRPr="009C19A1" w:rsidRDefault="008D1D0C" w:rsidP="00A7269C">
            <w:pPr>
              <w:ind w:right="785"/>
              <w:jc w:val="right"/>
              <w:rPr>
                <w:color w:val="000000"/>
              </w:rPr>
            </w:pPr>
            <w:r w:rsidRPr="009C19A1">
              <w:rPr>
                <w:color w:val="000000"/>
              </w:rPr>
              <w:t>42,53</w:t>
            </w:r>
          </w:p>
        </w:tc>
        <w:tc>
          <w:tcPr>
            <w:tcW w:w="1984" w:type="dxa"/>
            <w:tcBorders>
              <w:top w:val="nil"/>
              <w:left w:val="nil"/>
              <w:bottom w:val="nil"/>
              <w:right w:val="nil"/>
            </w:tcBorders>
            <w:shd w:val="clear" w:color="auto" w:fill="auto"/>
            <w:noWrap/>
            <w:vAlign w:val="bottom"/>
            <w:hideMark/>
          </w:tcPr>
          <w:p w14:paraId="3BCBD8B8" w14:textId="1348F91F" w:rsidR="008D1D0C" w:rsidRPr="009C19A1" w:rsidRDefault="008D1D0C" w:rsidP="00A7269C">
            <w:pPr>
              <w:ind w:right="785"/>
              <w:jc w:val="right"/>
              <w:rPr>
                <w:color w:val="000000"/>
              </w:rPr>
            </w:pPr>
            <w:r w:rsidRPr="009C19A1">
              <w:rPr>
                <w:color w:val="000000"/>
              </w:rPr>
              <w:t>17,19</w:t>
            </w:r>
          </w:p>
        </w:tc>
        <w:tc>
          <w:tcPr>
            <w:tcW w:w="1985" w:type="dxa"/>
            <w:tcBorders>
              <w:top w:val="nil"/>
              <w:left w:val="nil"/>
              <w:bottom w:val="nil"/>
              <w:right w:val="nil"/>
            </w:tcBorders>
            <w:shd w:val="clear" w:color="auto" w:fill="auto"/>
            <w:noWrap/>
            <w:vAlign w:val="bottom"/>
            <w:hideMark/>
          </w:tcPr>
          <w:p w14:paraId="1645EA01" w14:textId="7189E590" w:rsidR="008D1D0C" w:rsidRPr="009C19A1" w:rsidRDefault="008D1D0C" w:rsidP="00A7269C">
            <w:pPr>
              <w:ind w:right="785"/>
              <w:jc w:val="right"/>
              <w:rPr>
                <w:color w:val="000000"/>
              </w:rPr>
            </w:pPr>
            <w:r w:rsidRPr="009C19A1">
              <w:rPr>
                <w:color w:val="000000"/>
              </w:rPr>
              <w:t>13,29</w:t>
            </w:r>
          </w:p>
        </w:tc>
      </w:tr>
      <w:tr w:rsidR="008D1D0C" w:rsidRPr="009C19A1" w14:paraId="4BA3BA15" w14:textId="77777777" w:rsidTr="00A7269C">
        <w:trPr>
          <w:trHeight w:val="227"/>
        </w:trPr>
        <w:tc>
          <w:tcPr>
            <w:tcW w:w="1134" w:type="dxa"/>
            <w:tcBorders>
              <w:top w:val="nil"/>
              <w:left w:val="nil"/>
              <w:bottom w:val="nil"/>
              <w:right w:val="nil"/>
            </w:tcBorders>
            <w:shd w:val="clear" w:color="auto" w:fill="auto"/>
            <w:noWrap/>
            <w:vAlign w:val="bottom"/>
            <w:hideMark/>
          </w:tcPr>
          <w:p w14:paraId="0BA2AB84" w14:textId="77777777" w:rsidR="008D1D0C" w:rsidRPr="009C19A1" w:rsidRDefault="008D1D0C" w:rsidP="00A7269C">
            <w:pPr>
              <w:jc w:val="center"/>
              <w:rPr>
                <w:color w:val="000000"/>
              </w:rPr>
            </w:pPr>
            <w:r w:rsidRPr="009C19A1">
              <w:rPr>
                <w:color w:val="000000"/>
              </w:rPr>
              <w:t>2012</w:t>
            </w:r>
          </w:p>
        </w:tc>
        <w:tc>
          <w:tcPr>
            <w:tcW w:w="1984" w:type="dxa"/>
            <w:tcBorders>
              <w:top w:val="nil"/>
              <w:left w:val="nil"/>
              <w:bottom w:val="nil"/>
              <w:right w:val="nil"/>
            </w:tcBorders>
            <w:shd w:val="clear" w:color="auto" w:fill="auto"/>
            <w:noWrap/>
            <w:vAlign w:val="bottom"/>
            <w:hideMark/>
          </w:tcPr>
          <w:p w14:paraId="7A9AA969" w14:textId="5238B435" w:rsidR="008D1D0C" w:rsidRPr="009C19A1" w:rsidRDefault="008D1D0C" w:rsidP="00A7269C">
            <w:pPr>
              <w:ind w:right="785"/>
              <w:jc w:val="right"/>
              <w:rPr>
                <w:color w:val="000000"/>
              </w:rPr>
            </w:pPr>
            <w:r w:rsidRPr="009C19A1">
              <w:rPr>
                <w:color w:val="000000"/>
              </w:rPr>
              <w:t>11,16</w:t>
            </w:r>
          </w:p>
        </w:tc>
        <w:tc>
          <w:tcPr>
            <w:tcW w:w="1985" w:type="dxa"/>
            <w:tcBorders>
              <w:top w:val="nil"/>
              <w:left w:val="nil"/>
              <w:bottom w:val="nil"/>
              <w:right w:val="nil"/>
            </w:tcBorders>
            <w:shd w:val="clear" w:color="auto" w:fill="auto"/>
            <w:noWrap/>
            <w:vAlign w:val="bottom"/>
            <w:hideMark/>
          </w:tcPr>
          <w:p w14:paraId="1A6225C5" w14:textId="6466287F" w:rsidR="008D1D0C" w:rsidRPr="009C19A1" w:rsidRDefault="008D1D0C" w:rsidP="00A7269C">
            <w:pPr>
              <w:ind w:right="785"/>
              <w:jc w:val="right"/>
              <w:rPr>
                <w:color w:val="000000"/>
              </w:rPr>
            </w:pPr>
            <w:r w:rsidRPr="009C19A1">
              <w:rPr>
                <w:color w:val="000000"/>
              </w:rPr>
              <w:t>33,03</w:t>
            </w:r>
          </w:p>
        </w:tc>
        <w:tc>
          <w:tcPr>
            <w:tcW w:w="1984" w:type="dxa"/>
            <w:tcBorders>
              <w:top w:val="nil"/>
              <w:left w:val="nil"/>
              <w:bottom w:val="nil"/>
              <w:right w:val="nil"/>
            </w:tcBorders>
            <w:shd w:val="clear" w:color="auto" w:fill="auto"/>
            <w:noWrap/>
            <w:vAlign w:val="bottom"/>
            <w:hideMark/>
          </w:tcPr>
          <w:p w14:paraId="424FBD86" w14:textId="3E2C88C6" w:rsidR="008D1D0C" w:rsidRPr="009C19A1" w:rsidRDefault="008D1D0C" w:rsidP="00A7269C">
            <w:pPr>
              <w:ind w:right="785"/>
              <w:jc w:val="right"/>
              <w:rPr>
                <w:color w:val="000000"/>
              </w:rPr>
            </w:pPr>
            <w:r w:rsidRPr="009C19A1">
              <w:rPr>
                <w:color w:val="000000"/>
              </w:rPr>
              <w:t>19,35</w:t>
            </w:r>
          </w:p>
        </w:tc>
        <w:tc>
          <w:tcPr>
            <w:tcW w:w="1985" w:type="dxa"/>
            <w:tcBorders>
              <w:top w:val="nil"/>
              <w:left w:val="nil"/>
              <w:bottom w:val="nil"/>
              <w:right w:val="nil"/>
            </w:tcBorders>
            <w:shd w:val="clear" w:color="auto" w:fill="auto"/>
            <w:noWrap/>
            <w:vAlign w:val="bottom"/>
            <w:hideMark/>
          </w:tcPr>
          <w:p w14:paraId="0826980C" w14:textId="4D87D857" w:rsidR="008D1D0C" w:rsidRPr="009C19A1" w:rsidRDefault="008D1D0C" w:rsidP="00A7269C">
            <w:pPr>
              <w:ind w:right="785"/>
              <w:jc w:val="right"/>
              <w:rPr>
                <w:color w:val="000000"/>
              </w:rPr>
            </w:pPr>
            <w:r w:rsidRPr="009C19A1">
              <w:rPr>
                <w:color w:val="000000"/>
              </w:rPr>
              <w:t>14,42</w:t>
            </w:r>
          </w:p>
        </w:tc>
      </w:tr>
      <w:tr w:rsidR="008D1D0C" w:rsidRPr="009C19A1" w14:paraId="0ACA60C8" w14:textId="77777777" w:rsidTr="00A7269C">
        <w:trPr>
          <w:trHeight w:val="227"/>
        </w:trPr>
        <w:tc>
          <w:tcPr>
            <w:tcW w:w="1134" w:type="dxa"/>
            <w:tcBorders>
              <w:top w:val="nil"/>
              <w:left w:val="nil"/>
              <w:bottom w:val="nil"/>
              <w:right w:val="nil"/>
            </w:tcBorders>
            <w:shd w:val="clear" w:color="auto" w:fill="auto"/>
            <w:noWrap/>
            <w:vAlign w:val="bottom"/>
            <w:hideMark/>
          </w:tcPr>
          <w:p w14:paraId="63269A88" w14:textId="77777777" w:rsidR="008D1D0C" w:rsidRPr="009C19A1" w:rsidRDefault="008D1D0C" w:rsidP="00A7269C">
            <w:pPr>
              <w:jc w:val="center"/>
              <w:rPr>
                <w:color w:val="000000"/>
              </w:rPr>
            </w:pPr>
            <w:r w:rsidRPr="009C19A1">
              <w:rPr>
                <w:color w:val="000000"/>
              </w:rPr>
              <w:t>2013</w:t>
            </w:r>
          </w:p>
        </w:tc>
        <w:tc>
          <w:tcPr>
            <w:tcW w:w="1984" w:type="dxa"/>
            <w:tcBorders>
              <w:top w:val="nil"/>
              <w:left w:val="nil"/>
              <w:bottom w:val="nil"/>
              <w:right w:val="nil"/>
            </w:tcBorders>
            <w:shd w:val="clear" w:color="auto" w:fill="auto"/>
            <w:noWrap/>
            <w:vAlign w:val="bottom"/>
            <w:hideMark/>
          </w:tcPr>
          <w:p w14:paraId="5B034A9E" w14:textId="6F835539" w:rsidR="008D1D0C" w:rsidRPr="009C19A1" w:rsidRDefault="008D1D0C" w:rsidP="00A7269C">
            <w:pPr>
              <w:ind w:right="785"/>
              <w:jc w:val="right"/>
              <w:rPr>
                <w:color w:val="000000"/>
              </w:rPr>
            </w:pPr>
            <w:r w:rsidRPr="009C19A1">
              <w:rPr>
                <w:color w:val="000000"/>
              </w:rPr>
              <w:t>6,41</w:t>
            </w:r>
          </w:p>
        </w:tc>
        <w:tc>
          <w:tcPr>
            <w:tcW w:w="1985" w:type="dxa"/>
            <w:tcBorders>
              <w:top w:val="nil"/>
              <w:left w:val="nil"/>
              <w:bottom w:val="nil"/>
              <w:right w:val="nil"/>
            </w:tcBorders>
            <w:shd w:val="clear" w:color="auto" w:fill="auto"/>
            <w:noWrap/>
            <w:vAlign w:val="bottom"/>
            <w:hideMark/>
          </w:tcPr>
          <w:p w14:paraId="285268DD" w14:textId="1C6960D3" w:rsidR="008D1D0C" w:rsidRPr="009C19A1" w:rsidRDefault="008D1D0C" w:rsidP="00A7269C">
            <w:pPr>
              <w:ind w:right="785"/>
              <w:jc w:val="right"/>
              <w:rPr>
                <w:color w:val="000000"/>
              </w:rPr>
            </w:pPr>
            <w:r w:rsidRPr="009C19A1">
              <w:rPr>
                <w:color w:val="000000"/>
              </w:rPr>
              <w:t>32,42</w:t>
            </w:r>
          </w:p>
        </w:tc>
        <w:tc>
          <w:tcPr>
            <w:tcW w:w="1984" w:type="dxa"/>
            <w:tcBorders>
              <w:top w:val="nil"/>
              <w:left w:val="nil"/>
              <w:bottom w:val="nil"/>
              <w:right w:val="nil"/>
            </w:tcBorders>
            <w:shd w:val="clear" w:color="auto" w:fill="auto"/>
            <w:noWrap/>
            <w:vAlign w:val="bottom"/>
            <w:hideMark/>
          </w:tcPr>
          <w:p w14:paraId="7C8DBB7A" w14:textId="11B42E89" w:rsidR="008D1D0C" w:rsidRPr="009C19A1" w:rsidRDefault="008D1D0C" w:rsidP="00A7269C">
            <w:pPr>
              <w:ind w:right="785"/>
              <w:jc w:val="right"/>
              <w:rPr>
                <w:color w:val="000000"/>
              </w:rPr>
            </w:pPr>
            <w:r w:rsidRPr="009C19A1">
              <w:rPr>
                <w:color w:val="000000"/>
              </w:rPr>
              <w:t>26,17</w:t>
            </w:r>
          </w:p>
        </w:tc>
        <w:tc>
          <w:tcPr>
            <w:tcW w:w="1985" w:type="dxa"/>
            <w:tcBorders>
              <w:top w:val="nil"/>
              <w:left w:val="nil"/>
              <w:bottom w:val="nil"/>
              <w:right w:val="nil"/>
            </w:tcBorders>
            <w:shd w:val="clear" w:color="auto" w:fill="auto"/>
            <w:noWrap/>
            <w:vAlign w:val="bottom"/>
            <w:hideMark/>
          </w:tcPr>
          <w:p w14:paraId="645E2550" w14:textId="4869F3DE" w:rsidR="008D1D0C" w:rsidRPr="009C19A1" w:rsidRDefault="008D1D0C" w:rsidP="00A7269C">
            <w:pPr>
              <w:ind w:right="785"/>
              <w:jc w:val="right"/>
              <w:rPr>
                <w:color w:val="000000"/>
              </w:rPr>
            </w:pPr>
            <w:r w:rsidRPr="009C19A1">
              <w:rPr>
                <w:color w:val="000000"/>
              </w:rPr>
              <w:t>14,56</w:t>
            </w:r>
          </w:p>
        </w:tc>
      </w:tr>
      <w:tr w:rsidR="008D1D0C" w:rsidRPr="009C19A1" w14:paraId="21EED0F5" w14:textId="77777777" w:rsidTr="00A7269C">
        <w:trPr>
          <w:trHeight w:val="227"/>
        </w:trPr>
        <w:tc>
          <w:tcPr>
            <w:tcW w:w="1134" w:type="dxa"/>
            <w:tcBorders>
              <w:top w:val="nil"/>
              <w:left w:val="nil"/>
              <w:bottom w:val="nil"/>
              <w:right w:val="nil"/>
            </w:tcBorders>
            <w:shd w:val="clear" w:color="auto" w:fill="auto"/>
            <w:noWrap/>
            <w:vAlign w:val="bottom"/>
            <w:hideMark/>
          </w:tcPr>
          <w:p w14:paraId="10EF8FA8" w14:textId="77777777" w:rsidR="008D1D0C" w:rsidRPr="009C19A1" w:rsidRDefault="008D1D0C" w:rsidP="00A7269C">
            <w:pPr>
              <w:jc w:val="center"/>
              <w:rPr>
                <w:color w:val="000000"/>
              </w:rPr>
            </w:pPr>
            <w:r w:rsidRPr="009C19A1">
              <w:rPr>
                <w:color w:val="000000"/>
              </w:rPr>
              <w:t>2014</w:t>
            </w:r>
          </w:p>
        </w:tc>
        <w:tc>
          <w:tcPr>
            <w:tcW w:w="1984" w:type="dxa"/>
            <w:tcBorders>
              <w:top w:val="nil"/>
              <w:left w:val="nil"/>
              <w:bottom w:val="nil"/>
              <w:right w:val="nil"/>
            </w:tcBorders>
            <w:shd w:val="clear" w:color="auto" w:fill="auto"/>
            <w:noWrap/>
            <w:vAlign w:val="bottom"/>
            <w:hideMark/>
          </w:tcPr>
          <w:p w14:paraId="5166DFF2" w14:textId="23BD6B09" w:rsidR="008D1D0C" w:rsidRPr="009C19A1" w:rsidRDefault="008D1D0C" w:rsidP="00A7269C">
            <w:pPr>
              <w:ind w:right="785"/>
              <w:jc w:val="right"/>
              <w:rPr>
                <w:color w:val="000000"/>
              </w:rPr>
            </w:pPr>
            <w:r w:rsidRPr="009C19A1">
              <w:rPr>
                <w:color w:val="000000"/>
              </w:rPr>
              <w:t>9,93</w:t>
            </w:r>
          </w:p>
        </w:tc>
        <w:tc>
          <w:tcPr>
            <w:tcW w:w="1985" w:type="dxa"/>
            <w:tcBorders>
              <w:top w:val="nil"/>
              <w:left w:val="nil"/>
              <w:bottom w:val="nil"/>
              <w:right w:val="nil"/>
            </w:tcBorders>
            <w:shd w:val="clear" w:color="auto" w:fill="auto"/>
            <w:noWrap/>
            <w:vAlign w:val="bottom"/>
            <w:hideMark/>
          </w:tcPr>
          <w:p w14:paraId="72AA1E6D" w14:textId="34BFF483" w:rsidR="008D1D0C" w:rsidRPr="009C19A1" w:rsidRDefault="008D1D0C" w:rsidP="00A7269C">
            <w:pPr>
              <w:ind w:right="785"/>
              <w:jc w:val="right"/>
              <w:rPr>
                <w:color w:val="000000"/>
              </w:rPr>
            </w:pPr>
            <w:r w:rsidRPr="009C19A1">
              <w:rPr>
                <w:color w:val="000000"/>
              </w:rPr>
              <w:t>32,20</w:t>
            </w:r>
          </w:p>
        </w:tc>
        <w:tc>
          <w:tcPr>
            <w:tcW w:w="1984" w:type="dxa"/>
            <w:tcBorders>
              <w:top w:val="nil"/>
              <w:left w:val="nil"/>
              <w:bottom w:val="nil"/>
              <w:right w:val="nil"/>
            </w:tcBorders>
            <w:shd w:val="clear" w:color="auto" w:fill="auto"/>
            <w:noWrap/>
            <w:vAlign w:val="bottom"/>
            <w:hideMark/>
          </w:tcPr>
          <w:p w14:paraId="035E41CC" w14:textId="431420ED" w:rsidR="008D1D0C" w:rsidRPr="009C19A1" w:rsidRDefault="008D1D0C" w:rsidP="00A7269C">
            <w:pPr>
              <w:ind w:right="785"/>
              <w:jc w:val="right"/>
              <w:rPr>
                <w:color w:val="000000"/>
              </w:rPr>
            </w:pPr>
            <w:r w:rsidRPr="009C19A1">
              <w:rPr>
                <w:color w:val="000000"/>
              </w:rPr>
              <w:t>20,66</w:t>
            </w:r>
          </w:p>
        </w:tc>
        <w:tc>
          <w:tcPr>
            <w:tcW w:w="1985" w:type="dxa"/>
            <w:tcBorders>
              <w:top w:val="nil"/>
              <w:left w:val="nil"/>
              <w:bottom w:val="nil"/>
              <w:right w:val="nil"/>
            </w:tcBorders>
            <w:shd w:val="clear" w:color="auto" w:fill="auto"/>
            <w:noWrap/>
            <w:vAlign w:val="bottom"/>
            <w:hideMark/>
          </w:tcPr>
          <w:p w14:paraId="520EEEDF" w14:textId="76400E0B" w:rsidR="008D1D0C" w:rsidRPr="009C19A1" w:rsidRDefault="008D1D0C" w:rsidP="00A7269C">
            <w:pPr>
              <w:ind w:right="785"/>
              <w:jc w:val="right"/>
              <w:rPr>
                <w:color w:val="000000"/>
              </w:rPr>
            </w:pPr>
            <w:r w:rsidRPr="009C19A1">
              <w:rPr>
                <w:color w:val="000000"/>
              </w:rPr>
              <w:t>13,26</w:t>
            </w:r>
          </w:p>
        </w:tc>
      </w:tr>
      <w:tr w:rsidR="008D1D0C" w:rsidRPr="009C19A1" w14:paraId="02663EFF" w14:textId="77777777" w:rsidTr="00A7269C">
        <w:trPr>
          <w:trHeight w:val="227"/>
        </w:trPr>
        <w:tc>
          <w:tcPr>
            <w:tcW w:w="1134" w:type="dxa"/>
            <w:tcBorders>
              <w:top w:val="nil"/>
              <w:left w:val="nil"/>
              <w:bottom w:val="nil"/>
              <w:right w:val="nil"/>
            </w:tcBorders>
            <w:shd w:val="clear" w:color="auto" w:fill="auto"/>
            <w:noWrap/>
            <w:vAlign w:val="bottom"/>
            <w:hideMark/>
          </w:tcPr>
          <w:p w14:paraId="61D308B7" w14:textId="77777777" w:rsidR="008D1D0C" w:rsidRPr="009C19A1" w:rsidRDefault="008D1D0C" w:rsidP="00A7269C">
            <w:pPr>
              <w:jc w:val="center"/>
              <w:rPr>
                <w:color w:val="000000"/>
              </w:rPr>
            </w:pPr>
            <w:r w:rsidRPr="009C19A1">
              <w:rPr>
                <w:color w:val="000000"/>
              </w:rPr>
              <w:lastRenderedPageBreak/>
              <w:t>2015</w:t>
            </w:r>
          </w:p>
        </w:tc>
        <w:tc>
          <w:tcPr>
            <w:tcW w:w="1984" w:type="dxa"/>
            <w:tcBorders>
              <w:top w:val="nil"/>
              <w:left w:val="nil"/>
              <w:bottom w:val="nil"/>
              <w:right w:val="nil"/>
            </w:tcBorders>
            <w:shd w:val="clear" w:color="auto" w:fill="auto"/>
            <w:noWrap/>
            <w:vAlign w:val="bottom"/>
            <w:hideMark/>
          </w:tcPr>
          <w:p w14:paraId="780239C8" w14:textId="1267B60F" w:rsidR="008D1D0C" w:rsidRPr="009C19A1" w:rsidRDefault="008D1D0C" w:rsidP="00A7269C">
            <w:pPr>
              <w:ind w:right="785"/>
              <w:jc w:val="right"/>
              <w:rPr>
                <w:color w:val="000000"/>
              </w:rPr>
            </w:pPr>
            <w:r w:rsidRPr="009C19A1">
              <w:rPr>
                <w:color w:val="000000"/>
              </w:rPr>
              <w:t>12,74</w:t>
            </w:r>
          </w:p>
        </w:tc>
        <w:tc>
          <w:tcPr>
            <w:tcW w:w="1985" w:type="dxa"/>
            <w:tcBorders>
              <w:top w:val="nil"/>
              <w:left w:val="nil"/>
              <w:bottom w:val="nil"/>
              <w:right w:val="nil"/>
            </w:tcBorders>
            <w:shd w:val="clear" w:color="auto" w:fill="auto"/>
            <w:noWrap/>
            <w:vAlign w:val="bottom"/>
            <w:hideMark/>
          </w:tcPr>
          <w:p w14:paraId="086F9DAE" w14:textId="2FC00CE1" w:rsidR="008D1D0C" w:rsidRPr="009C19A1" w:rsidRDefault="008D1D0C" w:rsidP="00A7269C">
            <w:pPr>
              <w:ind w:right="785"/>
              <w:jc w:val="right"/>
              <w:rPr>
                <w:color w:val="000000"/>
              </w:rPr>
            </w:pPr>
            <w:r w:rsidRPr="009C19A1">
              <w:rPr>
                <w:color w:val="000000"/>
              </w:rPr>
              <w:t>38,42</w:t>
            </w:r>
          </w:p>
        </w:tc>
        <w:tc>
          <w:tcPr>
            <w:tcW w:w="1984" w:type="dxa"/>
            <w:tcBorders>
              <w:top w:val="nil"/>
              <w:left w:val="nil"/>
              <w:bottom w:val="nil"/>
              <w:right w:val="nil"/>
            </w:tcBorders>
            <w:shd w:val="clear" w:color="auto" w:fill="auto"/>
            <w:noWrap/>
            <w:vAlign w:val="bottom"/>
            <w:hideMark/>
          </w:tcPr>
          <w:p w14:paraId="3D00BE9B" w14:textId="75BAECC0" w:rsidR="008D1D0C" w:rsidRPr="009C19A1" w:rsidRDefault="008D1D0C" w:rsidP="00A7269C">
            <w:pPr>
              <w:ind w:right="785"/>
              <w:jc w:val="right"/>
              <w:rPr>
                <w:color w:val="000000"/>
              </w:rPr>
            </w:pPr>
            <w:r w:rsidRPr="009C19A1">
              <w:rPr>
                <w:color w:val="000000"/>
              </w:rPr>
              <w:t>18,38</w:t>
            </w:r>
          </w:p>
        </w:tc>
        <w:tc>
          <w:tcPr>
            <w:tcW w:w="1985" w:type="dxa"/>
            <w:tcBorders>
              <w:top w:val="nil"/>
              <w:left w:val="nil"/>
              <w:bottom w:val="nil"/>
              <w:right w:val="nil"/>
            </w:tcBorders>
            <w:shd w:val="clear" w:color="auto" w:fill="auto"/>
            <w:noWrap/>
            <w:vAlign w:val="bottom"/>
            <w:hideMark/>
          </w:tcPr>
          <w:p w14:paraId="609D0218" w14:textId="1F1979DD" w:rsidR="008D1D0C" w:rsidRPr="009C19A1" w:rsidRDefault="008D1D0C" w:rsidP="00A7269C">
            <w:pPr>
              <w:ind w:right="785"/>
              <w:jc w:val="right"/>
              <w:rPr>
                <w:color w:val="000000"/>
              </w:rPr>
            </w:pPr>
            <w:r w:rsidRPr="009C19A1">
              <w:rPr>
                <w:color w:val="000000"/>
              </w:rPr>
              <w:t>8,03</w:t>
            </w:r>
          </w:p>
        </w:tc>
      </w:tr>
      <w:tr w:rsidR="008D1D0C" w:rsidRPr="009C19A1" w14:paraId="40C16675" w14:textId="77777777" w:rsidTr="00A7269C">
        <w:trPr>
          <w:trHeight w:val="227"/>
        </w:trPr>
        <w:tc>
          <w:tcPr>
            <w:tcW w:w="1134" w:type="dxa"/>
            <w:tcBorders>
              <w:top w:val="nil"/>
              <w:left w:val="nil"/>
              <w:right w:val="nil"/>
            </w:tcBorders>
            <w:shd w:val="clear" w:color="auto" w:fill="auto"/>
            <w:noWrap/>
            <w:vAlign w:val="bottom"/>
            <w:hideMark/>
          </w:tcPr>
          <w:p w14:paraId="278B5BCF" w14:textId="77777777" w:rsidR="008D1D0C" w:rsidRPr="009C19A1" w:rsidRDefault="008D1D0C" w:rsidP="00A7269C">
            <w:pPr>
              <w:jc w:val="center"/>
              <w:rPr>
                <w:color w:val="000000"/>
              </w:rPr>
            </w:pPr>
            <w:r w:rsidRPr="009C19A1">
              <w:rPr>
                <w:color w:val="000000"/>
              </w:rPr>
              <w:t>2016</w:t>
            </w:r>
          </w:p>
        </w:tc>
        <w:tc>
          <w:tcPr>
            <w:tcW w:w="1984" w:type="dxa"/>
            <w:tcBorders>
              <w:top w:val="nil"/>
              <w:left w:val="nil"/>
              <w:right w:val="nil"/>
            </w:tcBorders>
            <w:shd w:val="clear" w:color="auto" w:fill="auto"/>
            <w:noWrap/>
            <w:vAlign w:val="bottom"/>
            <w:hideMark/>
          </w:tcPr>
          <w:p w14:paraId="284DDD42" w14:textId="2F64CD5B" w:rsidR="008D1D0C" w:rsidRPr="009C19A1" w:rsidRDefault="008D1D0C" w:rsidP="00A7269C">
            <w:pPr>
              <w:ind w:right="785"/>
              <w:jc w:val="right"/>
              <w:rPr>
                <w:color w:val="000000"/>
              </w:rPr>
            </w:pPr>
            <w:r w:rsidRPr="009C19A1">
              <w:rPr>
                <w:color w:val="000000"/>
              </w:rPr>
              <w:t>12,25</w:t>
            </w:r>
          </w:p>
        </w:tc>
        <w:tc>
          <w:tcPr>
            <w:tcW w:w="1985" w:type="dxa"/>
            <w:tcBorders>
              <w:top w:val="nil"/>
              <w:left w:val="nil"/>
              <w:right w:val="nil"/>
            </w:tcBorders>
            <w:shd w:val="clear" w:color="auto" w:fill="auto"/>
            <w:noWrap/>
            <w:vAlign w:val="bottom"/>
            <w:hideMark/>
          </w:tcPr>
          <w:p w14:paraId="4E2DFB47" w14:textId="4926ED21" w:rsidR="008D1D0C" w:rsidRPr="009C19A1" w:rsidRDefault="008D1D0C" w:rsidP="00A7269C">
            <w:pPr>
              <w:ind w:right="785"/>
              <w:jc w:val="right"/>
              <w:rPr>
                <w:color w:val="000000"/>
              </w:rPr>
            </w:pPr>
            <w:r w:rsidRPr="009C19A1">
              <w:rPr>
                <w:color w:val="000000"/>
              </w:rPr>
              <w:t>39,90</w:t>
            </w:r>
          </w:p>
        </w:tc>
        <w:tc>
          <w:tcPr>
            <w:tcW w:w="1984" w:type="dxa"/>
            <w:tcBorders>
              <w:top w:val="nil"/>
              <w:left w:val="nil"/>
              <w:right w:val="nil"/>
            </w:tcBorders>
            <w:shd w:val="clear" w:color="auto" w:fill="auto"/>
            <w:noWrap/>
            <w:vAlign w:val="bottom"/>
            <w:hideMark/>
          </w:tcPr>
          <w:p w14:paraId="550DA583" w14:textId="7563F95B" w:rsidR="008D1D0C" w:rsidRPr="009C19A1" w:rsidRDefault="008D1D0C" w:rsidP="00A7269C">
            <w:pPr>
              <w:ind w:right="785"/>
              <w:jc w:val="right"/>
              <w:rPr>
                <w:color w:val="000000"/>
              </w:rPr>
            </w:pPr>
            <w:r w:rsidRPr="009C19A1">
              <w:rPr>
                <w:color w:val="000000"/>
              </w:rPr>
              <w:t>13,56</w:t>
            </w:r>
          </w:p>
        </w:tc>
        <w:tc>
          <w:tcPr>
            <w:tcW w:w="1985" w:type="dxa"/>
            <w:tcBorders>
              <w:top w:val="nil"/>
              <w:left w:val="nil"/>
              <w:right w:val="nil"/>
            </w:tcBorders>
            <w:shd w:val="clear" w:color="auto" w:fill="auto"/>
            <w:noWrap/>
            <w:vAlign w:val="bottom"/>
            <w:hideMark/>
          </w:tcPr>
          <w:p w14:paraId="079380D0" w14:textId="17620741" w:rsidR="008D1D0C" w:rsidRPr="009C19A1" w:rsidRDefault="008D1D0C" w:rsidP="00A7269C">
            <w:pPr>
              <w:ind w:right="785"/>
              <w:jc w:val="right"/>
              <w:rPr>
                <w:color w:val="000000"/>
              </w:rPr>
            </w:pPr>
            <w:r w:rsidRPr="009C19A1">
              <w:rPr>
                <w:color w:val="000000"/>
              </w:rPr>
              <w:t>12,17</w:t>
            </w:r>
          </w:p>
        </w:tc>
      </w:tr>
      <w:tr w:rsidR="008D1D0C" w:rsidRPr="009C19A1" w14:paraId="0D25BF84" w14:textId="77777777" w:rsidTr="00A7269C">
        <w:trPr>
          <w:trHeight w:val="227"/>
        </w:trPr>
        <w:tc>
          <w:tcPr>
            <w:tcW w:w="1134" w:type="dxa"/>
            <w:tcBorders>
              <w:top w:val="nil"/>
              <w:left w:val="nil"/>
              <w:bottom w:val="single" w:sz="12" w:space="0" w:color="auto"/>
              <w:right w:val="nil"/>
            </w:tcBorders>
            <w:shd w:val="clear" w:color="auto" w:fill="auto"/>
            <w:noWrap/>
            <w:vAlign w:val="bottom"/>
            <w:hideMark/>
          </w:tcPr>
          <w:p w14:paraId="56846780" w14:textId="77777777" w:rsidR="008D1D0C" w:rsidRPr="009C19A1" w:rsidRDefault="008D1D0C" w:rsidP="00A7269C">
            <w:pPr>
              <w:jc w:val="center"/>
              <w:rPr>
                <w:color w:val="000000"/>
              </w:rPr>
            </w:pPr>
            <w:r w:rsidRPr="009C19A1">
              <w:rPr>
                <w:color w:val="000000"/>
              </w:rPr>
              <w:t>2017</w:t>
            </w:r>
          </w:p>
        </w:tc>
        <w:tc>
          <w:tcPr>
            <w:tcW w:w="1984" w:type="dxa"/>
            <w:tcBorders>
              <w:top w:val="nil"/>
              <w:left w:val="nil"/>
              <w:bottom w:val="single" w:sz="12" w:space="0" w:color="auto"/>
              <w:right w:val="nil"/>
            </w:tcBorders>
            <w:shd w:val="clear" w:color="auto" w:fill="auto"/>
            <w:noWrap/>
            <w:vAlign w:val="bottom"/>
            <w:hideMark/>
          </w:tcPr>
          <w:p w14:paraId="308380E7" w14:textId="26BD115F" w:rsidR="008D1D0C" w:rsidRPr="009C19A1" w:rsidRDefault="008D1D0C" w:rsidP="00A7269C">
            <w:pPr>
              <w:ind w:right="785"/>
              <w:jc w:val="right"/>
              <w:rPr>
                <w:color w:val="000000"/>
              </w:rPr>
            </w:pPr>
            <w:r w:rsidRPr="009C19A1">
              <w:rPr>
                <w:color w:val="000000"/>
              </w:rPr>
              <w:t>10,39</w:t>
            </w:r>
          </w:p>
        </w:tc>
        <w:tc>
          <w:tcPr>
            <w:tcW w:w="1985" w:type="dxa"/>
            <w:tcBorders>
              <w:top w:val="nil"/>
              <w:left w:val="nil"/>
              <w:bottom w:val="single" w:sz="12" w:space="0" w:color="auto"/>
              <w:right w:val="nil"/>
            </w:tcBorders>
            <w:shd w:val="clear" w:color="auto" w:fill="auto"/>
            <w:noWrap/>
            <w:vAlign w:val="bottom"/>
            <w:hideMark/>
          </w:tcPr>
          <w:p w14:paraId="3FF4EADF" w14:textId="3E502B4D" w:rsidR="008D1D0C" w:rsidRPr="009C19A1" w:rsidRDefault="008D1D0C" w:rsidP="00A7269C">
            <w:pPr>
              <w:ind w:right="785"/>
              <w:jc w:val="right"/>
              <w:rPr>
                <w:color w:val="000000"/>
              </w:rPr>
            </w:pPr>
            <w:r w:rsidRPr="009C19A1">
              <w:rPr>
                <w:color w:val="000000"/>
              </w:rPr>
              <w:t>44,58</w:t>
            </w:r>
          </w:p>
        </w:tc>
        <w:tc>
          <w:tcPr>
            <w:tcW w:w="1984" w:type="dxa"/>
            <w:tcBorders>
              <w:top w:val="nil"/>
              <w:left w:val="nil"/>
              <w:bottom w:val="single" w:sz="12" w:space="0" w:color="auto"/>
              <w:right w:val="nil"/>
            </w:tcBorders>
            <w:shd w:val="clear" w:color="auto" w:fill="auto"/>
            <w:noWrap/>
            <w:vAlign w:val="bottom"/>
            <w:hideMark/>
          </w:tcPr>
          <w:p w14:paraId="31E33565" w14:textId="2499EEE2" w:rsidR="008D1D0C" w:rsidRPr="009C19A1" w:rsidRDefault="008D1D0C" w:rsidP="00A7269C">
            <w:pPr>
              <w:ind w:right="785"/>
              <w:jc w:val="right"/>
              <w:rPr>
                <w:color w:val="000000"/>
              </w:rPr>
            </w:pPr>
            <w:r w:rsidRPr="009C19A1">
              <w:rPr>
                <w:color w:val="000000"/>
              </w:rPr>
              <w:t>12,80</w:t>
            </w:r>
          </w:p>
        </w:tc>
        <w:tc>
          <w:tcPr>
            <w:tcW w:w="1985" w:type="dxa"/>
            <w:tcBorders>
              <w:top w:val="nil"/>
              <w:left w:val="nil"/>
              <w:bottom w:val="single" w:sz="12" w:space="0" w:color="auto"/>
              <w:right w:val="nil"/>
            </w:tcBorders>
            <w:shd w:val="clear" w:color="auto" w:fill="auto"/>
            <w:noWrap/>
            <w:vAlign w:val="bottom"/>
            <w:hideMark/>
          </w:tcPr>
          <w:p w14:paraId="748428FF" w14:textId="406E19A3" w:rsidR="008D1D0C" w:rsidRPr="009C19A1" w:rsidRDefault="008D1D0C" w:rsidP="00A7269C">
            <w:pPr>
              <w:ind w:right="785"/>
              <w:jc w:val="right"/>
              <w:rPr>
                <w:color w:val="000000"/>
              </w:rPr>
            </w:pPr>
            <w:r w:rsidRPr="009C19A1">
              <w:rPr>
                <w:color w:val="000000"/>
              </w:rPr>
              <w:t>12,37</w:t>
            </w:r>
          </w:p>
        </w:tc>
      </w:tr>
    </w:tbl>
    <w:p w14:paraId="7C30EE9C" w14:textId="77777777" w:rsidR="008D1D0C" w:rsidRPr="00A7269C" w:rsidRDefault="008D1D0C" w:rsidP="002A63B7">
      <w:pPr>
        <w:rPr>
          <w:sz w:val="20"/>
          <w:szCs w:val="20"/>
        </w:rPr>
      </w:pPr>
      <w:r w:rsidRPr="00A7269C">
        <w:rPr>
          <w:sz w:val="20"/>
          <w:szCs w:val="20"/>
        </w:rPr>
        <w:t>Fonte: Dados da pesquisa.</w:t>
      </w:r>
    </w:p>
    <w:p w14:paraId="11E5BFC7" w14:textId="5C2C8166" w:rsidR="008D1D0C" w:rsidRPr="009C19A1" w:rsidRDefault="008D1D0C" w:rsidP="00A315AA">
      <w:pPr>
        <w:spacing w:line="360" w:lineRule="auto"/>
        <w:ind w:firstLine="709"/>
        <w:jc w:val="both"/>
      </w:pPr>
      <w:r w:rsidRPr="009C19A1">
        <w:t xml:space="preserve">Percebe-se que </w:t>
      </w:r>
      <w:r w:rsidR="005C4276" w:rsidRPr="009C19A1">
        <w:t>durante todo o período analisado</w:t>
      </w:r>
      <w:r w:rsidRPr="009C19A1">
        <w:t xml:space="preserve"> o Brasil </w:t>
      </w:r>
      <w:r w:rsidR="009F47A9" w:rsidRPr="009C19A1">
        <w:t>ob</w:t>
      </w:r>
      <w:r w:rsidRPr="009C19A1">
        <w:t xml:space="preserve">teve </w:t>
      </w:r>
      <w:r w:rsidR="005C4276" w:rsidRPr="009C19A1">
        <w:t>um</w:t>
      </w:r>
      <w:r w:rsidR="002731CC" w:rsidRPr="009C19A1">
        <w:t xml:space="preserve"> </w:t>
      </w:r>
      <w:r w:rsidR="002731CC" w:rsidRPr="009C19A1">
        <w:rPr>
          <w:i/>
          <w:iCs/>
        </w:rPr>
        <w:t xml:space="preserve">Market </w:t>
      </w:r>
      <w:proofErr w:type="spellStart"/>
      <w:r w:rsidR="002731CC" w:rsidRPr="009C19A1">
        <w:rPr>
          <w:i/>
          <w:iCs/>
        </w:rPr>
        <w:t>Share</w:t>
      </w:r>
      <w:proofErr w:type="spellEnd"/>
      <w:r w:rsidR="005C4276" w:rsidRPr="009C19A1">
        <w:t xml:space="preserve"> médio de 6,6%</w:t>
      </w:r>
      <w:r w:rsidRPr="009C19A1">
        <w:t xml:space="preserve">, </w:t>
      </w:r>
      <w:r w:rsidR="005C4276" w:rsidRPr="009C19A1">
        <w:t xml:space="preserve">e que entre 2000 e 2015 </w:t>
      </w:r>
      <w:r w:rsidRPr="009C19A1">
        <w:t xml:space="preserve">a </w:t>
      </w:r>
      <w:r w:rsidR="005C4276" w:rsidRPr="009C19A1">
        <w:t>participação nas</w:t>
      </w:r>
      <w:r w:rsidRPr="009C19A1">
        <w:t xml:space="preserve"> exporta</w:t>
      </w:r>
      <w:r w:rsidR="005C4276" w:rsidRPr="009C19A1">
        <w:t xml:space="preserve">ções mundiais </w:t>
      </w:r>
      <w:r w:rsidRPr="009C19A1">
        <w:t>cresceu em 25 vezes, mostrando</w:t>
      </w:r>
      <w:r w:rsidR="007F46DA" w:rsidRPr="009C19A1">
        <w:t xml:space="preserve"> a importância desta cultura e</w:t>
      </w:r>
      <w:r w:rsidRPr="009C19A1">
        <w:t xml:space="preserve"> o empenho dos produtores brasileiros em atender a demanda interna e ainda produzir excedente para o mercado externo. Quando comparado ao mesmo período, os EUA ampliaram sua fatia em apenas 1,2 vezes, Índia em mais de 130 vezes e a Austrália reduziu pela metade a</w:t>
      </w:r>
      <w:r w:rsidR="005C4276" w:rsidRPr="009C19A1">
        <w:t xml:space="preserve"> sua participação nas </w:t>
      </w:r>
      <w:r w:rsidRPr="009C19A1">
        <w:t>exportações de algodão em pluma.</w:t>
      </w:r>
    </w:p>
    <w:p w14:paraId="35FAEF5D" w14:textId="117C48A8" w:rsidR="008D1D0C" w:rsidRPr="009C19A1" w:rsidRDefault="008D1D0C" w:rsidP="00A315AA">
      <w:pPr>
        <w:spacing w:line="360" w:lineRule="auto"/>
        <w:ind w:firstLine="709"/>
        <w:jc w:val="both"/>
      </w:pPr>
      <w:r w:rsidRPr="009C19A1">
        <w:t xml:space="preserve">É notável que durante toda a série, mas principalmente em 2006, os Estados Unidos foram </w:t>
      </w:r>
      <w:r w:rsidR="00410265" w:rsidRPr="009C19A1">
        <w:t xml:space="preserve">o principal </w:t>
      </w:r>
      <w:r w:rsidR="00410265" w:rsidRPr="009C19A1">
        <w:rPr>
          <w:i/>
          <w:iCs/>
        </w:rPr>
        <w:t xml:space="preserve">player </w:t>
      </w:r>
      <w:r w:rsidR="00410265" w:rsidRPr="009C19A1">
        <w:t>deste mercado, respondendo</w:t>
      </w:r>
      <w:r w:rsidRPr="009C19A1">
        <w:t xml:space="preserve"> por u</w:t>
      </w:r>
      <w:r w:rsidR="00410265" w:rsidRPr="009C19A1">
        <w:t xml:space="preserve">m </w:t>
      </w:r>
      <w:r w:rsidR="00410265" w:rsidRPr="009C19A1">
        <w:rPr>
          <w:i/>
          <w:iCs/>
        </w:rPr>
        <w:t xml:space="preserve">Market </w:t>
      </w:r>
      <w:proofErr w:type="spellStart"/>
      <w:r w:rsidR="00410265" w:rsidRPr="009C19A1">
        <w:rPr>
          <w:i/>
          <w:iCs/>
        </w:rPr>
        <w:t>Share</w:t>
      </w:r>
      <w:proofErr w:type="spellEnd"/>
      <w:r w:rsidRPr="009C19A1">
        <w:t xml:space="preserve"> de 50% das exportações totais mundiais. Em 2017 </w:t>
      </w:r>
      <w:r w:rsidR="00410265" w:rsidRPr="009C19A1">
        <w:t>o país alcançou</w:t>
      </w:r>
      <w:r w:rsidRPr="009C19A1">
        <w:t xml:space="preserve"> 44,6% do total de exportações, a Índia foi a segunda maior exportadora da </w:t>
      </w:r>
      <w:r w:rsidRPr="009C19A1">
        <w:rPr>
          <w:i/>
          <w:iCs/>
        </w:rPr>
        <w:t>commodity</w:t>
      </w:r>
      <w:r w:rsidRPr="009C19A1">
        <w:t xml:space="preserve"> com 12,8%, Austrália, com 12,4% e Brasil com 10,4%</w:t>
      </w:r>
      <w:r w:rsidR="00410265" w:rsidRPr="009C19A1">
        <w:t xml:space="preserve"> e</w:t>
      </w:r>
      <w:r w:rsidRPr="009C19A1">
        <w:t xml:space="preserve"> a Grécia</w:t>
      </w:r>
      <w:r w:rsidR="00410265" w:rsidRPr="009C19A1">
        <w:t xml:space="preserve">, que </w:t>
      </w:r>
      <w:r w:rsidRPr="009C19A1">
        <w:t xml:space="preserve">é </w:t>
      </w:r>
      <w:r w:rsidR="00410265" w:rsidRPr="009C19A1">
        <w:t>a</w:t>
      </w:r>
      <w:r w:rsidRPr="009C19A1">
        <w:t xml:space="preserve"> 5º maior </w:t>
      </w:r>
      <w:r w:rsidR="007F46DA" w:rsidRPr="009C19A1">
        <w:t>exportadora</w:t>
      </w:r>
      <w:r w:rsidRPr="009C19A1">
        <w:t xml:space="preserve"> mundial, com uma fatia de 3%. </w:t>
      </w:r>
      <w:r w:rsidR="00D670F1">
        <w:t>A Figura</w:t>
      </w:r>
      <w:r w:rsidRPr="009C19A1">
        <w:t xml:space="preserve"> </w:t>
      </w:r>
      <w:r w:rsidR="00BB38F8" w:rsidRPr="009C19A1">
        <w:t>(</w:t>
      </w:r>
      <w:r w:rsidR="009F47A9" w:rsidRPr="009C19A1">
        <w:t>3</w:t>
      </w:r>
      <w:r w:rsidR="00BB38F8" w:rsidRPr="009C19A1">
        <w:t>)</w:t>
      </w:r>
      <w:r w:rsidRPr="009C19A1">
        <w:t xml:space="preserve"> mostra em maiores detalhes o percentual desses números.</w:t>
      </w:r>
    </w:p>
    <w:p w14:paraId="62C5D97D" w14:textId="139760AC" w:rsidR="00B40814" w:rsidRPr="009C19A1" w:rsidRDefault="00B40814" w:rsidP="002A63B7"/>
    <w:p w14:paraId="2288415E" w14:textId="77777777" w:rsidR="008D1D0C" w:rsidRPr="009C19A1" w:rsidRDefault="008D1D0C" w:rsidP="00A7269C">
      <w:pPr>
        <w:jc w:val="center"/>
      </w:pPr>
      <w:r w:rsidRPr="009C19A1">
        <w:rPr>
          <w:noProof/>
        </w:rPr>
        <w:drawing>
          <wp:inline distT="0" distB="0" distL="0" distR="0" wp14:anchorId="76AE2DA0" wp14:editId="00EFCCA3">
            <wp:extent cx="4572000" cy="2409825"/>
            <wp:effectExtent l="0" t="0" r="0" b="9525"/>
            <wp:docPr id="5" name="Gráfico 5">
              <a:extLst xmlns:a="http://schemas.openxmlformats.org/drawingml/2006/main">
                <a:ext uri="{FF2B5EF4-FFF2-40B4-BE49-F238E27FC236}">
                  <a16:creationId xmlns:a16="http://schemas.microsoft.com/office/drawing/2014/main" id="{7DC9B156-D61C-40D1-B5E7-951F98828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6B7858" w14:textId="3FB5CE5C" w:rsidR="00A7269C" w:rsidRPr="009C19A1" w:rsidRDefault="00A7269C" w:rsidP="00A7269C">
      <w:r w:rsidRPr="00A7269C">
        <w:rPr>
          <w:b/>
          <w:bCs/>
        </w:rPr>
        <w:t>Figura 3.</w:t>
      </w:r>
      <w:r w:rsidRPr="009C19A1">
        <w:t xml:space="preserve"> Principais detentores de fatias do mercado de algodão em pluma </w:t>
      </w:r>
      <w:r>
        <w:t>–</w:t>
      </w:r>
      <w:r w:rsidRPr="009C19A1">
        <w:t xml:space="preserve"> 2017</w:t>
      </w:r>
      <w:r>
        <w:t>.</w:t>
      </w:r>
    </w:p>
    <w:p w14:paraId="604082DF" w14:textId="0BDE2815" w:rsidR="008D1D0C" w:rsidRPr="00A7269C" w:rsidRDefault="008D1D0C" w:rsidP="002A63B7">
      <w:pPr>
        <w:rPr>
          <w:sz w:val="20"/>
          <w:szCs w:val="20"/>
        </w:rPr>
      </w:pPr>
      <w:r w:rsidRPr="00A7269C">
        <w:rPr>
          <w:sz w:val="20"/>
          <w:szCs w:val="20"/>
        </w:rPr>
        <w:t>Fonte: Dados da pesquisa</w:t>
      </w:r>
      <w:r w:rsidR="00A7269C">
        <w:rPr>
          <w:sz w:val="20"/>
          <w:szCs w:val="20"/>
        </w:rPr>
        <w:t>.</w:t>
      </w:r>
    </w:p>
    <w:p w14:paraId="5265680A" w14:textId="77777777" w:rsidR="00A315AA" w:rsidRDefault="00A315AA" w:rsidP="002A63B7"/>
    <w:p w14:paraId="79DDF95F" w14:textId="77777777" w:rsidR="00A7269C" w:rsidRDefault="00A7269C" w:rsidP="00A315AA">
      <w:pPr>
        <w:spacing w:line="360" w:lineRule="auto"/>
        <w:ind w:firstLine="709"/>
        <w:jc w:val="both"/>
      </w:pPr>
    </w:p>
    <w:p w14:paraId="0B3B3148" w14:textId="64B47449" w:rsidR="008D1D0C" w:rsidRPr="009C19A1" w:rsidRDefault="008D1D0C" w:rsidP="00A315AA">
      <w:pPr>
        <w:spacing w:line="360" w:lineRule="auto"/>
        <w:ind w:firstLine="709"/>
        <w:jc w:val="both"/>
      </w:pPr>
      <w:r w:rsidRPr="009C19A1">
        <w:t>Recorta-se o mercado exportador do Brasil e da Índia devido suas semelhanças, seja pelo tamanho d</w:t>
      </w:r>
      <w:r w:rsidR="002731CC" w:rsidRPr="009C19A1">
        <w:t xml:space="preserve">o </w:t>
      </w:r>
      <w:r w:rsidR="002731CC" w:rsidRPr="009C19A1">
        <w:rPr>
          <w:i/>
          <w:iCs/>
        </w:rPr>
        <w:t xml:space="preserve">Market </w:t>
      </w:r>
      <w:proofErr w:type="spellStart"/>
      <w:r w:rsidR="002731CC" w:rsidRPr="009C19A1">
        <w:rPr>
          <w:i/>
          <w:iCs/>
        </w:rPr>
        <w:t>Share</w:t>
      </w:r>
      <w:proofErr w:type="spellEnd"/>
      <w:r w:rsidRPr="009C19A1">
        <w:t xml:space="preserve"> ou pelas políticas econômicas no que diz respeito ao comércio de </w:t>
      </w:r>
      <w:r w:rsidRPr="009C19A1">
        <w:rPr>
          <w:i/>
          <w:iCs/>
        </w:rPr>
        <w:t>commodities</w:t>
      </w:r>
      <w:r w:rsidRPr="009C19A1">
        <w:t xml:space="preserve"> agrícolas e compara-se a competitividade, via IVCR e ICS destes com o mercado norte-americano, pelo seu grande volume e sua política ostensiva de subsídios agrícolas.</w:t>
      </w:r>
    </w:p>
    <w:p w14:paraId="78DE592A" w14:textId="34EBA2ED" w:rsidR="008D1D0C" w:rsidRPr="009C19A1" w:rsidRDefault="008D1D0C" w:rsidP="00A315AA">
      <w:pPr>
        <w:spacing w:line="360" w:lineRule="auto"/>
        <w:ind w:firstLine="709"/>
        <w:jc w:val="both"/>
      </w:pPr>
      <w:r w:rsidRPr="009C19A1">
        <w:lastRenderedPageBreak/>
        <w:t>A Tabela 2 mostra a série de 2000 a 2017 do Índice de Vantagens Comparativas Reveladas dos três países recortados para o estudo. É notável que os três países possuem valores acima da unidade na maior parte do período do analisado, indicando que este mercado possu</w:t>
      </w:r>
      <w:r w:rsidR="00A7269C">
        <w:t>i</w:t>
      </w:r>
      <w:r w:rsidRPr="009C19A1">
        <w:t xml:space="preserve"> vantagens comparativas reveladas nas balanças destes países.</w:t>
      </w:r>
    </w:p>
    <w:p w14:paraId="050FA170" w14:textId="77777777" w:rsidR="00955F81" w:rsidRPr="009C19A1" w:rsidRDefault="00955F81" w:rsidP="002A63B7"/>
    <w:p w14:paraId="3F8D00F1" w14:textId="77777777" w:rsidR="00A7269C" w:rsidRDefault="008D1D0C" w:rsidP="002A63B7">
      <w:r w:rsidRPr="009C19A1">
        <w:t>Tabela 2</w:t>
      </w:r>
    </w:p>
    <w:p w14:paraId="43B0FEDC" w14:textId="4E5C47AE" w:rsidR="008D1D0C" w:rsidRDefault="008D1D0C" w:rsidP="002A63B7">
      <w:pPr>
        <w:rPr>
          <w:b/>
          <w:bCs/>
        </w:rPr>
      </w:pPr>
      <w:r w:rsidRPr="00A7269C">
        <w:rPr>
          <w:b/>
          <w:bCs/>
        </w:rPr>
        <w:t xml:space="preserve">Índice de </w:t>
      </w:r>
      <w:r w:rsidR="00A7269C" w:rsidRPr="00A7269C">
        <w:rPr>
          <w:b/>
          <w:bCs/>
        </w:rPr>
        <w:t xml:space="preserve">vantagens comparativas reveladas no </w:t>
      </w:r>
      <w:r w:rsidR="00A43B92" w:rsidRPr="00A7269C">
        <w:rPr>
          <w:b/>
          <w:bCs/>
        </w:rPr>
        <w:t>período de 2000-2017</w:t>
      </w:r>
    </w:p>
    <w:p w14:paraId="4536CC0E" w14:textId="77777777" w:rsidR="00A7269C" w:rsidRPr="00A7269C" w:rsidRDefault="00A7269C" w:rsidP="002A63B7"/>
    <w:tbl>
      <w:tblPr>
        <w:tblW w:w="9072" w:type="dxa"/>
        <w:tblLayout w:type="fixed"/>
        <w:tblCellMar>
          <w:left w:w="70" w:type="dxa"/>
          <w:right w:w="70" w:type="dxa"/>
        </w:tblCellMar>
        <w:tblLook w:val="04A0" w:firstRow="1" w:lastRow="0" w:firstColumn="1" w:lastColumn="0" w:noHBand="0" w:noVBand="1"/>
      </w:tblPr>
      <w:tblGrid>
        <w:gridCol w:w="2268"/>
        <w:gridCol w:w="2268"/>
        <w:gridCol w:w="2268"/>
        <w:gridCol w:w="2268"/>
      </w:tblGrid>
      <w:tr w:rsidR="008D1D0C" w:rsidRPr="009C19A1" w14:paraId="705BBFAA" w14:textId="77777777" w:rsidTr="00A7269C">
        <w:trPr>
          <w:trHeight w:val="227"/>
        </w:trPr>
        <w:tc>
          <w:tcPr>
            <w:tcW w:w="2268" w:type="dxa"/>
            <w:tcBorders>
              <w:top w:val="single" w:sz="12" w:space="0" w:color="auto"/>
              <w:left w:val="nil"/>
              <w:bottom w:val="single" w:sz="12" w:space="0" w:color="auto"/>
              <w:right w:val="nil"/>
            </w:tcBorders>
            <w:shd w:val="clear" w:color="auto" w:fill="auto"/>
            <w:noWrap/>
            <w:vAlign w:val="center"/>
            <w:hideMark/>
          </w:tcPr>
          <w:p w14:paraId="782E0819" w14:textId="77777777" w:rsidR="008D1D0C" w:rsidRPr="009C19A1" w:rsidRDefault="008D1D0C" w:rsidP="00A7269C">
            <w:pPr>
              <w:jc w:val="center"/>
              <w:rPr>
                <w:b/>
              </w:rPr>
            </w:pPr>
            <w:r w:rsidRPr="009C19A1">
              <w:rPr>
                <w:b/>
              </w:rPr>
              <w:t>Período</w:t>
            </w:r>
          </w:p>
        </w:tc>
        <w:tc>
          <w:tcPr>
            <w:tcW w:w="2268" w:type="dxa"/>
            <w:tcBorders>
              <w:top w:val="single" w:sz="12" w:space="0" w:color="auto"/>
              <w:left w:val="nil"/>
              <w:bottom w:val="single" w:sz="12" w:space="0" w:color="auto"/>
              <w:right w:val="nil"/>
            </w:tcBorders>
            <w:shd w:val="clear" w:color="auto" w:fill="auto"/>
            <w:noWrap/>
            <w:vAlign w:val="center"/>
            <w:hideMark/>
          </w:tcPr>
          <w:p w14:paraId="18F9A08B" w14:textId="77777777" w:rsidR="008D1D0C" w:rsidRPr="009C19A1" w:rsidRDefault="008D1D0C" w:rsidP="00A7269C">
            <w:pPr>
              <w:jc w:val="center"/>
              <w:rPr>
                <w:b/>
                <w:color w:val="000000"/>
              </w:rPr>
            </w:pPr>
            <w:r w:rsidRPr="009C19A1">
              <w:rPr>
                <w:b/>
                <w:color w:val="000000"/>
              </w:rPr>
              <w:t>Brasil</w:t>
            </w:r>
          </w:p>
        </w:tc>
        <w:tc>
          <w:tcPr>
            <w:tcW w:w="2268" w:type="dxa"/>
            <w:tcBorders>
              <w:top w:val="single" w:sz="12" w:space="0" w:color="auto"/>
              <w:left w:val="nil"/>
              <w:bottom w:val="single" w:sz="12" w:space="0" w:color="auto"/>
              <w:right w:val="nil"/>
            </w:tcBorders>
            <w:shd w:val="clear" w:color="auto" w:fill="auto"/>
            <w:noWrap/>
            <w:vAlign w:val="center"/>
            <w:hideMark/>
          </w:tcPr>
          <w:p w14:paraId="3B90B8E8" w14:textId="77777777" w:rsidR="008D1D0C" w:rsidRPr="009C19A1" w:rsidRDefault="008D1D0C" w:rsidP="00A7269C">
            <w:pPr>
              <w:jc w:val="center"/>
              <w:rPr>
                <w:b/>
                <w:color w:val="000000"/>
              </w:rPr>
            </w:pPr>
            <w:r w:rsidRPr="009C19A1">
              <w:rPr>
                <w:b/>
                <w:color w:val="000000"/>
              </w:rPr>
              <w:t>EUA</w:t>
            </w:r>
          </w:p>
        </w:tc>
        <w:tc>
          <w:tcPr>
            <w:tcW w:w="2268" w:type="dxa"/>
            <w:tcBorders>
              <w:top w:val="single" w:sz="12" w:space="0" w:color="auto"/>
              <w:left w:val="nil"/>
              <w:bottom w:val="single" w:sz="12" w:space="0" w:color="auto"/>
              <w:right w:val="nil"/>
            </w:tcBorders>
            <w:shd w:val="clear" w:color="auto" w:fill="auto"/>
            <w:noWrap/>
            <w:vAlign w:val="center"/>
            <w:hideMark/>
          </w:tcPr>
          <w:p w14:paraId="3A126FE7" w14:textId="77777777" w:rsidR="008D1D0C" w:rsidRPr="009C19A1" w:rsidRDefault="008D1D0C" w:rsidP="00A7269C">
            <w:pPr>
              <w:jc w:val="center"/>
              <w:rPr>
                <w:b/>
                <w:color w:val="000000"/>
              </w:rPr>
            </w:pPr>
            <w:r w:rsidRPr="009C19A1">
              <w:rPr>
                <w:b/>
                <w:color w:val="000000"/>
              </w:rPr>
              <w:t>Índia</w:t>
            </w:r>
          </w:p>
        </w:tc>
      </w:tr>
      <w:tr w:rsidR="008D1D0C" w:rsidRPr="009C19A1" w14:paraId="089314DD" w14:textId="77777777" w:rsidTr="00A7269C">
        <w:trPr>
          <w:trHeight w:val="227"/>
        </w:trPr>
        <w:tc>
          <w:tcPr>
            <w:tcW w:w="2268" w:type="dxa"/>
            <w:tcBorders>
              <w:top w:val="single" w:sz="12" w:space="0" w:color="auto"/>
              <w:left w:val="nil"/>
              <w:bottom w:val="nil"/>
              <w:right w:val="nil"/>
            </w:tcBorders>
            <w:shd w:val="clear" w:color="auto" w:fill="auto"/>
            <w:noWrap/>
            <w:vAlign w:val="center"/>
            <w:hideMark/>
          </w:tcPr>
          <w:p w14:paraId="0AD4D94B" w14:textId="77777777" w:rsidR="008D1D0C" w:rsidRPr="009C19A1" w:rsidRDefault="008D1D0C" w:rsidP="00A7269C">
            <w:pPr>
              <w:jc w:val="center"/>
              <w:rPr>
                <w:color w:val="000000"/>
              </w:rPr>
            </w:pPr>
            <w:r w:rsidRPr="009C19A1">
              <w:rPr>
                <w:color w:val="000000"/>
              </w:rPr>
              <w:t>2000</w:t>
            </w:r>
          </w:p>
        </w:tc>
        <w:tc>
          <w:tcPr>
            <w:tcW w:w="2268" w:type="dxa"/>
            <w:tcBorders>
              <w:top w:val="single" w:sz="12" w:space="0" w:color="auto"/>
              <w:left w:val="nil"/>
              <w:bottom w:val="nil"/>
              <w:right w:val="nil"/>
            </w:tcBorders>
            <w:shd w:val="clear" w:color="auto" w:fill="auto"/>
            <w:noWrap/>
            <w:vAlign w:val="center"/>
            <w:hideMark/>
          </w:tcPr>
          <w:p w14:paraId="22A0C187" w14:textId="77777777" w:rsidR="008D1D0C" w:rsidRPr="009C19A1" w:rsidRDefault="008D1D0C" w:rsidP="00A7269C">
            <w:pPr>
              <w:jc w:val="center"/>
              <w:rPr>
                <w:color w:val="000000"/>
              </w:rPr>
            </w:pPr>
            <w:r w:rsidRPr="009C19A1">
              <w:rPr>
                <w:color w:val="000000"/>
              </w:rPr>
              <w:t>0,579</w:t>
            </w:r>
          </w:p>
        </w:tc>
        <w:tc>
          <w:tcPr>
            <w:tcW w:w="2268" w:type="dxa"/>
            <w:tcBorders>
              <w:top w:val="single" w:sz="12" w:space="0" w:color="auto"/>
              <w:left w:val="nil"/>
              <w:bottom w:val="nil"/>
              <w:right w:val="nil"/>
            </w:tcBorders>
            <w:shd w:val="clear" w:color="auto" w:fill="auto"/>
            <w:noWrap/>
            <w:vAlign w:val="center"/>
            <w:hideMark/>
          </w:tcPr>
          <w:p w14:paraId="0C2D2320" w14:textId="77777777" w:rsidR="008D1D0C" w:rsidRPr="009C19A1" w:rsidRDefault="008D1D0C" w:rsidP="00A7269C">
            <w:pPr>
              <w:jc w:val="center"/>
              <w:rPr>
                <w:color w:val="000000"/>
              </w:rPr>
            </w:pPr>
            <w:r w:rsidRPr="009C19A1">
              <w:rPr>
                <w:color w:val="000000"/>
              </w:rPr>
              <w:t>2,426</w:t>
            </w:r>
          </w:p>
        </w:tc>
        <w:tc>
          <w:tcPr>
            <w:tcW w:w="2268" w:type="dxa"/>
            <w:tcBorders>
              <w:top w:val="single" w:sz="12" w:space="0" w:color="auto"/>
              <w:left w:val="nil"/>
              <w:bottom w:val="nil"/>
              <w:right w:val="nil"/>
            </w:tcBorders>
            <w:shd w:val="clear" w:color="auto" w:fill="auto"/>
            <w:noWrap/>
            <w:vAlign w:val="center"/>
            <w:hideMark/>
          </w:tcPr>
          <w:p w14:paraId="3AA93640" w14:textId="77777777" w:rsidR="008D1D0C" w:rsidRPr="009C19A1" w:rsidRDefault="008D1D0C" w:rsidP="00A7269C">
            <w:pPr>
              <w:jc w:val="center"/>
              <w:rPr>
                <w:color w:val="000000"/>
              </w:rPr>
            </w:pPr>
            <w:r w:rsidRPr="009C19A1">
              <w:rPr>
                <w:color w:val="000000"/>
              </w:rPr>
              <w:t>0,202</w:t>
            </w:r>
          </w:p>
        </w:tc>
      </w:tr>
      <w:tr w:rsidR="008D1D0C" w:rsidRPr="009C19A1" w14:paraId="2BF9F118" w14:textId="77777777" w:rsidTr="00A7269C">
        <w:trPr>
          <w:trHeight w:val="227"/>
        </w:trPr>
        <w:tc>
          <w:tcPr>
            <w:tcW w:w="2268" w:type="dxa"/>
            <w:tcBorders>
              <w:top w:val="nil"/>
              <w:left w:val="nil"/>
              <w:bottom w:val="nil"/>
              <w:right w:val="nil"/>
            </w:tcBorders>
            <w:shd w:val="clear" w:color="auto" w:fill="auto"/>
            <w:noWrap/>
            <w:vAlign w:val="center"/>
            <w:hideMark/>
          </w:tcPr>
          <w:p w14:paraId="0D940D13" w14:textId="77777777" w:rsidR="008D1D0C" w:rsidRPr="009C19A1" w:rsidRDefault="008D1D0C" w:rsidP="00A7269C">
            <w:pPr>
              <w:jc w:val="center"/>
              <w:rPr>
                <w:color w:val="000000"/>
              </w:rPr>
            </w:pPr>
            <w:r w:rsidRPr="009C19A1">
              <w:rPr>
                <w:color w:val="000000"/>
              </w:rPr>
              <w:t>2001</w:t>
            </w:r>
          </w:p>
        </w:tc>
        <w:tc>
          <w:tcPr>
            <w:tcW w:w="2268" w:type="dxa"/>
            <w:tcBorders>
              <w:top w:val="nil"/>
              <w:left w:val="nil"/>
              <w:bottom w:val="nil"/>
              <w:right w:val="nil"/>
            </w:tcBorders>
            <w:shd w:val="clear" w:color="auto" w:fill="auto"/>
            <w:noWrap/>
            <w:vAlign w:val="center"/>
            <w:hideMark/>
          </w:tcPr>
          <w:p w14:paraId="03C63A84" w14:textId="77777777" w:rsidR="008D1D0C" w:rsidRPr="009C19A1" w:rsidRDefault="008D1D0C" w:rsidP="00A7269C">
            <w:pPr>
              <w:jc w:val="center"/>
              <w:rPr>
                <w:color w:val="000000"/>
              </w:rPr>
            </w:pPr>
            <w:r w:rsidRPr="009C19A1">
              <w:rPr>
                <w:color w:val="000000"/>
              </w:rPr>
              <w:t>2,682</w:t>
            </w:r>
          </w:p>
        </w:tc>
        <w:tc>
          <w:tcPr>
            <w:tcW w:w="2268" w:type="dxa"/>
            <w:tcBorders>
              <w:top w:val="nil"/>
              <w:left w:val="nil"/>
              <w:bottom w:val="nil"/>
              <w:right w:val="nil"/>
            </w:tcBorders>
            <w:shd w:val="clear" w:color="auto" w:fill="auto"/>
            <w:noWrap/>
            <w:vAlign w:val="center"/>
            <w:hideMark/>
          </w:tcPr>
          <w:p w14:paraId="66BF9EA9" w14:textId="77777777" w:rsidR="008D1D0C" w:rsidRPr="009C19A1" w:rsidRDefault="008D1D0C" w:rsidP="00A7269C">
            <w:pPr>
              <w:jc w:val="center"/>
              <w:rPr>
                <w:color w:val="000000"/>
              </w:rPr>
            </w:pPr>
            <w:r w:rsidRPr="009C19A1">
              <w:rPr>
                <w:color w:val="000000"/>
              </w:rPr>
              <w:t>3,010</w:t>
            </w:r>
          </w:p>
        </w:tc>
        <w:tc>
          <w:tcPr>
            <w:tcW w:w="2268" w:type="dxa"/>
            <w:tcBorders>
              <w:top w:val="nil"/>
              <w:left w:val="nil"/>
              <w:bottom w:val="nil"/>
              <w:right w:val="nil"/>
            </w:tcBorders>
            <w:shd w:val="clear" w:color="auto" w:fill="auto"/>
            <w:noWrap/>
            <w:vAlign w:val="center"/>
            <w:hideMark/>
          </w:tcPr>
          <w:p w14:paraId="6036A8E3" w14:textId="77777777" w:rsidR="008D1D0C" w:rsidRPr="009C19A1" w:rsidRDefault="008D1D0C" w:rsidP="00A7269C">
            <w:pPr>
              <w:jc w:val="center"/>
              <w:rPr>
                <w:color w:val="000000"/>
              </w:rPr>
            </w:pPr>
            <w:r w:rsidRPr="009C19A1">
              <w:rPr>
                <w:color w:val="000000"/>
              </w:rPr>
              <w:t>0,242</w:t>
            </w:r>
          </w:p>
        </w:tc>
      </w:tr>
      <w:tr w:rsidR="008D1D0C" w:rsidRPr="009C19A1" w14:paraId="296115BF" w14:textId="77777777" w:rsidTr="00A7269C">
        <w:trPr>
          <w:trHeight w:val="227"/>
        </w:trPr>
        <w:tc>
          <w:tcPr>
            <w:tcW w:w="2268" w:type="dxa"/>
            <w:tcBorders>
              <w:top w:val="nil"/>
              <w:left w:val="nil"/>
              <w:bottom w:val="nil"/>
              <w:right w:val="nil"/>
            </w:tcBorders>
            <w:shd w:val="clear" w:color="auto" w:fill="auto"/>
            <w:noWrap/>
            <w:vAlign w:val="center"/>
            <w:hideMark/>
          </w:tcPr>
          <w:p w14:paraId="2EA2FD63" w14:textId="77777777" w:rsidR="008D1D0C" w:rsidRPr="009C19A1" w:rsidRDefault="008D1D0C" w:rsidP="00A7269C">
            <w:pPr>
              <w:jc w:val="center"/>
              <w:rPr>
                <w:color w:val="000000"/>
              </w:rPr>
            </w:pPr>
            <w:r w:rsidRPr="009C19A1">
              <w:rPr>
                <w:color w:val="000000"/>
              </w:rPr>
              <w:t>2002</w:t>
            </w:r>
          </w:p>
        </w:tc>
        <w:tc>
          <w:tcPr>
            <w:tcW w:w="2268" w:type="dxa"/>
            <w:tcBorders>
              <w:top w:val="nil"/>
              <w:left w:val="nil"/>
              <w:bottom w:val="nil"/>
              <w:right w:val="nil"/>
            </w:tcBorders>
            <w:shd w:val="clear" w:color="auto" w:fill="auto"/>
            <w:noWrap/>
            <w:vAlign w:val="center"/>
            <w:hideMark/>
          </w:tcPr>
          <w:p w14:paraId="3DDF865F" w14:textId="77777777" w:rsidR="008D1D0C" w:rsidRPr="009C19A1" w:rsidRDefault="008D1D0C" w:rsidP="00A7269C">
            <w:pPr>
              <w:jc w:val="center"/>
              <w:rPr>
                <w:color w:val="000000"/>
              </w:rPr>
            </w:pPr>
            <w:r w:rsidRPr="009C19A1">
              <w:rPr>
                <w:color w:val="000000"/>
              </w:rPr>
              <w:t>1,757</w:t>
            </w:r>
          </w:p>
        </w:tc>
        <w:tc>
          <w:tcPr>
            <w:tcW w:w="2268" w:type="dxa"/>
            <w:tcBorders>
              <w:top w:val="nil"/>
              <w:left w:val="nil"/>
              <w:bottom w:val="nil"/>
              <w:right w:val="nil"/>
            </w:tcBorders>
            <w:shd w:val="clear" w:color="auto" w:fill="auto"/>
            <w:noWrap/>
            <w:vAlign w:val="center"/>
            <w:hideMark/>
          </w:tcPr>
          <w:p w14:paraId="4332C852" w14:textId="77777777" w:rsidR="008D1D0C" w:rsidRPr="009C19A1" w:rsidRDefault="008D1D0C" w:rsidP="00A7269C">
            <w:pPr>
              <w:jc w:val="center"/>
              <w:rPr>
                <w:color w:val="000000"/>
              </w:rPr>
            </w:pPr>
            <w:r w:rsidRPr="009C19A1">
              <w:rPr>
                <w:color w:val="000000"/>
              </w:rPr>
              <w:t>3,350</w:t>
            </w:r>
          </w:p>
        </w:tc>
        <w:tc>
          <w:tcPr>
            <w:tcW w:w="2268" w:type="dxa"/>
            <w:tcBorders>
              <w:top w:val="nil"/>
              <w:left w:val="nil"/>
              <w:bottom w:val="nil"/>
              <w:right w:val="nil"/>
            </w:tcBorders>
            <w:shd w:val="clear" w:color="auto" w:fill="auto"/>
            <w:noWrap/>
            <w:vAlign w:val="center"/>
            <w:hideMark/>
          </w:tcPr>
          <w:p w14:paraId="0E3BDB84" w14:textId="77777777" w:rsidR="008D1D0C" w:rsidRPr="009C19A1" w:rsidRDefault="008D1D0C" w:rsidP="00A7269C">
            <w:pPr>
              <w:jc w:val="center"/>
              <w:rPr>
                <w:color w:val="000000"/>
              </w:rPr>
            </w:pPr>
            <w:r w:rsidRPr="009C19A1">
              <w:rPr>
                <w:color w:val="000000"/>
              </w:rPr>
              <w:t>0,149</w:t>
            </w:r>
          </w:p>
        </w:tc>
      </w:tr>
      <w:tr w:rsidR="008D1D0C" w:rsidRPr="009C19A1" w14:paraId="28F3BB96" w14:textId="77777777" w:rsidTr="00A7269C">
        <w:trPr>
          <w:trHeight w:val="227"/>
        </w:trPr>
        <w:tc>
          <w:tcPr>
            <w:tcW w:w="2268" w:type="dxa"/>
            <w:tcBorders>
              <w:top w:val="nil"/>
              <w:left w:val="nil"/>
              <w:bottom w:val="nil"/>
              <w:right w:val="nil"/>
            </w:tcBorders>
            <w:shd w:val="clear" w:color="auto" w:fill="auto"/>
            <w:noWrap/>
            <w:vAlign w:val="center"/>
            <w:hideMark/>
          </w:tcPr>
          <w:p w14:paraId="0C8BFC1C" w14:textId="77777777" w:rsidR="008D1D0C" w:rsidRPr="009C19A1" w:rsidRDefault="008D1D0C" w:rsidP="00A7269C">
            <w:pPr>
              <w:jc w:val="center"/>
              <w:rPr>
                <w:color w:val="000000"/>
              </w:rPr>
            </w:pPr>
            <w:r w:rsidRPr="009C19A1">
              <w:rPr>
                <w:color w:val="000000"/>
              </w:rPr>
              <w:t>2003</w:t>
            </w:r>
          </w:p>
        </w:tc>
        <w:tc>
          <w:tcPr>
            <w:tcW w:w="2268" w:type="dxa"/>
            <w:tcBorders>
              <w:top w:val="nil"/>
              <w:left w:val="nil"/>
              <w:bottom w:val="nil"/>
              <w:right w:val="nil"/>
            </w:tcBorders>
            <w:shd w:val="clear" w:color="auto" w:fill="auto"/>
            <w:noWrap/>
            <w:vAlign w:val="center"/>
            <w:hideMark/>
          </w:tcPr>
          <w:p w14:paraId="715368BA" w14:textId="77777777" w:rsidR="008D1D0C" w:rsidRPr="009C19A1" w:rsidRDefault="008D1D0C" w:rsidP="00A7269C">
            <w:pPr>
              <w:jc w:val="center"/>
              <w:rPr>
                <w:color w:val="000000"/>
              </w:rPr>
            </w:pPr>
            <w:r w:rsidRPr="009C19A1">
              <w:rPr>
                <w:color w:val="000000"/>
              </w:rPr>
              <w:t>2,468</w:t>
            </w:r>
          </w:p>
        </w:tc>
        <w:tc>
          <w:tcPr>
            <w:tcW w:w="2268" w:type="dxa"/>
            <w:tcBorders>
              <w:top w:val="nil"/>
              <w:left w:val="nil"/>
              <w:bottom w:val="nil"/>
              <w:right w:val="nil"/>
            </w:tcBorders>
            <w:shd w:val="clear" w:color="auto" w:fill="auto"/>
            <w:noWrap/>
            <w:vAlign w:val="center"/>
            <w:hideMark/>
          </w:tcPr>
          <w:p w14:paraId="27E5AE5E" w14:textId="77777777" w:rsidR="008D1D0C" w:rsidRPr="009C19A1" w:rsidRDefault="008D1D0C" w:rsidP="00A7269C">
            <w:pPr>
              <w:jc w:val="center"/>
              <w:rPr>
                <w:color w:val="000000"/>
              </w:rPr>
            </w:pPr>
            <w:r w:rsidRPr="009C19A1">
              <w:rPr>
                <w:color w:val="000000"/>
              </w:rPr>
              <w:t>4,461</w:t>
            </w:r>
          </w:p>
        </w:tc>
        <w:tc>
          <w:tcPr>
            <w:tcW w:w="2268" w:type="dxa"/>
            <w:tcBorders>
              <w:top w:val="nil"/>
              <w:left w:val="nil"/>
              <w:bottom w:val="nil"/>
              <w:right w:val="nil"/>
            </w:tcBorders>
            <w:shd w:val="clear" w:color="auto" w:fill="auto"/>
            <w:noWrap/>
            <w:vAlign w:val="center"/>
            <w:hideMark/>
          </w:tcPr>
          <w:p w14:paraId="315F1D4C" w14:textId="77777777" w:rsidR="008D1D0C" w:rsidRPr="009C19A1" w:rsidRDefault="008D1D0C" w:rsidP="00A7269C">
            <w:pPr>
              <w:jc w:val="center"/>
              <w:rPr>
                <w:color w:val="000000"/>
              </w:rPr>
            </w:pPr>
            <w:r w:rsidRPr="009C19A1">
              <w:rPr>
                <w:color w:val="000000"/>
              </w:rPr>
              <w:t>0,595</w:t>
            </w:r>
          </w:p>
        </w:tc>
      </w:tr>
      <w:tr w:rsidR="008D1D0C" w:rsidRPr="009C19A1" w14:paraId="60053C09" w14:textId="77777777" w:rsidTr="00A7269C">
        <w:trPr>
          <w:trHeight w:val="227"/>
        </w:trPr>
        <w:tc>
          <w:tcPr>
            <w:tcW w:w="2268" w:type="dxa"/>
            <w:tcBorders>
              <w:top w:val="nil"/>
              <w:left w:val="nil"/>
              <w:bottom w:val="nil"/>
              <w:right w:val="nil"/>
            </w:tcBorders>
            <w:shd w:val="clear" w:color="auto" w:fill="auto"/>
            <w:noWrap/>
            <w:vAlign w:val="center"/>
            <w:hideMark/>
          </w:tcPr>
          <w:p w14:paraId="29702E34" w14:textId="77777777" w:rsidR="008D1D0C" w:rsidRPr="009C19A1" w:rsidRDefault="008D1D0C" w:rsidP="00A7269C">
            <w:pPr>
              <w:jc w:val="center"/>
              <w:rPr>
                <w:color w:val="000000"/>
              </w:rPr>
            </w:pPr>
            <w:r w:rsidRPr="009C19A1">
              <w:rPr>
                <w:color w:val="000000"/>
              </w:rPr>
              <w:t>2004</w:t>
            </w:r>
          </w:p>
        </w:tc>
        <w:tc>
          <w:tcPr>
            <w:tcW w:w="2268" w:type="dxa"/>
            <w:tcBorders>
              <w:top w:val="nil"/>
              <w:left w:val="nil"/>
              <w:bottom w:val="nil"/>
              <w:right w:val="nil"/>
            </w:tcBorders>
            <w:shd w:val="clear" w:color="auto" w:fill="auto"/>
            <w:noWrap/>
            <w:vAlign w:val="center"/>
            <w:hideMark/>
          </w:tcPr>
          <w:p w14:paraId="4FA94A05" w14:textId="77777777" w:rsidR="008D1D0C" w:rsidRPr="009C19A1" w:rsidRDefault="008D1D0C" w:rsidP="00A7269C">
            <w:pPr>
              <w:jc w:val="center"/>
              <w:rPr>
                <w:color w:val="000000"/>
              </w:rPr>
            </w:pPr>
            <w:r w:rsidRPr="009C19A1">
              <w:rPr>
                <w:color w:val="000000"/>
              </w:rPr>
              <w:t>3,904</w:t>
            </w:r>
          </w:p>
        </w:tc>
        <w:tc>
          <w:tcPr>
            <w:tcW w:w="2268" w:type="dxa"/>
            <w:tcBorders>
              <w:top w:val="nil"/>
              <w:left w:val="nil"/>
              <w:bottom w:val="nil"/>
              <w:right w:val="nil"/>
            </w:tcBorders>
            <w:shd w:val="clear" w:color="auto" w:fill="auto"/>
            <w:noWrap/>
            <w:vAlign w:val="center"/>
            <w:hideMark/>
          </w:tcPr>
          <w:p w14:paraId="2C898672" w14:textId="77777777" w:rsidR="008D1D0C" w:rsidRPr="009C19A1" w:rsidRDefault="008D1D0C" w:rsidP="00A7269C">
            <w:pPr>
              <w:jc w:val="center"/>
              <w:rPr>
                <w:color w:val="000000"/>
              </w:rPr>
            </w:pPr>
            <w:r w:rsidRPr="009C19A1">
              <w:rPr>
                <w:color w:val="000000"/>
              </w:rPr>
              <w:t>4,852</w:t>
            </w:r>
          </w:p>
        </w:tc>
        <w:tc>
          <w:tcPr>
            <w:tcW w:w="2268" w:type="dxa"/>
            <w:tcBorders>
              <w:top w:val="nil"/>
              <w:left w:val="nil"/>
              <w:bottom w:val="nil"/>
              <w:right w:val="nil"/>
            </w:tcBorders>
            <w:shd w:val="clear" w:color="auto" w:fill="auto"/>
            <w:noWrap/>
            <w:vAlign w:val="center"/>
            <w:hideMark/>
          </w:tcPr>
          <w:p w14:paraId="32F79B15" w14:textId="77777777" w:rsidR="008D1D0C" w:rsidRPr="009C19A1" w:rsidRDefault="008D1D0C" w:rsidP="00A7269C">
            <w:pPr>
              <w:jc w:val="center"/>
              <w:rPr>
                <w:color w:val="000000"/>
              </w:rPr>
            </w:pPr>
            <w:r w:rsidRPr="009C19A1">
              <w:rPr>
                <w:color w:val="000000"/>
              </w:rPr>
              <w:t>2,208</w:t>
            </w:r>
          </w:p>
        </w:tc>
      </w:tr>
      <w:tr w:rsidR="008D1D0C" w:rsidRPr="009C19A1" w14:paraId="63316F30" w14:textId="77777777" w:rsidTr="00A7269C">
        <w:trPr>
          <w:trHeight w:val="227"/>
        </w:trPr>
        <w:tc>
          <w:tcPr>
            <w:tcW w:w="2268" w:type="dxa"/>
            <w:tcBorders>
              <w:top w:val="nil"/>
              <w:left w:val="nil"/>
              <w:bottom w:val="nil"/>
              <w:right w:val="nil"/>
            </w:tcBorders>
            <w:shd w:val="clear" w:color="auto" w:fill="auto"/>
            <w:noWrap/>
            <w:vAlign w:val="center"/>
            <w:hideMark/>
          </w:tcPr>
          <w:p w14:paraId="43DD0314" w14:textId="77777777" w:rsidR="008D1D0C" w:rsidRPr="009C19A1" w:rsidRDefault="008D1D0C" w:rsidP="00A7269C">
            <w:pPr>
              <w:jc w:val="center"/>
              <w:rPr>
                <w:color w:val="000000"/>
              </w:rPr>
            </w:pPr>
            <w:r w:rsidRPr="009C19A1">
              <w:rPr>
                <w:color w:val="000000"/>
              </w:rPr>
              <w:t>2005</w:t>
            </w:r>
          </w:p>
        </w:tc>
        <w:tc>
          <w:tcPr>
            <w:tcW w:w="2268" w:type="dxa"/>
            <w:tcBorders>
              <w:top w:val="nil"/>
              <w:left w:val="nil"/>
              <w:bottom w:val="nil"/>
              <w:right w:val="nil"/>
            </w:tcBorders>
            <w:shd w:val="clear" w:color="auto" w:fill="auto"/>
            <w:noWrap/>
            <w:vAlign w:val="center"/>
            <w:hideMark/>
          </w:tcPr>
          <w:p w14:paraId="10CBFFFE" w14:textId="77777777" w:rsidR="008D1D0C" w:rsidRPr="009C19A1" w:rsidRDefault="008D1D0C" w:rsidP="00A7269C">
            <w:pPr>
              <w:jc w:val="center"/>
              <w:rPr>
                <w:color w:val="000000"/>
              </w:rPr>
            </w:pPr>
            <w:r w:rsidRPr="009C19A1">
              <w:rPr>
                <w:color w:val="000000"/>
              </w:rPr>
              <w:t>4,651</w:t>
            </w:r>
          </w:p>
        </w:tc>
        <w:tc>
          <w:tcPr>
            <w:tcW w:w="2268" w:type="dxa"/>
            <w:tcBorders>
              <w:top w:val="nil"/>
              <w:left w:val="nil"/>
              <w:bottom w:val="nil"/>
              <w:right w:val="nil"/>
            </w:tcBorders>
            <w:shd w:val="clear" w:color="auto" w:fill="auto"/>
            <w:noWrap/>
            <w:vAlign w:val="center"/>
            <w:hideMark/>
          </w:tcPr>
          <w:p w14:paraId="7D28720F" w14:textId="77777777" w:rsidR="008D1D0C" w:rsidRPr="009C19A1" w:rsidRDefault="008D1D0C" w:rsidP="00A7269C">
            <w:pPr>
              <w:jc w:val="center"/>
              <w:rPr>
                <w:color w:val="000000"/>
              </w:rPr>
            </w:pPr>
            <w:r w:rsidRPr="009C19A1">
              <w:rPr>
                <w:color w:val="000000"/>
              </w:rPr>
              <w:t>5,339</w:t>
            </w:r>
          </w:p>
        </w:tc>
        <w:tc>
          <w:tcPr>
            <w:tcW w:w="2268" w:type="dxa"/>
            <w:tcBorders>
              <w:top w:val="nil"/>
              <w:left w:val="nil"/>
              <w:bottom w:val="nil"/>
              <w:right w:val="nil"/>
            </w:tcBorders>
            <w:shd w:val="clear" w:color="auto" w:fill="auto"/>
            <w:noWrap/>
            <w:vAlign w:val="center"/>
            <w:hideMark/>
          </w:tcPr>
          <w:p w14:paraId="13ACB1E6" w14:textId="77777777" w:rsidR="008D1D0C" w:rsidRPr="009C19A1" w:rsidRDefault="008D1D0C" w:rsidP="00A7269C">
            <w:pPr>
              <w:jc w:val="center"/>
              <w:rPr>
                <w:color w:val="000000"/>
              </w:rPr>
            </w:pPr>
            <w:r w:rsidRPr="009C19A1">
              <w:rPr>
                <w:color w:val="000000"/>
              </w:rPr>
              <w:t>3,983</w:t>
            </w:r>
          </w:p>
        </w:tc>
      </w:tr>
      <w:tr w:rsidR="008D1D0C" w:rsidRPr="009C19A1" w14:paraId="32E18758" w14:textId="77777777" w:rsidTr="00A7269C">
        <w:trPr>
          <w:trHeight w:val="227"/>
        </w:trPr>
        <w:tc>
          <w:tcPr>
            <w:tcW w:w="2268" w:type="dxa"/>
            <w:tcBorders>
              <w:top w:val="nil"/>
              <w:left w:val="nil"/>
              <w:bottom w:val="nil"/>
              <w:right w:val="nil"/>
            </w:tcBorders>
            <w:shd w:val="clear" w:color="auto" w:fill="auto"/>
            <w:noWrap/>
            <w:vAlign w:val="center"/>
            <w:hideMark/>
          </w:tcPr>
          <w:p w14:paraId="7A836BD6" w14:textId="77777777" w:rsidR="008D1D0C" w:rsidRPr="009C19A1" w:rsidRDefault="008D1D0C" w:rsidP="00A7269C">
            <w:pPr>
              <w:jc w:val="center"/>
              <w:rPr>
                <w:color w:val="000000"/>
              </w:rPr>
            </w:pPr>
            <w:r w:rsidRPr="009C19A1">
              <w:rPr>
                <w:color w:val="000000"/>
              </w:rPr>
              <w:t>2006</w:t>
            </w:r>
          </w:p>
        </w:tc>
        <w:tc>
          <w:tcPr>
            <w:tcW w:w="2268" w:type="dxa"/>
            <w:tcBorders>
              <w:top w:val="nil"/>
              <w:left w:val="nil"/>
              <w:bottom w:val="nil"/>
              <w:right w:val="nil"/>
            </w:tcBorders>
            <w:shd w:val="clear" w:color="auto" w:fill="auto"/>
            <w:noWrap/>
            <w:vAlign w:val="center"/>
            <w:hideMark/>
          </w:tcPr>
          <w:p w14:paraId="1ECCE40F" w14:textId="77777777" w:rsidR="008D1D0C" w:rsidRPr="009C19A1" w:rsidRDefault="008D1D0C" w:rsidP="00A7269C">
            <w:pPr>
              <w:jc w:val="center"/>
              <w:rPr>
                <w:color w:val="000000"/>
              </w:rPr>
            </w:pPr>
            <w:r w:rsidRPr="009C19A1">
              <w:rPr>
                <w:color w:val="000000"/>
              </w:rPr>
              <w:t>3,248</w:t>
            </w:r>
          </w:p>
        </w:tc>
        <w:tc>
          <w:tcPr>
            <w:tcW w:w="2268" w:type="dxa"/>
            <w:tcBorders>
              <w:top w:val="nil"/>
              <w:left w:val="nil"/>
              <w:bottom w:val="nil"/>
              <w:right w:val="nil"/>
            </w:tcBorders>
            <w:shd w:val="clear" w:color="auto" w:fill="auto"/>
            <w:noWrap/>
            <w:vAlign w:val="center"/>
            <w:hideMark/>
          </w:tcPr>
          <w:p w14:paraId="3555DBE8" w14:textId="77777777" w:rsidR="008D1D0C" w:rsidRPr="009C19A1" w:rsidRDefault="008D1D0C" w:rsidP="00A7269C">
            <w:pPr>
              <w:jc w:val="center"/>
              <w:rPr>
                <w:color w:val="000000"/>
              </w:rPr>
            </w:pPr>
            <w:r w:rsidRPr="009C19A1">
              <w:rPr>
                <w:color w:val="000000"/>
              </w:rPr>
              <w:t>5,745</w:t>
            </w:r>
          </w:p>
        </w:tc>
        <w:tc>
          <w:tcPr>
            <w:tcW w:w="2268" w:type="dxa"/>
            <w:tcBorders>
              <w:top w:val="nil"/>
              <w:left w:val="nil"/>
              <w:bottom w:val="nil"/>
              <w:right w:val="nil"/>
            </w:tcBorders>
            <w:shd w:val="clear" w:color="auto" w:fill="auto"/>
            <w:noWrap/>
            <w:vAlign w:val="center"/>
            <w:hideMark/>
          </w:tcPr>
          <w:p w14:paraId="39E21F8F" w14:textId="77777777" w:rsidR="008D1D0C" w:rsidRPr="009C19A1" w:rsidRDefault="008D1D0C" w:rsidP="00A7269C">
            <w:pPr>
              <w:jc w:val="center"/>
              <w:rPr>
                <w:color w:val="000000"/>
              </w:rPr>
            </w:pPr>
            <w:r w:rsidRPr="009C19A1">
              <w:rPr>
                <w:color w:val="000000"/>
              </w:rPr>
              <w:t>10,572</w:t>
            </w:r>
          </w:p>
        </w:tc>
      </w:tr>
      <w:tr w:rsidR="008D1D0C" w:rsidRPr="009C19A1" w14:paraId="3707840F" w14:textId="77777777" w:rsidTr="00A7269C">
        <w:trPr>
          <w:trHeight w:val="227"/>
        </w:trPr>
        <w:tc>
          <w:tcPr>
            <w:tcW w:w="2268" w:type="dxa"/>
            <w:tcBorders>
              <w:top w:val="nil"/>
              <w:left w:val="nil"/>
              <w:bottom w:val="nil"/>
              <w:right w:val="nil"/>
            </w:tcBorders>
            <w:shd w:val="clear" w:color="auto" w:fill="auto"/>
            <w:noWrap/>
            <w:vAlign w:val="center"/>
            <w:hideMark/>
          </w:tcPr>
          <w:p w14:paraId="1111FF02" w14:textId="77777777" w:rsidR="008D1D0C" w:rsidRPr="009C19A1" w:rsidRDefault="008D1D0C" w:rsidP="00A7269C">
            <w:pPr>
              <w:jc w:val="center"/>
              <w:rPr>
                <w:color w:val="000000"/>
              </w:rPr>
            </w:pPr>
            <w:r w:rsidRPr="009C19A1">
              <w:rPr>
                <w:color w:val="000000"/>
              </w:rPr>
              <w:t>2007</w:t>
            </w:r>
          </w:p>
        </w:tc>
        <w:tc>
          <w:tcPr>
            <w:tcW w:w="2268" w:type="dxa"/>
            <w:tcBorders>
              <w:top w:val="nil"/>
              <w:left w:val="nil"/>
              <w:bottom w:val="nil"/>
              <w:right w:val="nil"/>
            </w:tcBorders>
            <w:shd w:val="clear" w:color="auto" w:fill="auto"/>
            <w:noWrap/>
            <w:vAlign w:val="center"/>
            <w:hideMark/>
          </w:tcPr>
          <w:p w14:paraId="7A70A080" w14:textId="77777777" w:rsidR="008D1D0C" w:rsidRPr="009C19A1" w:rsidRDefault="008D1D0C" w:rsidP="00A7269C">
            <w:pPr>
              <w:jc w:val="center"/>
              <w:rPr>
                <w:color w:val="000000"/>
              </w:rPr>
            </w:pPr>
            <w:r w:rsidRPr="009C19A1">
              <w:rPr>
                <w:color w:val="000000"/>
              </w:rPr>
              <w:t>4,430</w:t>
            </w:r>
          </w:p>
        </w:tc>
        <w:tc>
          <w:tcPr>
            <w:tcW w:w="2268" w:type="dxa"/>
            <w:tcBorders>
              <w:top w:val="nil"/>
              <w:left w:val="nil"/>
              <w:bottom w:val="nil"/>
              <w:right w:val="nil"/>
            </w:tcBorders>
            <w:shd w:val="clear" w:color="auto" w:fill="auto"/>
            <w:noWrap/>
            <w:vAlign w:val="center"/>
            <w:hideMark/>
          </w:tcPr>
          <w:p w14:paraId="4DCA5838" w14:textId="77777777" w:rsidR="008D1D0C" w:rsidRPr="009C19A1" w:rsidRDefault="008D1D0C" w:rsidP="00A7269C">
            <w:pPr>
              <w:jc w:val="center"/>
              <w:rPr>
                <w:color w:val="000000"/>
              </w:rPr>
            </w:pPr>
            <w:r w:rsidRPr="009C19A1">
              <w:rPr>
                <w:color w:val="000000"/>
              </w:rPr>
              <w:t>5,533</w:t>
            </w:r>
          </w:p>
        </w:tc>
        <w:tc>
          <w:tcPr>
            <w:tcW w:w="2268" w:type="dxa"/>
            <w:tcBorders>
              <w:top w:val="nil"/>
              <w:left w:val="nil"/>
              <w:bottom w:val="nil"/>
              <w:right w:val="nil"/>
            </w:tcBorders>
            <w:shd w:val="clear" w:color="auto" w:fill="auto"/>
            <w:noWrap/>
            <w:vAlign w:val="center"/>
            <w:hideMark/>
          </w:tcPr>
          <w:p w14:paraId="66A730C9" w14:textId="77777777" w:rsidR="008D1D0C" w:rsidRPr="009C19A1" w:rsidRDefault="008D1D0C" w:rsidP="00A7269C">
            <w:pPr>
              <w:jc w:val="center"/>
              <w:rPr>
                <w:color w:val="000000"/>
              </w:rPr>
            </w:pPr>
            <w:r w:rsidRPr="009C19A1">
              <w:rPr>
                <w:color w:val="000000"/>
              </w:rPr>
              <w:t>15,805</w:t>
            </w:r>
          </w:p>
        </w:tc>
      </w:tr>
      <w:tr w:rsidR="008D1D0C" w:rsidRPr="009C19A1" w14:paraId="0AC277B8" w14:textId="77777777" w:rsidTr="00A7269C">
        <w:trPr>
          <w:trHeight w:val="227"/>
        </w:trPr>
        <w:tc>
          <w:tcPr>
            <w:tcW w:w="2268" w:type="dxa"/>
            <w:tcBorders>
              <w:top w:val="nil"/>
              <w:left w:val="nil"/>
              <w:bottom w:val="nil"/>
              <w:right w:val="nil"/>
            </w:tcBorders>
            <w:shd w:val="clear" w:color="auto" w:fill="auto"/>
            <w:noWrap/>
            <w:vAlign w:val="center"/>
            <w:hideMark/>
          </w:tcPr>
          <w:p w14:paraId="366202A6" w14:textId="77777777" w:rsidR="008D1D0C" w:rsidRPr="009C19A1" w:rsidRDefault="008D1D0C" w:rsidP="00A7269C">
            <w:pPr>
              <w:jc w:val="center"/>
              <w:rPr>
                <w:color w:val="000000"/>
              </w:rPr>
            </w:pPr>
            <w:r w:rsidRPr="009C19A1">
              <w:rPr>
                <w:color w:val="000000"/>
              </w:rPr>
              <w:t>2008</w:t>
            </w:r>
          </w:p>
        </w:tc>
        <w:tc>
          <w:tcPr>
            <w:tcW w:w="2268" w:type="dxa"/>
            <w:tcBorders>
              <w:top w:val="nil"/>
              <w:left w:val="nil"/>
              <w:bottom w:val="nil"/>
              <w:right w:val="nil"/>
            </w:tcBorders>
            <w:shd w:val="clear" w:color="auto" w:fill="auto"/>
            <w:noWrap/>
            <w:vAlign w:val="center"/>
            <w:hideMark/>
          </w:tcPr>
          <w:p w14:paraId="690C73EB" w14:textId="77777777" w:rsidR="008D1D0C" w:rsidRPr="009C19A1" w:rsidRDefault="008D1D0C" w:rsidP="00A7269C">
            <w:pPr>
              <w:jc w:val="center"/>
              <w:rPr>
                <w:color w:val="000000"/>
              </w:rPr>
            </w:pPr>
            <w:r w:rsidRPr="009C19A1">
              <w:rPr>
                <w:color w:val="000000"/>
              </w:rPr>
              <w:t>5,510</w:t>
            </w:r>
          </w:p>
        </w:tc>
        <w:tc>
          <w:tcPr>
            <w:tcW w:w="2268" w:type="dxa"/>
            <w:tcBorders>
              <w:top w:val="nil"/>
              <w:left w:val="nil"/>
              <w:bottom w:val="nil"/>
              <w:right w:val="nil"/>
            </w:tcBorders>
            <w:shd w:val="clear" w:color="auto" w:fill="auto"/>
            <w:noWrap/>
            <w:vAlign w:val="center"/>
            <w:hideMark/>
          </w:tcPr>
          <w:p w14:paraId="1DC7E181" w14:textId="77777777" w:rsidR="008D1D0C" w:rsidRPr="009C19A1" w:rsidRDefault="008D1D0C" w:rsidP="00A7269C">
            <w:pPr>
              <w:jc w:val="center"/>
              <w:rPr>
                <w:color w:val="000000"/>
              </w:rPr>
            </w:pPr>
            <w:r w:rsidRPr="009C19A1">
              <w:rPr>
                <w:color w:val="000000"/>
              </w:rPr>
              <w:t>5,824</w:t>
            </w:r>
          </w:p>
        </w:tc>
        <w:tc>
          <w:tcPr>
            <w:tcW w:w="2268" w:type="dxa"/>
            <w:tcBorders>
              <w:top w:val="nil"/>
              <w:left w:val="nil"/>
              <w:bottom w:val="nil"/>
              <w:right w:val="nil"/>
            </w:tcBorders>
            <w:shd w:val="clear" w:color="auto" w:fill="auto"/>
            <w:noWrap/>
            <w:vAlign w:val="center"/>
            <w:hideMark/>
          </w:tcPr>
          <w:p w14:paraId="1822D141" w14:textId="77777777" w:rsidR="008D1D0C" w:rsidRPr="009C19A1" w:rsidRDefault="008D1D0C" w:rsidP="00A7269C">
            <w:pPr>
              <w:jc w:val="center"/>
              <w:rPr>
                <w:color w:val="000000"/>
              </w:rPr>
            </w:pPr>
            <w:r w:rsidRPr="009C19A1">
              <w:rPr>
                <w:color w:val="000000"/>
              </w:rPr>
              <w:t>13,950</w:t>
            </w:r>
          </w:p>
        </w:tc>
      </w:tr>
      <w:tr w:rsidR="008D1D0C" w:rsidRPr="009C19A1" w14:paraId="13A55661" w14:textId="77777777" w:rsidTr="00A7269C">
        <w:trPr>
          <w:trHeight w:val="227"/>
        </w:trPr>
        <w:tc>
          <w:tcPr>
            <w:tcW w:w="2268" w:type="dxa"/>
            <w:tcBorders>
              <w:top w:val="nil"/>
              <w:left w:val="nil"/>
              <w:bottom w:val="nil"/>
              <w:right w:val="nil"/>
            </w:tcBorders>
            <w:shd w:val="clear" w:color="auto" w:fill="auto"/>
            <w:noWrap/>
            <w:vAlign w:val="center"/>
            <w:hideMark/>
          </w:tcPr>
          <w:p w14:paraId="61777DCC" w14:textId="77777777" w:rsidR="008D1D0C" w:rsidRPr="009C19A1" w:rsidRDefault="008D1D0C" w:rsidP="00A7269C">
            <w:pPr>
              <w:jc w:val="center"/>
              <w:rPr>
                <w:color w:val="000000"/>
              </w:rPr>
            </w:pPr>
            <w:r w:rsidRPr="009C19A1">
              <w:rPr>
                <w:color w:val="000000"/>
              </w:rPr>
              <w:t>2009</w:t>
            </w:r>
          </w:p>
        </w:tc>
        <w:tc>
          <w:tcPr>
            <w:tcW w:w="2268" w:type="dxa"/>
            <w:tcBorders>
              <w:top w:val="nil"/>
              <w:left w:val="nil"/>
              <w:bottom w:val="nil"/>
              <w:right w:val="nil"/>
            </w:tcBorders>
            <w:shd w:val="clear" w:color="auto" w:fill="auto"/>
            <w:noWrap/>
            <w:vAlign w:val="center"/>
            <w:hideMark/>
          </w:tcPr>
          <w:p w14:paraId="4021DE8A" w14:textId="77777777" w:rsidR="008D1D0C" w:rsidRPr="009C19A1" w:rsidRDefault="008D1D0C" w:rsidP="00A7269C">
            <w:pPr>
              <w:jc w:val="center"/>
              <w:rPr>
                <w:color w:val="000000"/>
              </w:rPr>
            </w:pPr>
            <w:r w:rsidRPr="009C19A1">
              <w:rPr>
                <w:color w:val="000000"/>
              </w:rPr>
              <w:t>7,149</w:t>
            </w:r>
          </w:p>
        </w:tc>
        <w:tc>
          <w:tcPr>
            <w:tcW w:w="2268" w:type="dxa"/>
            <w:tcBorders>
              <w:top w:val="nil"/>
              <w:left w:val="nil"/>
              <w:bottom w:val="nil"/>
              <w:right w:val="nil"/>
            </w:tcBorders>
            <w:shd w:val="clear" w:color="auto" w:fill="auto"/>
            <w:noWrap/>
            <w:vAlign w:val="center"/>
            <w:hideMark/>
          </w:tcPr>
          <w:p w14:paraId="6E632F65" w14:textId="77777777" w:rsidR="008D1D0C" w:rsidRPr="009C19A1" w:rsidRDefault="008D1D0C" w:rsidP="00A7269C">
            <w:pPr>
              <w:jc w:val="center"/>
              <w:rPr>
                <w:color w:val="000000"/>
              </w:rPr>
            </w:pPr>
            <w:r w:rsidRPr="009C19A1">
              <w:rPr>
                <w:color w:val="000000"/>
              </w:rPr>
              <w:t>5,121</w:t>
            </w:r>
          </w:p>
        </w:tc>
        <w:tc>
          <w:tcPr>
            <w:tcW w:w="2268" w:type="dxa"/>
            <w:tcBorders>
              <w:top w:val="nil"/>
              <w:left w:val="nil"/>
              <w:bottom w:val="nil"/>
              <w:right w:val="nil"/>
            </w:tcBorders>
            <w:shd w:val="clear" w:color="auto" w:fill="auto"/>
            <w:noWrap/>
            <w:vAlign w:val="center"/>
            <w:hideMark/>
          </w:tcPr>
          <w:p w14:paraId="6E1E18AB" w14:textId="77777777" w:rsidR="008D1D0C" w:rsidRPr="009C19A1" w:rsidRDefault="008D1D0C" w:rsidP="00A7269C">
            <w:pPr>
              <w:jc w:val="center"/>
              <w:rPr>
                <w:color w:val="000000"/>
              </w:rPr>
            </w:pPr>
            <w:r w:rsidRPr="009C19A1">
              <w:rPr>
                <w:color w:val="000000"/>
              </w:rPr>
              <w:t>9,102</w:t>
            </w:r>
          </w:p>
        </w:tc>
      </w:tr>
      <w:tr w:rsidR="008D1D0C" w:rsidRPr="009C19A1" w14:paraId="41F3B9A5" w14:textId="77777777" w:rsidTr="00A7269C">
        <w:trPr>
          <w:trHeight w:val="227"/>
        </w:trPr>
        <w:tc>
          <w:tcPr>
            <w:tcW w:w="2268" w:type="dxa"/>
            <w:tcBorders>
              <w:top w:val="nil"/>
              <w:left w:val="nil"/>
              <w:bottom w:val="nil"/>
              <w:right w:val="nil"/>
            </w:tcBorders>
            <w:shd w:val="clear" w:color="auto" w:fill="auto"/>
            <w:noWrap/>
            <w:vAlign w:val="center"/>
            <w:hideMark/>
          </w:tcPr>
          <w:p w14:paraId="48EF7D43" w14:textId="77777777" w:rsidR="008D1D0C" w:rsidRPr="009C19A1" w:rsidRDefault="008D1D0C" w:rsidP="00A7269C">
            <w:pPr>
              <w:jc w:val="center"/>
              <w:rPr>
                <w:color w:val="000000"/>
              </w:rPr>
            </w:pPr>
            <w:r w:rsidRPr="009C19A1">
              <w:rPr>
                <w:color w:val="000000"/>
              </w:rPr>
              <w:t>2010</w:t>
            </w:r>
          </w:p>
        </w:tc>
        <w:tc>
          <w:tcPr>
            <w:tcW w:w="2268" w:type="dxa"/>
            <w:tcBorders>
              <w:top w:val="nil"/>
              <w:left w:val="nil"/>
              <w:bottom w:val="nil"/>
              <w:right w:val="nil"/>
            </w:tcBorders>
            <w:shd w:val="clear" w:color="auto" w:fill="auto"/>
            <w:noWrap/>
            <w:vAlign w:val="center"/>
            <w:hideMark/>
          </w:tcPr>
          <w:p w14:paraId="26A54BC2" w14:textId="77777777" w:rsidR="008D1D0C" w:rsidRPr="009C19A1" w:rsidRDefault="008D1D0C" w:rsidP="00A7269C">
            <w:pPr>
              <w:jc w:val="center"/>
              <w:rPr>
                <w:color w:val="000000"/>
              </w:rPr>
            </w:pPr>
            <w:r w:rsidRPr="009C19A1">
              <w:rPr>
                <w:color w:val="000000"/>
              </w:rPr>
              <w:t>4,531</w:t>
            </w:r>
          </w:p>
        </w:tc>
        <w:tc>
          <w:tcPr>
            <w:tcW w:w="2268" w:type="dxa"/>
            <w:tcBorders>
              <w:top w:val="nil"/>
              <w:left w:val="nil"/>
              <w:bottom w:val="nil"/>
              <w:right w:val="nil"/>
            </w:tcBorders>
            <w:shd w:val="clear" w:color="auto" w:fill="auto"/>
            <w:noWrap/>
            <w:vAlign w:val="center"/>
            <w:hideMark/>
          </w:tcPr>
          <w:p w14:paraId="2E5811D7" w14:textId="77777777" w:rsidR="008D1D0C" w:rsidRPr="009C19A1" w:rsidRDefault="008D1D0C" w:rsidP="00A7269C">
            <w:pPr>
              <w:jc w:val="center"/>
              <w:rPr>
                <w:color w:val="000000"/>
              </w:rPr>
            </w:pPr>
            <w:r w:rsidRPr="009C19A1">
              <w:rPr>
                <w:color w:val="000000"/>
              </w:rPr>
              <w:t>4,998</w:t>
            </w:r>
          </w:p>
        </w:tc>
        <w:tc>
          <w:tcPr>
            <w:tcW w:w="2268" w:type="dxa"/>
            <w:tcBorders>
              <w:top w:val="nil"/>
              <w:left w:val="nil"/>
              <w:bottom w:val="nil"/>
              <w:right w:val="nil"/>
            </w:tcBorders>
            <w:shd w:val="clear" w:color="auto" w:fill="auto"/>
            <w:noWrap/>
            <w:vAlign w:val="center"/>
            <w:hideMark/>
          </w:tcPr>
          <w:p w14:paraId="03B14013" w14:textId="77777777" w:rsidR="008D1D0C" w:rsidRPr="009C19A1" w:rsidRDefault="008D1D0C" w:rsidP="00A7269C">
            <w:pPr>
              <w:jc w:val="center"/>
              <w:rPr>
                <w:color w:val="000000"/>
              </w:rPr>
            </w:pPr>
            <w:r w:rsidRPr="009C19A1">
              <w:rPr>
                <w:color w:val="000000"/>
              </w:rPr>
              <w:t>15,021</w:t>
            </w:r>
          </w:p>
        </w:tc>
      </w:tr>
      <w:tr w:rsidR="008D1D0C" w:rsidRPr="009C19A1" w14:paraId="4D381032" w14:textId="77777777" w:rsidTr="00A7269C">
        <w:trPr>
          <w:trHeight w:val="227"/>
        </w:trPr>
        <w:tc>
          <w:tcPr>
            <w:tcW w:w="2268" w:type="dxa"/>
            <w:tcBorders>
              <w:top w:val="nil"/>
              <w:left w:val="nil"/>
              <w:bottom w:val="nil"/>
              <w:right w:val="nil"/>
            </w:tcBorders>
            <w:shd w:val="clear" w:color="auto" w:fill="auto"/>
            <w:noWrap/>
            <w:vAlign w:val="center"/>
            <w:hideMark/>
          </w:tcPr>
          <w:p w14:paraId="3E25D73E" w14:textId="77777777" w:rsidR="008D1D0C" w:rsidRPr="009C19A1" w:rsidRDefault="008D1D0C" w:rsidP="00A7269C">
            <w:pPr>
              <w:jc w:val="center"/>
              <w:rPr>
                <w:color w:val="000000"/>
              </w:rPr>
            </w:pPr>
            <w:r w:rsidRPr="009C19A1">
              <w:rPr>
                <w:color w:val="000000"/>
              </w:rPr>
              <w:t>2011</w:t>
            </w:r>
          </w:p>
        </w:tc>
        <w:tc>
          <w:tcPr>
            <w:tcW w:w="2268" w:type="dxa"/>
            <w:tcBorders>
              <w:top w:val="nil"/>
              <w:left w:val="nil"/>
              <w:bottom w:val="nil"/>
              <w:right w:val="nil"/>
            </w:tcBorders>
            <w:shd w:val="clear" w:color="auto" w:fill="auto"/>
            <w:noWrap/>
            <w:vAlign w:val="center"/>
            <w:hideMark/>
          </w:tcPr>
          <w:p w14:paraId="4CBF395E" w14:textId="77777777" w:rsidR="008D1D0C" w:rsidRPr="009C19A1" w:rsidRDefault="008D1D0C" w:rsidP="00A7269C">
            <w:pPr>
              <w:jc w:val="center"/>
              <w:rPr>
                <w:color w:val="000000"/>
              </w:rPr>
            </w:pPr>
            <w:r w:rsidRPr="009C19A1">
              <w:rPr>
                <w:color w:val="000000"/>
              </w:rPr>
              <w:t>5,665</w:t>
            </w:r>
          </w:p>
        </w:tc>
        <w:tc>
          <w:tcPr>
            <w:tcW w:w="2268" w:type="dxa"/>
            <w:tcBorders>
              <w:top w:val="nil"/>
              <w:left w:val="nil"/>
              <w:bottom w:val="nil"/>
              <w:right w:val="nil"/>
            </w:tcBorders>
            <w:shd w:val="clear" w:color="auto" w:fill="auto"/>
            <w:noWrap/>
            <w:vAlign w:val="center"/>
            <w:hideMark/>
          </w:tcPr>
          <w:p w14:paraId="5F08AECD" w14:textId="77777777" w:rsidR="008D1D0C" w:rsidRPr="009C19A1" w:rsidRDefault="008D1D0C" w:rsidP="00A7269C">
            <w:pPr>
              <w:jc w:val="center"/>
              <w:rPr>
                <w:color w:val="000000"/>
              </w:rPr>
            </w:pPr>
            <w:r w:rsidRPr="009C19A1">
              <w:rPr>
                <w:color w:val="000000"/>
              </w:rPr>
              <w:t>5,164</w:t>
            </w:r>
          </w:p>
        </w:tc>
        <w:tc>
          <w:tcPr>
            <w:tcW w:w="2268" w:type="dxa"/>
            <w:tcBorders>
              <w:top w:val="nil"/>
              <w:left w:val="nil"/>
              <w:bottom w:val="nil"/>
              <w:right w:val="nil"/>
            </w:tcBorders>
            <w:shd w:val="clear" w:color="auto" w:fill="auto"/>
            <w:noWrap/>
            <w:vAlign w:val="center"/>
            <w:hideMark/>
          </w:tcPr>
          <w:p w14:paraId="6B26DEA3" w14:textId="77777777" w:rsidR="008D1D0C" w:rsidRPr="009C19A1" w:rsidRDefault="008D1D0C" w:rsidP="00A7269C">
            <w:pPr>
              <w:jc w:val="center"/>
              <w:rPr>
                <w:color w:val="000000"/>
              </w:rPr>
            </w:pPr>
            <w:r w:rsidRPr="009C19A1">
              <w:rPr>
                <w:color w:val="000000"/>
              </w:rPr>
              <w:t>10,254</w:t>
            </w:r>
          </w:p>
        </w:tc>
      </w:tr>
      <w:tr w:rsidR="008D1D0C" w:rsidRPr="009C19A1" w14:paraId="19A4F9BE" w14:textId="77777777" w:rsidTr="00A7269C">
        <w:trPr>
          <w:trHeight w:val="227"/>
        </w:trPr>
        <w:tc>
          <w:tcPr>
            <w:tcW w:w="2268" w:type="dxa"/>
            <w:tcBorders>
              <w:top w:val="nil"/>
              <w:left w:val="nil"/>
              <w:bottom w:val="nil"/>
              <w:right w:val="nil"/>
            </w:tcBorders>
            <w:shd w:val="clear" w:color="auto" w:fill="auto"/>
            <w:noWrap/>
            <w:vAlign w:val="center"/>
            <w:hideMark/>
          </w:tcPr>
          <w:p w14:paraId="7AD2271A" w14:textId="77777777" w:rsidR="008D1D0C" w:rsidRPr="009C19A1" w:rsidRDefault="008D1D0C" w:rsidP="00A7269C">
            <w:pPr>
              <w:jc w:val="center"/>
              <w:rPr>
                <w:color w:val="000000"/>
              </w:rPr>
            </w:pPr>
            <w:r w:rsidRPr="009C19A1">
              <w:rPr>
                <w:color w:val="000000"/>
              </w:rPr>
              <w:t>2012</w:t>
            </w:r>
          </w:p>
        </w:tc>
        <w:tc>
          <w:tcPr>
            <w:tcW w:w="2268" w:type="dxa"/>
            <w:tcBorders>
              <w:top w:val="nil"/>
              <w:left w:val="nil"/>
              <w:bottom w:val="nil"/>
              <w:right w:val="nil"/>
            </w:tcBorders>
            <w:shd w:val="clear" w:color="auto" w:fill="auto"/>
            <w:noWrap/>
            <w:vAlign w:val="center"/>
            <w:hideMark/>
          </w:tcPr>
          <w:p w14:paraId="6B330196" w14:textId="77777777" w:rsidR="008D1D0C" w:rsidRPr="009C19A1" w:rsidRDefault="008D1D0C" w:rsidP="00A7269C">
            <w:pPr>
              <w:jc w:val="center"/>
              <w:rPr>
                <w:color w:val="000000"/>
              </w:rPr>
            </w:pPr>
            <w:r w:rsidRPr="009C19A1">
              <w:rPr>
                <w:color w:val="000000"/>
              </w:rPr>
              <w:t>8,269</w:t>
            </w:r>
          </w:p>
        </w:tc>
        <w:tc>
          <w:tcPr>
            <w:tcW w:w="2268" w:type="dxa"/>
            <w:tcBorders>
              <w:top w:val="nil"/>
              <w:left w:val="nil"/>
              <w:bottom w:val="nil"/>
              <w:right w:val="nil"/>
            </w:tcBorders>
            <w:shd w:val="clear" w:color="auto" w:fill="auto"/>
            <w:noWrap/>
            <w:vAlign w:val="center"/>
            <w:hideMark/>
          </w:tcPr>
          <w:p w14:paraId="1ED0BC20" w14:textId="77777777" w:rsidR="008D1D0C" w:rsidRPr="009C19A1" w:rsidRDefault="008D1D0C" w:rsidP="00A7269C">
            <w:pPr>
              <w:jc w:val="center"/>
              <w:rPr>
                <w:color w:val="000000"/>
              </w:rPr>
            </w:pPr>
            <w:r w:rsidRPr="009C19A1">
              <w:rPr>
                <w:color w:val="000000"/>
              </w:rPr>
              <w:t>3,841</w:t>
            </w:r>
          </w:p>
        </w:tc>
        <w:tc>
          <w:tcPr>
            <w:tcW w:w="2268" w:type="dxa"/>
            <w:tcBorders>
              <w:top w:val="nil"/>
              <w:left w:val="nil"/>
              <w:bottom w:val="nil"/>
              <w:right w:val="nil"/>
            </w:tcBorders>
            <w:shd w:val="clear" w:color="auto" w:fill="auto"/>
            <w:noWrap/>
            <w:vAlign w:val="center"/>
            <w:hideMark/>
          </w:tcPr>
          <w:p w14:paraId="48CDC901" w14:textId="77777777" w:rsidR="008D1D0C" w:rsidRPr="009C19A1" w:rsidRDefault="008D1D0C" w:rsidP="00A7269C">
            <w:pPr>
              <w:jc w:val="center"/>
              <w:rPr>
                <w:color w:val="000000"/>
              </w:rPr>
            </w:pPr>
            <w:r w:rsidRPr="009C19A1">
              <w:rPr>
                <w:color w:val="000000"/>
              </w:rPr>
              <w:t>12,005</w:t>
            </w:r>
          </w:p>
        </w:tc>
      </w:tr>
      <w:tr w:rsidR="008D1D0C" w:rsidRPr="009C19A1" w14:paraId="432DF976" w14:textId="77777777" w:rsidTr="00A7269C">
        <w:trPr>
          <w:trHeight w:val="227"/>
        </w:trPr>
        <w:tc>
          <w:tcPr>
            <w:tcW w:w="2268" w:type="dxa"/>
            <w:tcBorders>
              <w:top w:val="nil"/>
              <w:left w:val="nil"/>
              <w:bottom w:val="nil"/>
              <w:right w:val="nil"/>
            </w:tcBorders>
            <w:shd w:val="clear" w:color="auto" w:fill="auto"/>
            <w:noWrap/>
            <w:vAlign w:val="center"/>
            <w:hideMark/>
          </w:tcPr>
          <w:p w14:paraId="690DA159" w14:textId="77777777" w:rsidR="008D1D0C" w:rsidRPr="009C19A1" w:rsidRDefault="008D1D0C" w:rsidP="00A7269C">
            <w:pPr>
              <w:jc w:val="center"/>
              <w:rPr>
                <w:color w:val="000000"/>
              </w:rPr>
            </w:pPr>
            <w:r w:rsidRPr="009C19A1">
              <w:rPr>
                <w:color w:val="000000"/>
              </w:rPr>
              <w:t>2013</w:t>
            </w:r>
          </w:p>
        </w:tc>
        <w:tc>
          <w:tcPr>
            <w:tcW w:w="2268" w:type="dxa"/>
            <w:tcBorders>
              <w:top w:val="nil"/>
              <w:left w:val="nil"/>
              <w:bottom w:val="nil"/>
              <w:right w:val="nil"/>
            </w:tcBorders>
            <w:shd w:val="clear" w:color="auto" w:fill="auto"/>
            <w:noWrap/>
            <w:vAlign w:val="center"/>
            <w:hideMark/>
          </w:tcPr>
          <w:p w14:paraId="4AF3BD6E" w14:textId="77777777" w:rsidR="008D1D0C" w:rsidRPr="009C19A1" w:rsidRDefault="008D1D0C" w:rsidP="00A7269C">
            <w:pPr>
              <w:jc w:val="center"/>
              <w:rPr>
                <w:color w:val="000000"/>
              </w:rPr>
            </w:pPr>
            <w:r w:rsidRPr="009C19A1">
              <w:rPr>
                <w:color w:val="000000"/>
              </w:rPr>
              <w:t>4,958</w:t>
            </w:r>
          </w:p>
        </w:tc>
        <w:tc>
          <w:tcPr>
            <w:tcW w:w="2268" w:type="dxa"/>
            <w:tcBorders>
              <w:top w:val="nil"/>
              <w:left w:val="nil"/>
              <w:bottom w:val="nil"/>
              <w:right w:val="nil"/>
            </w:tcBorders>
            <w:shd w:val="clear" w:color="auto" w:fill="auto"/>
            <w:noWrap/>
            <w:vAlign w:val="center"/>
            <w:hideMark/>
          </w:tcPr>
          <w:p w14:paraId="03B70699" w14:textId="77777777" w:rsidR="008D1D0C" w:rsidRPr="009C19A1" w:rsidRDefault="008D1D0C" w:rsidP="00A7269C">
            <w:pPr>
              <w:jc w:val="center"/>
              <w:rPr>
                <w:color w:val="000000"/>
              </w:rPr>
            </w:pPr>
            <w:r w:rsidRPr="009C19A1">
              <w:rPr>
                <w:color w:val="000000"/>
              </w:rPr>
              <w:t>3,845</w:t>
            </w:r>
          </w:p>
        </w:tc>
        <w:tc>
          <w:tcPr>
            <w:tcW w:w="2268" w:type="dxa"/>
            <w:tcBorders>
              <w:top w:val="nil"/>
              <w:left w:val="nil"/>
              <w:bottom w:val="nil"/>
              <w:right w:val="nil"/>
            </w:tcBorders>
            <w:shd w:val="clear" w:color="auto" w:fill="auto"/>
            <w:noWrap/>
            <w:vAlign w:val="center"/>
            <w:hideMark/>
          </w:tcPr>
          <w:p w14:paraId="1F84C2B2" w14:textId="77777777" w:rsidR="008D1D0C" w:rsidRPr="009C19A1" w:rsidRDefault="008D1D0C" w:rsidP="00A7269C">
            <w:pPr>
              <w:jc w:val="center"/>
              <w:rPr>
                <w:color w:val="000000"/>
              </w:rPr>
            </w:pPr>
            <w:r w:rsidRPr="009C19A1">
              <w:rPr>
                <w:color w:val="000000"/>
              </w:rPr>
              <w:t>14,544</w:t>
            </w:r>
          </w:p>
        </w:tc>
      </w:tr>
      <w:tr w:rsidR="008D1D0C" w:rsidRPr="009C19A1" w14:paraId="5A7856F7" w14:textId="77777777" w:rsidTr="00A7269C">
        <w:trPr>
          <w:trHeight w:val="227"/>
        </w:trPr>
        <w:tc>
          <w:tcPr>
            <w:tcW w:w="2268" w:type="dxa"/>
            <w:tcBorders>
              <w:top w:val="nil"/>
              <w:left w:val="nil"/>
              <w:bottom w:val="nil"/>
              <w:right w:val="nil"/>
            </w:tcBorders>
            <w:shd w:val="clear" w:color="auto" w:fill="auto"/>
            <w:noWrap/>
            <w:vAlign w:val="center"/>
            <w:hideMark/>
          </w:tcPr>
          <w:p w14:paraId="55C7F2B1" w14:textId="77777777" w:rsidR="008D1D0C" w:rsidRPr="009C19A1" w:rsidRDefault="008D1D0C" w:rsidP="00A7269C">
            <w:pPr>
              <w:jc w:val="center"/>
              <w:rPr>
                <w:color w:val="000000"/>
              </w:rPr>
            </w:pPr>
            <w:r w:rsidRPr="009C19A1">
              <w:rPr>
                <w:color w:val="000000"/>
              </w:rPr>
              <w:t>2014</w:t>
            </w:r>
          </w:p>
        </w:tc>
        <w:tc>
          <w:tcPr>
            <w:tcW w:w="2268" w:type="dxa"/>
            <w:tcBorders>
              <w:top w:val="nil"/>
              <w:left w:val="nil"/>
              <w:bottom w:val="nil"/>
              <w:right w:val="nil"/>
            </w:tcBorders>
            <w:shd w:val="clear" w:color="auto" w:fill="auto"/>
            <w:noWrap/>
            <w:vAlign w:val="center"/>
            <w:hideMark/>
          </w:tcPr>
          <w:p w14:paraId="72B64D6F" w14:textId="77777777" w:rsidR="008D1D0C" w:rsidRPr="009C19A1" w:rsidRDefault="008D1D0C" w:rsidP="00A7269C">
            <w:pPr>
              <w:jc w:val="center"/>
              <w:rPr>
                <w:color w:val="000000"/>
              </w:rPr>
            </w:pPr>
            <w:r w:rsidRPr="009C19A1">
              <w:rPr>
                <w:color w:val="000000"/>
              </w:rPr>
              <w:t>8,211</w:t>
            </w:r>
          </w:p>
        </w:tc>
        <w:tc>
          <w:tcPr>
            <w:tcW w:w="2268" w:type="dxa"/>
            <w:tcBorders>
              <w:top w:val="nil"/>
              <w:left w:val="nil"/>
              <w:bottom w:val="nil"/>
              <w:right w:val="nil"/>
            </w:tcBorders>
            <w:shd w:val="clear" w:color="auto" w:fill="auto"/>
            <w:noWrap/>
            <w:vAlign w:val="center"/>
            <w:hideMark/>
          </w:tcPr>
          <w:p w14:paraId="56C5930F" w14:textId="77777777" w:rsidR="008D1D0C" w:rsidRPr="009C19A1" w:rsidRDefault="008D1D0C" w:rsidP="00A7269C">
            <w:pPr>
              <w:jc w:val="center"/>
              <w:rPr>
                <w:color w:val="000000"/>
              </w:rPr>
            </w:pPr>
            <w:r w:rsidRPr="009C19A1">
              <w:rPr>
                <w:color w:val="000000"/>
              </w:rPr>
              <w:t>3,700</w:t>
            </w:r>
          </w:p>
        </w:tc>
        <w:tc>
          <w:tcPr>
            <w:tcW w:w="2268" w:type="dxa"/>
            <w:tcBorders>
              <w:top w:val="nil"/>
              <w:left w:val="nil"/>
              <w:bottom w:val="nil"/>
              <w:right w:val="nil"/>
            </w:tcBorders>
            <w:shd w:val="clear" w:color="auto" w:fill="auto"/>
            <w:noWrap/>
            <w:vAlign w:val="center"/>
            <w:hideMark/>
          </w:tcPr>
          <w:p w14:paraId="74A78A7A" w14:textId="77777777" w:rsidR="008D1D0C" w:rsidRPr="009C19A1" w:rsidRDefault="008D1D0C" w:rsidP="00A7269C">
            <w:pPr>
              <w:jc w:val="center"/>
              <w:rPr>
                <w:color w:val="000000"/>
              </w:rPr>
            </w:pPr>
            <w:r w:rsidRPr="009C19A1">
              <w:rPr>
                <w:color w:val="000000"/>
              </w:rPr>
              <w:t>12,108</w:t>
            </w:r>
          </w:p>
        </w:tc>
      </w:tr>
      <w:tr w:rsidR="008D1D0C" w:rsidRPr="009C19A1" w14:paraId="37275316" w14:textId="77777777" w:rsidTr="00A7269C">
        <w:trPr>
          <w:trHeight w:val="227"/>
        </w:trPr>
        <w:tc>
          <w:tcPr>
            <w:tcW w:w="2268" w:type="dxa"/>
            <w:tcBorders>
              <w:top w:val="nil"/>
              <w:left w:val="nil"/>
              <w:bottom w:val="nil"/>
              <w:right w:val="nil"/>
            </w:tcBorders>
            <w:shd w:val="clear" w:color="auto" w:fill="auto"/>
            <w:noWrap/>
            <w:vAlign w:val="center"/>
            <w:hideMark/>
          </w:tcPr>
          <w:p w14:paraId="55AD2A41" w14:textId="77777777" w:rsidR="008D1D0C" w:rsidRPr="009C19A1" w:rsidRDefault="008D1D0C" w:rsidP="00A7269C">
            <w:pPr>
              <w:jc w:val="center"/>
              <w:rPr>
                <w:color w:val="000000"/>
              </w:rPr>
            </w:pPr>
            <w:r w:rsidRPr="009C19A1">
              <w:rPr>
                <w:color w:val="000000"/>
              </w:rPr>
              <w:t>2015</w:t>
            </w:r>
          </w:p>
        </w:tc>
        <w:tc>
          <w:tcPr>
            <w:tcW w:w="2268" w:type="dxa"/>
            <w:tcBorders>
              <w:top w:val="nil"/>
              <w:left w:val="nil"/>
              <w:bottom w:val="nil"/>
              <w:right w:val="nil"/>
            </w:tcBorders>
            <w:shd w:val="clear" w:color="auto" w:fill="auto"/>
            <w:noWrap/>
            <w:vAlign w:val="center"/>
            <w:hideMark/>
          </w:tcPr>
          <w:p w14:paraId="6F3AE85C" w14:textId="77777777" w:rsidR="008D1D0C" w:rsidRPr="009C19A1" w:rsidRDefault="008D1D0C" w:rsidP="00A7269C">
            <w:pPr>
              <w:jc w:val="center"/>
              <w:rPr>
                <w:color w:val="000000"/>
              </w:rPr>
            </w:pPr>
            <w:r w:rsidRPr="009C19A1">
              <w:rPr>
                <w:color w:val="000000"/>
              </w:rPr>
              <w:t>10,747</w:t>
            </w:r>
          </w:p>
        </w:tc>
        <w:tc>
          <w:tcPr>
            <w:tcW w:w="2268" w:type="dxa"/>
            <w:tcBorders>
              <w:top w:val="nil"/>
              <w:left w:val="nil"/>
              <w:bottom w:val="nil"/>
              <w:right w:val="nil"/>
            </w:tcBorders>
            <w:shd w:val="clear" w:color="auto" w:fill="auto"/>
            <w:noWrap/>
            <w:vAlign w:val="center"/>
            <w:hideMark/>
          </w:tcPr>
          <w:p w14:paraId="41F10F14" w14:textId="77777777" w:rsidR="008D1D0C" w:rsidRPr="009C19A1" w:rsidRDefault="008D1D0C" w:rsidP="00A7269C">
            <w:pPr>
              <w:jc w:val="center"/>
              <w:rPr>
                <w:color w:val="000000"/>
              </w:rPr>
            </w:pPr>
            <w:r w:rsidRPr="009C19A1">
              <w:rPr>
                <w:color w:val="000000"/>
              </w:rPr>
              <w:t>4,123</w:t>
            </w:r>
          </w:p>
        </w:tc>
        <w:tc>
          <w:tcPr>
            <w:tcW w:w="2268" w:type="dxa"/>
            <w:tcBorders>
              <w:top w:val="nil"/>
              <w:left w:val="nil"/>
              <w:bottom w:val="nil"/>
              <w:right w:val="nil"/>
            </w:tcBorders>
            <w:shd w:val="clear" w:color="auto" w:fill="auto"/>
            <w:noWrap/>
            <w:vAlign w:val="center"/>
            <w:hideMark/>
          </w:tcPr>
          <w:p w14:paraId="57DC3D45" w14:textId="77777777" w:rsidR="008D1D0C" w:rsidRPr="009C19A1" w:rsidRDefault="008D1D0C" w:rsidP="00A7269C">
            <w:pPr>
              <w:jc w:val="center"/>
              <w:rPr>
                <w:color w:val="000000"/>
              </w:rPr>
            </w:pPr>
            <w:r w:rsidRPr="009C19A1">
              <w:rPr>
                <w:color w:val="000000"/>
              </w:rPr>
              <w:t>11,205</w:t>
            </w:r>
          </w:p>
        </w:tc>
      </w:tr>
      <w:tr w:rsidR="008D1D0C" w:rsidRPr="009C19A1" w14:paraId="76B39C3A" w14:textId="77777777" w:rsidTr="00A7269C">
        <w:trPr>
          <w:trHeight w:val="227"/>
        </w:trPr>
        <w:tc>
          <w:tcPr>
            <w:tcW w:w="2268" w:type="dxa"/>
            <w:tcBorders>
              <w:top w:val="nil"/>
              <w:left w:val="nil"/>
              <w:right w:val="nil"/>
            </w:tcBorders>
            <w:shd w:val="clear" w:color="auto" w:fill="auto"/>
            <w:noWrap/>
            <w:vAlign w:val="center"/>
            <w:hideMark/>
          </w:tcPr>
          <w:p w14:paraId="7AAB56B8" w14:textId="77777777" w:rsidR="008D1D0C" w:rsidRPr="009C19A1" w:rsidRDefault="008D1D0C" w:rsidP="00A7269C">
            <w:pPr>
              <w:jc w:val="center"/>
              <w:rPr>
                <w:color w:val="000000"/>
              </w:rPr>
            </w:pPr>
            <w:r w:rsidRPr="009C19A1">
              <w:rPr>
                <w:color w:val="000000"/>
              </w:rPr>
              <w:t>2016</w:t>
            </w:r>
          </w:p>
        </w:tc>
        <w:tc>
          <w:tcPr>
            <w:tcW w:w="2268" w:type="dxa"/>
            <w:tcBorders>
              <w:top w:val="nil"/>
              <w:left w:val="nil"/>
              <w:right w:val="nil"/>
            </w:tcBorders>
            <w:shd w:val="clear" w:color="auto" w:fill="auto"/>
            <w:noWrap/>
            <w:vAlign w:val="center"/>
            <w:hideMark/>
          </w:tcPr>
          <w:p w14:paraId="1A2AC7FB" w14:textId="77777777" w:rsidR="008D1D0C" w:rsidRPr="009C19A1" w:rsidRDefault="008D1D0C" w:rsidP="00A7269C">
            <w:pPr>
              <w:jc w:val="center"/>
              <w:rPr>
                <w:color w:val="000000"/>
              </w:rPr>
            </w:pPr>
            <w:r w:rsidRPr="009C19A1">
              <w:rPr>
                <w:color w:val="000000"/>
              </w:rPr>
              <w:t>10,361</w:t>
            </w:r>
          </w:p>
        </w:tc>
        <w:tc>
          <w:tcPr>
            <w:tcW w:w="2268" w:type="dxa"/>
            <w:tcBorders>
              <w:top w:val="nil"/>
              <w:left w:val="nil"/>
              <w:right w:val="nil"/>
            </w:tcBorders>
            <w:shd w:val="clear" w:color="auto" w:fill="auto"/>
            <w:noWrap/>
            <w:vAlign w:val="center"/>
            <w:hideMark/>
          </w:tcPr>
          <w:p w14:paraId="7646BAD4" w14:textId="77777777" w:rsidR="008D1D0C" w:rsidRPr="009C19A1" w:rsidRDefault="008D1D0C" w:rsidP="00A7269C">
            <w:pPr>
              <w:jc w:val="center"/>
              <w:rPr>
                <w:color w:val="000000"/>
              </w:rPr>
            </w:pPr>
            <w:r w:rsidRPr="009C19A1">
              <w:rPr>
                <w:color w:val="000000"/>
              </w:rPr>
              <w:t>4,310</w:t>
            </w:r>
          </w:p>
        </w:tc>
        <w:tc>
          <w:tcPr>
            <w:tcW w:w="2268" w:type="dxa"/>
            <w:tcBorders>
              <w:top w:val="nil"/>
              <w:left w:val="nil"/>
              <w:right w:val="nil"/>
            </w:tcBorders>
            <w:shd w:val="clear" w:color="auto" w:fill="auto"/>
            <w:noWrap/>
            <w:vAlign w:val="center"/>
            <w:hideMark/>
          </w:tcPr>
          <w:p w14:paraId="127A3E45" w14:textId="77777777" w:rsidR="008D1D0C" w:rsidRPr="009C19A1" w:rsidRDefault="008D1D0C" w:rsidP="00A7269C">
            <w:pPr>
              <w:jc w:val="center"/>
              <w:rPr>
                <w:color w:val="000000"/>
              </w:rPr>
            </w:pPr>
            <w:r w:rsidRPr="009C19A1">
              <w:rPr>
                <w:color w:val="000000"/>
              </w:rPr>
              <w:t>8,163</w:t>
            </w:r>
          </w:p>
        </w:tc>
      </w:tr>
      <w:tr w:rsidR="008D1D0C" w:rsidRPr="009C19A1" w14:paraId="4E223F7F" w14:textId="77777777" w:rsidTr="00A7269C">
        <w:trPr>
          <w:trHeight w:val="227"/>
        </w:trPr>
        <w:tc>
          <w:tcPr>
            <w:tcW w:w="2268" w:type="dxa"/>
            <w:tcBorders>
              <w:top w:val="nil"/>
              <w:left w:val="nil"/>
              <w:bottom w:val="single" w:sz="12" w:space="0" w:color="auto"/>
              <w:right w:val="nil"/>
            </w:tcBorders>
            <w:shd w:val="clear" w:color="auto" w:fill="auto"/>
            <w:noWrap/>
            <w:vAlign w:val="center"/>
            <w:hideMark/>
          </w:tcPr>
          <w:p w14:paraId="637D61FE" w14:textId="77777777" w:rsidR="008D1D0C" w:rsidRPr="009C19A1" w:rsidRDefault="008D1D0C" w:rsidP="00A7269C">
            <w:pPr>
              <w:jc w:val="center"/>
              <w:rPr>
                <w:color w:val="000000"/>
              </w:rPr>
            </w:pPr>
            <w:r w:rsidRPr="009C19A1">
              <w:rPr>
                <w:color w:val="000000"/>
              </w:rPr>
              <w:t>2017</w:t>
            </w:r>
          </w:p>
        </w:tc>
        <w:tc>
          <w:tcPr>
            <w:tcW w:w="2268" w:type="dxa"/>
            <w:tcBorders>
              <w:top w:val="nil"/>
              <w:left w:val="nil"/>
              <w:bottom w:val="single" w:sz="12" w:space="0" w:color="auto"/>
              <w:right w:val="nil"/>
            </w:tcBorders>
            <w:shd w:val="clear" w:color="auto" w:fill="auto"/>
            <w:noWrap/>
            <w:vAlign w:val="center"/>
            <w:hideMark/>
          </w:tcPr>
          <w:p w14:paraId="5C25301A" w14:textId="77777777" w:rsidR="008D1D0C" w:rsidRPr="009C19A1" w:rsidRDefault="008D1D0C" w:rsidP="00A7269C">
            <w:pPr>
              <w:jc w:val="center"/>
              <w:rPr>
                <w:color w:val="000000"/>
              </w:rPr>
            </w:pPr>
            <w:r w:rsidRPr="009C19A1">
              <w:rPr>
                <w:color w:val="000000"/>
              </w:rPr>
              <w:t>7,815</w:t>
            </w:r>
          </w:p>
        </w:tc>
        <w:tc>
          <w:tcPr>
            <w:tcW w:w="2268" w:type="dxa"/>
            <w:tcBorders>
              <w:top w:val="nil"/>
              <w:left w:val="nil"/>
              <w:bottom w:val="single" w:sz="12" w:space="0" w:color="auto"/>
              <w:right w:val="nil"/>
            </w:tcBorders>
            <w:shd w:val="clear" w:color="auto" w:fill="auto"/>
            <w:noWrap/>
            <w:vAlign w:val="center"/>
            <w:hideMark/>
          </w:tcPr>
          <w:p w14:paraId="19B345B1" w14:textId="77777777" w:rsidR="008D1D0C" w:rsidRPr="009C19A1" w:rsidRDefault="008D1D0C" w:rsidP="00A7269C">
            <w:pPr>
              <w:jc w:val="center"/>
              <w:rPr>
                <w:color w:val="000000"/>
              </w:rPr>
            </w:pPr>
            <w:r w:rsidRPr="009C19A1">
              <w:rPr>
                <w:color w:val="000000"/>
              </w:rPr>
              <w:t>4,726</w:t>
            </w:r>
          </w:p>
        </w:tc>
        <w:tc>
          <w:tcPr>
            <w:tcW w:w="2268" w:type="dxa"/>
            <w:tcBorders>
              <w:top w:val="nil"/>
              <w:left w:val="nil"/>
              <w:bottom w:val="single" w:sz="12" w:space="0" w:color="auto"/>
              <w:right w:val="nil"/>
            </w:tcBorders>
            <w:shd w:val="clear" w:color="auto" w:fill="auto"/>
            <w:noWrap/>
            <w:vAlign w:val="center"/>
            <w:hideMark/>
          </w:tcPr>
          <w:p w14:paraId="0D854E87" w14:textId="77777777" w:rsidR="008D1D0C" w:rsidRPr="009C19A1" w:rsidRDefault="008D1D0C" w:rsidP="00A7269C">
            <w:pPr>
              <w:jc w:val="center"/>
              <w:rPr>
                <w:color w:val="000000"/>
              </w:rPr>
            </w:pPr>
            <w:r w:rsidRPr="009C19A1">
              <w:rPr>
                <w:color w:val="000000"/>
              </w:rPr>
              <w:t>7,125</w:t>
            </w:r>
          </w:p>
        </w:tc>
      </w:tr>
    </w:tbl>
    <w:p w14:paraId="12EADCA8" w14:textId="77777777" w:rsidR="008D1D0C" w:rsidRPr="00A7269C" w:rsidRDefault="008D1D0C" w:rsidP="00A7269C">
      <w:pPr>
        <w:spacing w:line="360" w:lineRule="auto"/>
        <w:rPr>
          <w:sz w:val="20"/>
          <w:szCs w:val="20"/>
        </w:rPr>
      </w:pPr>
      <w:r w:rsidRPr="00A7269C">
        <w:rPr>
          <w:sz w:val="20"/>
          <w:szCs w:val="20"/>
        </w:rPr>
        <w:t>Fonte: Dados da pesquisa.</w:t>
      </w:r>
    </w:p>
    <w:p w14:paraId="0C7ACE15" w14:textId="77777777" w:rsidR="00A315AA" w:rsidRDefault="00A315AA" w:rsidP="00A7269C">
      <w:pPr>
        <w:spacing w:line="360" w:lineRule="auto"/>
      </w:pPr>
    </w:p>
    <w:p w14:paraId="718D7BDC" w14:textId="77777777" w:rsidR="00A315AA" w:rsidRDefault="00A315AA" w:rsidP="00A7269C">
      <w:pPr>
        <w:spacing w:line="360" w:lineRule="auto"/>
      </w:pPr>
    </w:p>
    <w:p w14:paraId="7B067C9C" w14:textId="5E40A882" w:rsidR="008D1D0C" w:rsidRPr="009C19A1" w:rsidRDefault="008D1D0C" w:rsidP="00A7269C">
      <w:pPr>
        <w:spacing w:line="360" w:lineRule="auto"/>
        <w:ind w:firstLine="709"/>
        <w:jc w:val="both"/>
      </w:pPr>
      <w:r w:rsidRPr="009C19A1">
        <w:t>O destaque fica para o período pós-2008, quando se encerrou a primeira rodada de negociações do contencioso DS267; mesmo com o não pagamento da totalidade das sanções do governo norte americano percebe-se que para o Brasil houve um aumento significativo do nível de competitividade neste setor. Para o mercado indiano, em contrapartida, houve redução dos níveis competitividade.</w:t>
      </w:r>
    </w:p>
    <w:p w14:paraId="42E7648F" w14:textId="507C466A" w:rsidR="008D1D0C" w:rsidRPr="009C19A1" w:rsidRDefault="008D1D0C" w:rsidP="00A315AA">
      <w:pPr>
        <w:spacing w:line="360" w:lineRule="auto"/>
        <w:ind w:firstLine="709"/>
        <w:jc w:val="both"/>
      </w:pPr>
      <w:r w:rsidRPr="009C19A1">
        <w:t>A Tabela 3 apresenta os resultados da série de 2000 a 2017 do Índice de Contribuição ao Saldo. Assim como o IVCR, durante a maior parte do período os países apresentaram resultados positivos, indicando que o mercado algodoeiro contribuiu positivamente ao saldo e que existem vantagens comparativas reveladas no período. Como pode ser observado através da comparação entre os dados o ICS corrobora com as informações fornecidas pelo IVCR.</w:t>
      </w:r>
    </w:p>
    <w:p w14:paraId="59045133" w14:textId="77777777" w:rsidR="00E86360" w:rsidRDefault="00E86360">
      <w:r>
        <w:br w:type="page"/>
      </w:r>
    </w:p>
    <w:p w14:paraId="00573C7A" w14:textId="77777777" w:rsidR="00E86360" w:rsidRDefault="008D1D0C" w:rsidP="002A63B7">
      <w:r w:rsidRPr="009C19A1">
        <w:lastRenderedPageBreak/>
        <w:t>Tabela 3</w:t>
      </w:r>
    </w:p>
    <w:p w14:paraId="03827EE4" w14:textId="1EF54C26" w:rsidR="008D1D0C" w:rsidRPr="00E86360" w:rsidRDefault="00A43B92" w:rsidP="002A63B7">
      <w:pPr>
        <w:rPr>
          <w:b/>
          <w:bCs/>
        </w:rPr>
      </w:pPr>
      <w:r w:rsidRPr="00E86360">
        <w:rPr>
          <w:b/>
          <w:bCs/>
        </w:rPr>
        <w:t>Í</w:t>
      </w:r>
      <w:r w:rsidR="008D1D0C" w:rsidRPr="00E86360">
        <w:rPr>
          <w:b/>
          <w:bCs/>
        </w:rPr>
        <w:t xml:space="preserve">ndice </w:t>
      </w:r>
      <w:r w:rsidR="00E86360" w:rsidRPr="00E86360">
        <w:rPr>
          <w:b/>
          <w:bCs/>
        </w:rPr>
        <w:t>de contribuição ao saldo no período de 2000-2017</w:t>
      </w:r>
    </w:p>
    <w:p w14:paraId="43770DDE" w14:textId="77777777" w:rsidR="00E86360" w:rsidRPr="009C19A1" w:rsidRDefault="00E86360" w:rsidP="002A63B7"/>
    <w:tbl>
      <w:tblPr>
        <w:tblW w:w="9072" w:type="dxa"/>
        <w:tblLayout w:type="fixed"/>
        <w:tblCellMar>
          <w:left w:w="70" w:type="dxa"/>
          <w:right w:w="70" w:type="dxa"/>
        </w:tblCellMar>
        <w:tblLook w:val="04A0" w:firstRow="1" w:lastRow="0" w:firstColumn="1" w:lastColumn="0" w:noHBand="0" w:noVBand="1"/>
      </w:tblPr>
      <w:tblGrid>
        <w:gridCol w:w="2268"/>
        <w:gridCol w:w="2268"/>
        <w:gridCol w:w="2268"/>
        <w:gridCol w:w="2268"/>
      </w:tblGrid>
      <w:tr w:rsidR="008D1D0C" w:rsidRPr="009C19A1" w14:paraId="05B94152" w14:textId="77777777" w:rsidTr="00E86360">
        <w:trPr>
          <w:trHeight w:val="227"/>
        </w:trPr>
        <w:tc>
          <w:tcPr>
            <w:tcW w:w="2268" w:type="dxa"/>
            <w:tcBorders>
              <w:top w:val="single" w:sz="12" w:space="0" w:color="auto"/>
              <w:left w:val="nil"/>
              <w:bottom w:val="single" w:sz="12" w:space="0" w:color="auto"/>
              <w:right w:val="nil"/>
            </w:tcBorders>
            <w:shd w:val="clear" w:color="auto" w:fill="auto"/>
            <w:noWrap/>
            <w:vAlign w:val="center"/>
            <w:hideMark/>
          </w:tcPr>
          <w:p w14:paraId="404A9578" w14:textId="77777777" w:rsidR="008D1D0C" w:rsidRPr="009C19A1" w:rsidRDefault="008D1D0C" w:rsidP="00E86360">
            <w:pPr>
              <w:jc w:val="center"/>
              <w:rPr>
                <w:b/>
              </w:rPr>
            </w:pPr>
            <w:r w:rsidRPr="009C19A1">
              <w:rPr>
                <w:b/>
              </w:rPr>
              <w:t>Período</w:t>
            </w:r>
          </w:p>
        </w:tc>
        <w:tc>
          <w:tcPr>
            <w:tcW w:w="2268" w:type="dxa"/>
            <w:tcBorders>
              <w:top w:val="single" w:sz="12" w:space="0" w:color="auto"/>
              <w:left w:val="nil"/>
              <w:bottom w:val="single" w:sz="12" w:space="0" w:color="auto"/>
              <w:right w:val="nil"/>
            </w:tcBorders>
            <w:shd w:val="clear" w:color="auto" w:fill="auto"/>
            <w:noWrap/>
            <w:vAlign w:val="center"/>
            <w:hideMark/>
          </w:tcPr>
          <w:p w14:paraId="0854EF9E" w14:textId="77777777" w:rsidR="008D1D0C" w:rsidRPr="009C19A1" w:rsidRDefault="008D1D0C" w:rsidP="00E86360">
            <w:pPr>
              <w:jc w:val="center"/>
              <w:rPr>
                <w:b/>
              </w:rPr>
            </w:pPr>
            <w:r w:rsidRPr="009C19A1">
              <w:rPr>
                <w:b/>
              </w:rPr>
              <w:t>Brasil</w:t>
            </w:r>
          </w:p>
        </w:tc>
        <w:tc>
          <w:tcPr>
            <w:tcW w:w="2268" w:type="dxa"/>
            <w:tcBorders>
              <w:top w:val="single" w:sz="12" w:space="0" w:color="auto"/>
              <w:left w:val="nil"/>
              <w:bottom w:val="single" w:sz="12" w:space="0" w:color="auto"/>
              <w:right w:val="nil"/>
            </w:tcBorders>
            <w:shd w:val="clear" w:color="auto" w:fill="auto"/>
            <w:noWrap/>
            <w:vAlign w:val="center"/>
            <w:hideMark/>
          </w:tcPr>
          <w:p w14:paraId="3D793DC4" w14:textId="77777777" w:rsidR="008D1D0C" w:rsidRPr="009C19A1" w:rsidRDefault="008D1D0C" w:rsidP="00E86360">
            <w:pPr>
              <w:jc w:val="center"/>
              <w:rPr>
                <w:b/>
              </w:rPr>
            </w:pPr>
            <w:r w:rsidRPr="009C19A1">
              <w:rPr>
                <w:b/>
              </w:rPr>
              <w:t>EUA</w:t>
            </w:r>
          </w:p>
        </w:tc>
        <w:tc>
          <w:tcPr>
            <w:tcW w:w="2268" w:type="dxa"/>
            <w:tcBorders>
              <w:top w:val="single" w:sz="12" w:space="0" w:color="auto"/>
              <w:left w:val="nil"/>
              <w:bottom w:val="single" w:sz="12" w:space="0" w:color="auto"/>
              <w:right w:val="nil"/>
            </w:tcBorders>
            <w:shd w:val="clear" w:color="auto" w:fill="auto"/>
            <w:noWrap/>
            <w:vAlign w:val="center"/>
            <w:hideMark/>
          </w:tcPr>
          <w:p w14:paraId="6F4358F9" w14:textId="77777777" w:rsidR="008D1D0C" w:rsidRPr="009C19A1" w:rsidRDefault="008D1D0C" w:rsidP="00E86360">
            <w:pPr>
              <w:jc w:val="center"/>
              <w:rPr>
                <w:b/>
              </w:rPr>
            </w:pPr>
            <w:r w:rsidRPr="009C19A1">
              <w:rPr>
                <w:b/>
              </w:rPr>
              <w:t>Índia</w:t>
            </w:r>
          </w:p>
        </w:tc>
      </w:tr>
      <w:tr w:rsidR="008D1D0C" w:rsidRPr="009C19A1" w14:paraId="569C6FDE" w14:textId="77777777" w:rsidTr="00E86360">
        <w:trPr>
          <w:trHeight w:val="227"/>
        </w:trPr>
        <w:tc>
          <w:tcPr>
            <w:tcW w:w="2268" w:type="dxa"/>
            <w:tcBorders>
              <w:top w:val="single" w:sz="12" w:space="0" w:color="auto"/>
              <w:left w:val="nil"/>
              <w:bottom w:val="nil"/>
              <w:right w:val="nil"/>
            </w:tcBorders>
            <w:shd w:val="clear" w:color="auto" w:fill="auto"/>
            <w:noWrap/>
            <w:vAlign w:val="center"/>
            <w:hideMark/>
          </w:tcPr>
          <w:p w14:paraId="2F0B99D1" w14:textId="77777777" w:rsidR="008D1D0C" w:rsidRPr="009C19A1" w:rsidRDefault="008D1D0C" w:rsidP="00E86360">
            <w:pPr>
              <w:jc w:val="center"/>
              <w:rPr>
                <w:color w:val="000000"/>
              </w:rPr>
            </w:pPr>
            <w:r w:rsidRPr="009C19A1">
              <w:rPr>
                <w:color w:val="000000"/>
              </w:rPr>
              <w:t>2000</w:t>
            </w:r>
          </w:p>
        </w:tc>
        <w:tc>
          <w:tcPr>
            <w:tcW w:w="2268" w:type="dxa"/>
            <w:tcBorders>
              <w:top w:val="single" w:sz="12" w:space="0" w:color="auto"/>
              <w:left w:val="nil"/>
              <w:bottom w:val="nil"/>
              <w:right w:val="nil"/>
            </w:tcBorders>
            <w:shd w:val="clear" w:color="auto" w:fill="auto"/>
            <w:noWrap/>
            <w:vAlign w:val="center"/>
            <w:hideMark/>
          </w:tcPr>
          <w:p w14:paraId="6B18B526" w14:textId="77777777" w:rsidR="008D1D0C" w:rsidRPr="009C19A1" w:rsidRDefault="008D1D0C" w:rsidP="00E86360">
            <w:pPr>
              <w:jc w:val="center"/>
              <w:rPr>
                <w:color w:val="000000"/>
              </w:rPr>
            </w:pPr>
            <w:r w:rsidRPr="009C19A1">
              <w:rPr>
                <w:color w:val="000000"/>
              </w:rPr>
              <w:t>-0,440</w:t>
            </w:r>
          </w:p>
        </w:tc>
        <w:tc>
          <w:tcPr>
            <w:tcW w:w="2268" w:type="dxa"/>
            <w:tcBorders>
              <w:top w:val="single" w:sz="12" w:space="0" w:color="auto"/>
              <w:left w:val="nil"/>
              <w:bottom w:val="nil"/>
              <w:right w:val="nil"/>
            </w:tcBorders>
            <w:shd w:val="clear" w:color="auto" w:fill="auto"/>
            <w:noWrap/>
            <w:vAlign w:val="center"/>
            <w:hideMark/>
          </w:tcPr>
          <w:p w14:paraId="2DEA64EC" w14:textId="77777777" w:rsidR="008D1D0C" w:rsidRPr="009C19A1" w:rsidRDefault="008D1D0C" w:rsidP="00E86360">
            <w:pPr>
              <w:jc w:val="center"/>
              <w:rPr>
                <w:color w:val="000000"/>
              </w:rPr>
            </w:pPr>
            <w:r w:rsidRPr="009C19A1">
              <w:rPr>
                <w:color w:val="000000"/>
              </w:rPr>
              <w:t>0,225</w:t>
            </w:r>
          </w:p>
        </w:tc>
        <w:tc>
          <w:tcPr>
            <w:tcW w:w="2268" w:type="dxa"/>
            <w:tcBorders>
              <w:top w:val="single" w:sz="12" w:space="0" w:color="auto"/>
              <w:left w:val="nil"/>
              <w:bottom w:val="nil"/>
              <w:right w:val="nil"/>
            </w:tcBorders>
            <w:shd w:val="clear" w:color="auto" w:fill="auto"/>
            <w:noWrap/>
            <w:vAlign w:val="center"/>
            <w:hideMark/>
          </w:tcPr>
          <w:p w14:paraId="142E7DCA" w14:textId="77777777" w:rsidR="008D1D0C" w:rsidRPr="009C19A1" w:rsidRDefault="008D1D0C" w:rsidP="00E86360">
            <w:pPr>
              <w:jc w:val="center"/>
              <w:rPr>
                <w:color w:val="000000"/>
              </w:rPr>
            </w:pPr>
            <w:r w:rsidRPr="009C19A1">
              <w:rPr>
                <w:color w:val="000000"/>
              </w:rPr>
              <w:t>-0,590</w:t>
            </w:r>
          </w:p>
        </w:tc>
      </w:tr>
      <w:tr w:rsidR="008D1D0C" w:rsidRPr="009C19A1" w14:paraId="263AFD2F" w14:textId="77777777" w:rsidTr="00E86360">
        <w:trPr>
          <w:trHeight w:val="227"/>
        </w:trPr>
        <w:tc>
          <w:tcPr>
            <w:tcW w:w="2268" w:type="dxa"/>
            <w:tcBorders>
              <w:top w:val="nil"/>
              <w:left w:val="nil"/>
              <w:bottom w:val="nil"/>
              <w:right w:val="nil"/>
            </w:tcBorders>
            <w:shd w:val="clear" w:color="auto" w:fill="auto"/>
            <w:noWrap/>
            <w:vAlign w:val="center"/>
            <w:hideMark/>
          </w:tcPr>
          <w:p w14:paraId="4A7C8E69" w14:textId="77777777" w:rsidR="008D1D0C" w:rsidRPr="009C19A1" w:rsidRDefault="008D1D0C" w:rsidP="00E86360">
            <w:pPr>
              <w:jc w:val="center"/>
              <w:rPr>
                <w:color w:val="000000"/>
              </w:rPr>
            </w:pPr>
            <w:r w:rsidRPr="009C19A1">
              <w:rPr>
                <w:color w:val="000000"/>
              </w:rPr>
              <w:t>2001</w:t>
            </w:r>
          </w:p>
        </w:tc>
        <w:tc>
          <w:tcPr>
            <w:tcW w:w="2268" w:type="dxa"/>
            <w:tcBorders>
              <w:top w:val="nil"/>
              <w:left w:val="nil"/>
              <w:bottom w:val="nil"/>
              <w:right w:val="nil"/>
            </w:tcBorders>
            <w:shd w:val="clear" w:color="auto" w:fill="auto"/>
            <w:noWrap/>
            <w:vAlign w:val="center"/>
            <w:hideMark/>
          </w:tcPr>
          <w:p w14:paraId="2770282A" w14:textId="77777777" w:rsidR="008D1D0C" w:rsidRPr="009C19A1" w:rsidRDefault="008D1D0C" w:rsidP="00E86360">
            <w:pPr>
              <w:jc w:val="center"/>
              <w:rPr>
                <w:color w:val="000000"/>
              </w:rPr>
            </w:pPr>
            <w:r w:rsidRPr="009C19A1">
              <w:rPr>
                <w:color w:val="000000"/>
              </w:rPr>
              <w:t>0,095</w:t>
            </w:r>
          </w:p>
        </w:tc>
        <w:tc>
          <w:tcPr>
            <w:tcW w:w="2268" w:type="dxa"/>
            <w:tcBorders>
              <w:top w:val="nil"/>
              <w:left w:val="nil"/>
              <w:bottom w:val="nil"/>
              <w:right w:val="nil"/>
            </w:tcBorders>
            <w:shd w:val="clear" w:color="auto" w:fill="auto"/>
            <w:noWrap/>
            <w:vAlign w:val="center"/>
            <w:hideMark/>
          </w:tcPr>
          <w:p w14:paraId="14C19AD1" w14:textId="77777777" w:rsidR="008D1D0C" w:rsidRPr="009C19A1" w:rsidRDefault="008D1D0C" w:rsidP="00E86360">
            <w:pPr>
              <w:jc w:val="center"/>
              <w:rPr>
                <w:color w:val="000000"/>
              </w:rPr>
            </w:pPr>
            <w:r w:rsidRPr="009C19A1">
              <w:rPr>
                <w:color w:val="000000"/>
              </w:rPr>
              <w:t>0,249</w:t>
            </w:r>
          </w:p>
        </w:tc>
        <w:tc>
          <w:tcPr>
            <w:tcW w:w="2268" w:type="dxa"/>
            <w:tcBorders>
              <w:top w:val="nil"/>
              <w:left w:val="nil"/>
              <w:bottom w:val="nil"/>
              <w:right w:val="nil"/>
            </w:tcBorders>
            <w:shd w:val="clear" w:color="auto" w:fill="auto"/>
            <w:noWrap/>
            <w:vAlign w:val="center"/>
            <w:hideMark/>
          </w:tcPr>
          <w:p w14:paraId="625D094F" w14:textId="77777777" w:rsidR="008D1D0C" w:rsidRPr="009C19A1" w:rsidRDefault="008D1D0C" w:rsidP="00E86360">
            <w:pPr>
              <w:jc w:val="center"/>
              <w:rPr>
                <w:color w:val="000000"/>
              </w:rPr>
            </w:pPr>
            <w:r w:rsidRPr="009C19A1">
              <w:rPr>
                <w:color w:val="000000"/>
              </w:rPr>
              <w:t>-0,701</w:t>
            </w:r>
          </w:p>
        </w:tc>
      </w:tr>
      <w:tr w:rsidR="008D1D0C" w:rsidRPr="009C19A1" w14:paraId="54CD4638" w14:textId="77777777" w:rsidTr="00E86360">
        <w:trPr>
          <w:trHeight w:val="227"/>
        </w:trPr>
        <w:tc>
          <w:tcPr>
            <w:tcW w:w="2268" w:type="dxa"/>
            <w:tcBorders>
              <w:top w:val="nil"/>
              <w:left w:val="nil"/>
              <w:bottom w:val="nil"/>
              <w:right w:val="nil"/>
            </w:tcBorders>
            <w:shd w:val="clear" w:color="auto" w:fill="auto"/>
            <w:noWrap/>
            <w:vAlign w:val="center"/>
            <w:hideMark/>
          </w:tcPr>
          <w:p w14:paraId="400FB39D" w14:textId="77777777" w:rsidR="008D1D0C" w:rsidRPr="009C19A1" w:rsidRDefault="008D1D0C" w:rsidP="00E86360">
            <w:pPr>
              <w:jc w:val="center"/>
              <w:rPr>
                <w:color w:val="000000"/>
              </w:rPr>
            </w:pPr>
            <w:r w:rsidRPr="009C19A1">
              <w:rPr>
                <w:color w:val="000000"/>
              </w:rPr>
              <w:t>2002</w:t>
            </w:r>
          </w:p>
        </w:tc>
        <w:tc>
          <w:tcPr>
            <w:tcW w:w="2268" w:type="dxa"/>
            <w:tcBorders>
              <w:top w:val="nil"/>
              <w:left w:val="nil"/>
              <w:bottom w:val="nil"/>
              <w:right w:val="nil"/>
            </w:tcBorders>
            <w:shd w:val="clear" w:color="auto" w:fill="auto"/>
            <w:noWrap/>
            <w:vAlign w:val="center"/>
            <w:hideMark/>
          </w:tcPr>
          <w:p w14:paraId="356A6913" w14:textId="77777777" w:rsidR="008D1D0C" w:rsidRPr="009C19A1" w:rsidRDefault="008D1D0C" w:rsidP="00E86360">
            <w:pPr>
              <w:jc w:val="center"/>
              <w:rPr>
                <w:color w:val="000000"/>
              </w:rPr>
            </w:pPr>
            <w:r w:rsidRPr="009C19A1">
              <w:rPr>
                <w:color w:val="000000"/>
              </w:rPr>
              <w:t>0,020</w:t>
            </w:r>
          </w:p>
        </w:tc>
        <w:tc>
          <w:tcPr>
            <w:tcW w:w="2268" w:type="dxa"/>
            <w:tcBorders>
              <w:top w:val="nil"/>
              <w:left w:val="nil"/>
              <w:bottom w:val="nil"/>
              <w:right w:val="nil"/>
            </w:tcBorders>
            <w:shd w:val="clear" w:color="auto" w:fill="auto"/>
            <w:noWrap/>
            <w:vAlign w:val="center"/>
            <w:hideMark/>
          </w:tcPr>
          <w:p w14:paraId="4E4DCBFA" w14:textId="77777777" w:rsidR="008D1D0C" w:rsidRPr="009C19A1" w:rsidRDefault="008D1D0C" w:rsidP="00E86360">
            <w:pPr>
              <w:jc w:val="center"/>
              <w:rPr>
                <w:color w:val="000000"/>
              </w:rPr>
            </w:pPr>
            <w:r w:rsidRPr="009C19A1">
              <w:rPr>
                <w:color w:val="000000"/>
              </w:rPr>
              <w:t>0,236</w:t>
            </w:r>
          </w:p>
        </w:tc>
        <w:tc>
          <w:tcPr>
            <w:tcW w:w="2268" w:type="dxa"/>
            <w:tcBorders>
              <w:top w:val="nil"/>
              <w:left w:val="nil"/>
              <w:bottom w:val="nil"/>
              <w:right w:val="nil"/>
            </w:tcBorders>
            <w:shd w:val="clear" w:color="auto" w:fill="auto"/>
            <w:noWrap/>
            <w:vAlign w:val="center"/>
            <w:hideMark/>
          </w:tcPr>
          <w:p w14:paraId="19971A01" w14:textId="77777777" w:rsidR="008D1D0C" w:rsidRPr="009C19A1" w:rsidRDefault="008D1D0C" w:rsidP="00E86360">
            <w:pPr>
              <w:jc w:val="center"/>
              <w:rPr>
                <w:color w:val="000000"/>
              </w:rPr>
            </w:pPr>
            <w:r w:rsidRPr="009C19A1">
              <w:rPr>
                <w:color w:val="000000"/>
              </w:rPr>
              <w:t>-0,475</w:t>
            </w:r>
          </w:p>
        </w:tc>
      </w:tr>
      <w:tr w:rsidR="008D1D0C" w:rsidRPr="009C19A1" w14:paraId="104C54F1" w14:textId="77777777" w:rsidTr="00E86360">
        <w:trPr>
          <w:trHeight w:val="227"/>
        </w:trPr>
        <w:tc>
          <w:tcPr>
            <w:tcW w:w="2268" w:type="dxa"/>
            <w:tcBorders>
              <w:top w:val="nil"/>
              <w:left w:val="nil"/>
              <w:bottom w:val="nil"/>
              <w:right w:val="nil"/>
            </w:tcBorders>
            <w:shd w:val="clear" w:color="auto" w:fill="auto"/>
            <w:noWrap/>
            <w:vAlign w:val="center"/>
            <w:hideMark/>
          </w:tcPr>
          <w:p w14:paraId="620BB27A" w14:textId="77777777" w:rsidR="008D1D0C" w:rsidRPr="009C19A1" w:rsidRDefault="008D1D0C" w:rsidP="00E86360">
            <w:pPr>
              <w:jc w:val="center"/>
              <w:rPr>
                <w:color w:val="000000"/>
              </w:rPr>
            </w:pPr>
            <w:r w:rsidRPr="009C19A1">
              <w:rPr>
                <w:color w:val="000000"/>
              </w:rPr>
              <w:t>2003</w:t>
            </w:r>
          </w:p>
        </w:tc>
        <w:tc>
          <w:tcPr>
            <w:tcW w:w="2268" w:type="dxa"/>
            <w:tcBorders>
              <w:top w:val="nil"/>
              <w:left w:val="nil"/>
              <w:bottom w:val="nil"/>
              <w:right w:val="nil"/>
            </w:tcBorders>
            <w:shd w:val="clear" w:color="auto" w:fill="auto"/>
            <w:noWrap/>
            <w:vAlign w:val="center"/>
            <w:hideMark/>
          </w:tcPr>
          <w:p w14:paraId="75CACDE1" w14:textId="77777777" w:rsidR="008D1D0C" w:rsidRPr="009C19A1" w:rsidRDefault="008D1D0C" w:rsidP="00E86360">
            <w:pPr>
              <w:jc w:val="center"/>
              <w:rPr>
                <w:color w:val="000000"/>
              </w:rPr>
            </w:pPr>
            <w:r w:rsidRPr="009C19A1">
              <w:rPr>
                <w:color w:val="000000"/>
              </w:rPr>
              <w:t>-0,021</w:t>
            </w:r>
          </w:p>
        </w:tc>
        <w:tc>
          <w:tcPr>
            <w:tcW w:w="2268" w:type="dxa"/>
            <w:tcBorders>
              <w:top w:val="nil"/>
              <w:left w:val="nil"/>
              <w:bottom w:val="nil"/>
              <w:right w:val="nil"/>
            </w:tcBorders>
            <w:shd w:val="clear" w:color="auto" w:fill="auto"/>
            <w:noWrap/>
            <w:vAlign w:val="center"/>
            <w:hideMark/>
          </w:tcPr>
          <w:p w14:paraId="00492F99" w14:textId="77777777" w:rsidR="008D1D0C" w:rsidRPr="009C19A1" w:rsidRDefault="008D1D0C" w:rsidP="00E86360">
            <w:pPr>
              <w:jc w:val="center"/>
              <w:rPr>
                <w:color w:val="000000"/>
              </w:rPr>
            </w:pPr>
            <w:r w:rsidRPr="009C19A1">
              <w:rPr>
                <w:color w:val="000000"/>
              </w:rPr>
              <w:t>0,377</w:t>
            </w:r>
          </w:p>
        </w:tc>
        <w:tc>
          <w:tcPr>
            <w:tcW w:w="2268" w:type="dxa"/>
            <w:tcBorders>
              <w:top w:val="nil"/>
              <w:left w:val="nil"/>
              <w:bottom w:val="nil"/>
              <w:right w:val="nil"/>
            </w:tcBorders>
            <w:shd w:val="clear" w:color="auto" w:fill="auto"/>
            <w:noWrap/>
            <w:vAlign w:val="center"/>
            <w:hideMark/>
          </w:tcPr>
          <w:p w14:paraId="12B3A1A1" w14:textId="77777777" w:rsidR="008D1D0C" w:rsidRPr="009C19A1" w:rsidRDefault="008D1D0C" w:rsidP="00E86360">
            <w:pPr>
              <w:jc w:val="center"/>
              <w:rPr>
                <w:color w:val="000000"/>
              </w:rPr>
            </w:pPr>
            <w:r w:rsidRPr="009C19A1">
              <w:rPr>
                <w:color w:val="000000"/>
              </w:rPr>
              <w:t>-0,457</w:t>
            </w:r>
          </w:p>
        </w:tc>
      </w:tr>
      <w:tr w:rsidR="008D1D0C" w:rsidRPr="009C19A1" w14:paraId="0E111332" w14:textId="77777777" w:rsidTr="00E86360">
        <w:trPr>
          <w:trHeight w:val="227"/>
        </w:trPr>
        <w:tc>
          <w:tcPr>
            <w:tcW w:w="2268" w:type="dxa"/>
            <w:tcBorders>
              <w:top w:val="nil"/>
              <w:left w:val="nil"/>
              <w:bottom w:val="nil"/>
              <w:right w:val="nil"/>
            </w:tcBorders>
            <w:shd w:val="clear" w:color="auto" w:fill="auto"/>
            <w:noWrap/>
            <w:vAlign w:val="center"/>
            <w:hideMark/>
          </w:tcPr>
          <w:p w14:paraId="5B634CEA" w14:textId="77777777" w:rsidR="008D1D0C" w:rsidRPr="009C19A1" w:rsidRDefault="008D1D0C" w:rsidP="00E86360">
            <w:pPr>
              <w:jc w:val="center"/>
              <w:rPr>
                <w:color w:val="000000"/>
              </w:rPr>
            </w:pPr>
            <w:r w:rsidRPr="009C19A1">
              <w:rPr>
                <w:color w:val="000000"/>
              </w:rPr>
              <w:t>2004</w:t>
            </w:r>
          </w:p>
        </w:tc>
        <w:tc>
          <w:tcPr>
            <w:tcW w:w="2268" w:type="dxa"/>
            <w:tcBorders>
              <w:top w:val="nil"/>
              <w:left w:val="nil"/>
              <w:bottom w:val="nil"/>
              <w:right w:val="nil"/>
            </w:tcBorders>
            <w:shd w:val="clear" w:color="auto" w:fill="auto"/>
            <w:noWrap/>
            <w:vAlign w:val="center"/>
            <w:hideMark/>
          </w:tcPr>
          <w:p w14:paraId="0B8A9538" w14:textId="77777777" w:rsidR="008D1D0C" w:rsidRPr="009C19A1" w:rsidRDefault="008D1D0C" w:rsidP="00E86360">
            <w:pPr>
              <w:jc w:val="center"/>
              <w:rPr>
                <w:color w:val="000000"/>
              </w:rPr>
            </w:pPr>
            <w:r w:rsidRPr="009C19A1">
              <w:rPr>
                <w:color w:val="000000"/>
              </w:rPr>
              <w:t>0,184</w:t>
            </w:r>
          </w:p>
        </w:tc>
        <w:tc>
          <w:tcPr>
            <w:tcW w:w="2268" w:type="dxa"/>
            <w:tcBorders>
              <w:top w:val="nil"/>
              <w:left w:val="nil"/>
              <w:bottom w:val="nil"/>
              <w:right w:val="nil"/>
            </w:tcBorders>
            <w:shd w:val="clear" w:color="auto" w:fill="auto"/>
            <w:noWrap/>
            <w:vAlign w:val="center"/>
            <w:hideMark/>
          </w:tcPr>
          <w:p w14:paraId="5E8B33B9" w14:textId="77777777" w:rsidR="008D1D0C" w:rsidRPr="009C19A1" w:rsidRDefault="008D1D0C" w:rsidP="00E86360">
            <w:pPr>
              <w:jc w:val="center"/>
              <w:rPr>
                <w:color w:val="000000"/>
              </w:rPr>
            </w:pPr>
            <w:r w:rsidRPr="009C19A1">
              <w:rPr>
                <w:color w:val="000000"/>
              </w:rPr>
              <w:t>0,453</w:t>
            </w:r>
          </w:p>
        </w:tc>
        <w:tc>
          <w:tcPr>
            <w:tcW w:w="2268" w:type="dxa"/>
            <w:tcBorders>
              <w:top w:val="nil"/>
              <w:left w:val="nil"/>
              <w:bottom w:val="nil"/>
              <w:right w:val="nil"/>
            </w:tcBorders>
            <w:shd w:val="clear" w:color="auto" w:fill="auto"/>
            <w:noWrap/>
            <w:vAlign w:val="center"/>
            <w:hideMark/>
          </w:tcPr>
          <w:p w14:paraId="1D4C2AC2" w14:textId="77777777" w:rsidR="008D1D0C" w:rsidRPr="009C19A1" w:rsidRDefault="008D1D0C" w:rsidP="00E86360">
            <w:pPr>
              <w:jc w:val="center"/>
              <w:rPr>
                <w:color w:val="000000"/>
              </w:rPr>
            </w:pPr>
            <w:r w:rsidRPr="009C19A1">
              <w:rPr>
                <w:color w:val="000000"/>
              </w:rPr>
              <w:t>0,022</w:t>
            </w:r>
          </w:p>
        </w:tc>
      </w:tr>
      <w:tr w:rsidR="008D1D0C" w:rsidRPr="009C19A1" w14:paraId="2CBAB5DD" w14:textId="77777777" w:rsidTr="00E86360">
        <w:trPr>
          <w:trHeight w:val="227"/>
        </w:trPr>
        <w:tc>
          <w:tcPr>
            <w:tcW w:w="2268" w:type="dxa"/>
            <w:tcBorders>
              <w:top w:val="nil"/>
              <w:left w:val="nil"/>
              <w:bottom w:val="nil"/>
              <w:right w:val="nil"/>
            </w:tcBorders>
            <w:shd w:val="clear" w:color="auto" w:fill="auto"/>
            <w:noWrap/>
            <w:vAlign w:val="center"/>
            <w:hideMark/>
          </w:tcPr>
          <w:p w14:paraId="401A19EA" w14:textId="77777777" w:rsidR="008D1D0C" w:rsidRPr="009C19A1" w:rsidRDefault="008D1D0C" w:rsidP="00E86360">
            <w:pPr>
              <w:jc w:val="center"/>
              <w:rPr>
                <w:color w:val="000000"/>
              </w:rPr>
            </w:pPr>
            <w:r w:rsidRPr="009C19A1">
              <w:rPr>
                <w:color w:val="000000"/>
              </w:rPr>
              <w:t>2005</w:t>
            </w:r>
          </w:p>
        </w:tc>
        <w:tc>
          <w:tcPr>
            <w:tcW w:w="2268" w:type="dxa"/>
            <w:tcBorders>
              <w:top w:val="nil"/>
              <w:left w:val="nil"/>
              <w:bottom w:val="nil"/>
              <w:right w:val="nil"/>
            </w:tcBorders>
            <w:shd w:val="clear" w:color="auto" w:fill="auto"/>
            <w:noWrap/>
            <w:vAlign w:val="center"/>
            <w:hideMark/>
          </w:tcPr>
          <w:p w14:paraId="4460FB0D" w14:textId="77777777" w:rsidR="008D1D0C" w:rsidRPr="009C19A1" w:rsidRDefault="008D1D0C" w:rsidP="00E86360">
            <w:pPr>
              <w:jc w:val="center"/>
              <w:rPr>
                <w:color w:val="000000"/>
              </w:rPr>
            </w:pPr>
            <w:r w:rsidRPr="009C19A1">
              <w:rPr>
                <w:color w:val="000000"/>
              </w:rPr>
              <w:t>0,330</w:t>
            </w:r>
          </w:p>
        </w:tc>
        <w:tc>
          <w:tcPr>
            <w:tcW w:w="2268" w:type="dxa"/>
            <w:tcBorders>
              <w:top w:val="nil"/>
              <w:left w:val="nil"/>
              <w:bottom w:val="nil"/>
              <w:right w:val="nil"/>
            </w:tcBorders>
            <w:shd w:val="clear" w:color="auto" w:fill="auto"/>
            <w:noWrap/>
            <w:vAlign w:val="center"/>
            <w:hideMark/>
          </w:tcPr>
          <w:p w14:paraId="578C01C8" w14:textId="77777777" w:rsidR="008D1D0C" w:rsidRPr="009C19A1" w:rsidRDefault="008D1D0C" w:rsidP="00E86360">
            <w:pPr>
              <w:jc w:val="center"/>
              <w:rPr>
                <w:color w:val="000000"/>
              </w:rPr>
            </w:pPr>
            <w:r w:rsidRPr="009C19A1">
              <w:rPr>
                <w:color w:val="000000"/>
              </w:rPr>
              <w:t>0,396</w:t>
            </w:r>
          </w:p>
        </w:tc>
        <w:tc>
          <w:tcPr>
            <w:tcW w:w="2268" w:type="dxa"/>
            <w:tcBorders>
              <w:top w:val="nil"/>
              <w:left w:val="nil"/>
              <w:bottom w:val="nil"/>
              <w:right w:val="nil"/>
            </w:tcBorders>
            <w:shd w:val="clear" w:color="auto" w:fill="auto"/>
            <w:noWrap/>
            <w:vAlign w:val="center"/>
            <w:hideMark/>
          </w:tcPr>
          <w:p w14:paraId="312D2A40" w14:textId="77777777" w:rsidR="008D1D0C" w:rsidRPr="009C19A1" w:rsidRDefault="008D1D0C" w:rsidP="00E86360">
            <w:pPr>
              <w:jc w:val="center"/>
              <w:rPr>
                <w:color w:val="000000"/>
              </w:rPr>
            </w:pPr>
            <w:r w:rsidRPr="009C19A1">
              <w:rPr>
                <w:color w:val="000000"/>
              </w:rPr>
              <w:t>0,298</w:t>
            </w:r>
          </w:p>
        </w:tc>
      </w:tr>
      <w:tr w:rsidR="008D1D0C" w:rsidRPr="009C19A1" w14:paraId="692250D5" w14:textId="77777777" w:rsidTr="00E86360">
        <w:trPr>
          <w:trHeight w:val="227"/>
        </w:trPr>
        <w:tc>
          <w:tcPr>
            <w:tcW w:w="2268" w:type="dxa"/>
            <w:tcBorders>
              <w:top w:val="nil"/>
              <w:left w:val="nil"/>
              <w:bottom w:val="nil"/>
              <w:right w:val="nil"/>
            </w:tcBorders>
            <w:shd w:val="clear" w:color="auto" w:fill="auto"/>
            <w:noWrap/>
            <w:vAlign w:val="center"/>
            <w:hideMark/>
          </w:tcPr>
          <w:p w14:paraId="11DFA63F" w14:textId="77777777" w:rsidR="008D1D0C" w:rsidRPr="009C19A1" w:rsidRDefault="008D1D0C" w:rsidP="00E86360">
            <w:pPr>
              <w:jc w:val="center"/>
              <w:rPr>
                <w:color w:val="000000"/>
              </w:rPr>
            </w:pPr>
            <w:r w:rsidRPr="009C19A1">
              <w:rPr>
                <w:color w:val="000000"/>
              </w:rPr>
              <w:t>2006</w:t>
            </w:r>
          </w:p>
        </w:tc>
        <w:tc>
          <w:tcPr>
            <w:tcW w:w="2268" w:type="dxa"/>
            <w:tcBorders>
              <w:top w:val="nil"/>
              <w:left w:val="nil"/>
              <w:bottom w:val="nil"/>
              <w:right w:val="nil"/>
            </w:tcBorders>
            <w:shd w:val="clear" w:color="auto" w:fill="auto"/>
            <w:noWrap/>
            <w:vAlign w:val="center"/>
            <w:hideMark/>
          </w:tcPr>
          <w:p w14:paraId="4BF972E3" w14:textId="77777777" w:rsidR="008D1D0C" w:rsidRPr="009C19A1" w:rsidRDefault="008D1D0C" w:rsidP="00E86360">
            <w:pPr>
              <w:jc w:val="center"/>
              <w:rPr>
                <w:color w:val="000000"/>
              </w:rPr>
            </w:pPr>
            <w:r w:rsidRPr="009C19A1">
              <w:rPr>
                <w:color w:val="000000"/>
              </w:rPr>
              <w:t>0,134</w:t>
            </w:r>
          </w:p>
        </w:tc>
        <w:tc>
          <w:tcPr>
            <w:tcW w:w="2268" w:type="dxa"/>
            <w:tcBorders>
              <w:top w:val="nil"/>
              <w:left w:val="nil"/>
              <w:bottom w:val="nil"/>
              <w:right w:val="nil"/>
            </w:tcBorders>
            <w:shd w:val="clear" w:color="auto" w:fill="auto"/>
            <w:noWrap/>
            <w:vAlign w:val="center"/>
            <w:hideMark/>
          </w:tcPr>
          <w:p w14:paraId="3BB94A8D" w14:textId="77777777" w:rsidR="008D1D0C" w:rsidRPr="009C19A1" w:rsidRDefault="008D1D0C" w:rsidP="00E86360">
            <w:pPr>
              <w:jc w:val="center"/>
              <w:rPr>
                <w:color w:val="000000"/>
              </w:rPr>
            </w:pPr>
            <w:r w:rsidRPr="009C19A1">
              <w:rPr>
                <w:color w:val="000000"/>
              </w:rPr>
              <w:t>0,422</w:t>
            </w:r>
          </w:p>
        </w:tc>
        <w:tc>
          <w:tcPr>
            <w:tcW w:w="2268" w:type="dxa"/>
            <w:tcBorders>
              <w:top w:val="nil"/>
              <w:left w:val="nil"/>
              <w:bottom w:val="nil"/>
              <w:right w:val="nil"/>
            </w:tcBorders>
            <w:shd w:val="clear" w:color="auto" w:fill="auto"/>
            <w:noWrap/>
            <w:vAlign w:val="center"/>
            <w:hideMark/>
          </w:tcPr>
          <w:p w14:paraId="4E6DE621" w14:textId="77777777" w:rsidR="008D1D0C" w:rsidRPr="009C19A1" w:rsidRDefault="008D1D0C" w:rsidP="00E86360">
            <w:pPr>
              <w:jc w:val="center"/>
              <w:rPr>
                <w:color w:val="000000"/>
              </w:rPr>
            </w:pPr>
            <w:r w:rsidRPr="009C19A1">
              <w:rPr>
                <w:color w:val="000000"/>
              </w:rPr>
              <w:t>1,081</w:t>
            </w:r>
          </w:p>
        </w:tc>
      </w:tr>
      <w:tr w:rsidR="008D1D0C" w:rsidRPr="009C19A1" w14:paraId="5E49717F" w14:textId="77777777" w:rsidTr="00E86360">
        <w:trPr>
          <w:trHeight w:val="227"/>
        </w:trPr>
        <w:tc>
          <w:tcPr>
            <w:tcW w:w="2268" w:type="dxa"/>
            <w:tcBorders>
              <w:top w:val="nil"/>
              <w:left w:val="nil"/>
              <w:bottom w:val="nil"/>
              <w:right w:val="nil"/>
            </w:tcBorders>
            <w:shd w:val="clear" w:color="auto" w:fill="auto"/>
            <w:noWrap/>
            <w:vAlign w:val="center"/>
            <w:hideMark/>
          </w:tcPr>
          <w:p w14:paraId="6483FB34" w14:textId="77777777" w:rsidR="008D1D0C" w:rsidRPr="009C19A1" w:rsidRDefault="008D1D0C" w:rsidP="00E86360">
            <w:pPr>
              <w:jc w:val="center"/>
              <w:rPr>
                <w:color w:val="000000"/>
              </w:rPr>
            </w:pPr>
            <w:r w:rsidRPr="009C19A1">
              <w:rPr>
                <w:color w:val="000000"/>
              </w:rPr>
              <w:t>2007</w:t>
            </w:r>
          </w:p>
        </w:tc>
        <w:tc>
          <w:tcPr>
            <w:tcW w:w="2268" w:type="dxa"/>
            <w:tcBorders>
              <w:top w:val="nil"/>
              <w:left w:val="nil"/>
              <w:bottom w:val="nil"/>
              <w:right w:val="nil"/>
            </w:tcBorders>
            <w:shd w:val="clear" w:color="auto" w:fill="auto"/>
            <w:noWrap/>
            <w:vAlign w:val="center"/>
            <w:hideMark/>
          </w:tcPr>
          <w:p w14:paraId="3648F573" w14:textId="77777777" w:rsidR="008D1D0C" w:rsidRPr="009C19A1" w:rsidRDefault="008D1D0C" w:rsidP="00E86360">
            <w:pPr>
              <w:jc w:val="center"/>
              <w:rPr>
                <w:color w:val="000000"/>
              </w:rPr>
            </w:pPr>
            <w:r w:rsidRPr="009C19A1">
              <w:rPr>
                <w:color w:val="000000"/>
              </w:rPr>
              <w:t>0,210</w:t>
            </w:r>
          </w:p>
        </w:tc>
        <w:tc>
          <w:tcPr>
            <w:tcW w:w="2268" w:type="dxa"/>
            <w:tcBorders>
              <w:top w:val="nil"/>
              <w:left w:val="nil"/>
              <w:bottom w:val="nil"/>
              <w:right w:val="nil"/>
            </w:tcBorders>
            <w:shd w:val="clear" w:color="auto" w:fill="auto"/>
            <w:noWrap/>
            <w:vAlign w:val="center"/>
            <w:hideMark/>
          </w:tcPr>
          <w:p w14:paraId="27FD0469" w14:textId="77777777" w:rsidR="008D1D0C" w:rsidRPr="009C19A1" w:rsidRDefault="008D1D0C" w:rsidP="00E86360">
            <w:pPr>
              <w:jc w:val="center"/>
              <w:rPr>
                <w:color w:val="000000"/>
              </w:rPr>
            </w:pPr>
            <w:r w:rsidRPr="009C19A1">
              <w:rPr>
                <w:color w:val="000000"/>
              </w:rPr>
              <w:t>0,402</w:t>
            </w:r>
          </w:p>
        </w:tc>
        <w:tc>
          <w:tcPr>
            <w:tcW w:w="2268" w:type="dxa"/>
            <w:tcBorders>
              <w:top w:val="nil"/>
              <w:left w:val="nil"/>
              <w:bottom w:val="nil"/>
              <w:right w:val="nil"/>
            </w:tcBorders>
            <w:shd w:val="clear" w:color="auto" w:fill="auto"/>
            <w:noWrap/>
            <w:vAlign w:val="center"/>
            <w:hideMark/>
          </w:tcPr>
          <w:p w14:paraId="309EFC7F" w14:textId="77777777" w:rsidR="008D1D0C" w:rsidRPr="009C19A1" w:rsidRDefault="008D1D0C" w:rsidP="00E86360">
            <w:pPr>
              <w:jc w:val="center"/>
              <w:rPr>
                <w:color w:val="000000"/>
              </w:rPr>
            </w:pPr>
            <w:r w:rsidRPr="009C19A1">
              <w:rPr>
                <w:color w:val="000000"/>
              </w:rPr>
              <w:t>1,468</w:t>
            </w:r>
          </w:p>
        </w:tc>
      </w:tr>
      <w:tr w:rsidR="008D1D0C" w:rsidRPr="009C19A1" w14:paraId="18CCA60E" w14:textId="77777777" w:rsidTr="00E86360">
        <w:trPr>
          <w:trHeight w:val="227"/>
        </w:trPr>
        <w:tc>
          <w:tcPr>
            <w:tcW w:w="2268" w:type="dxa"/>
            <w:tcBorders>
              <w:top w:val="nil"/>
              <w:left w:val="nil"/>
              <w:bottom w:val="nil"/>
              <w:right w:val="nil"/>
            </w:tcBorders>
            <w:shd w:val="clear" w:color="auto" w:fill="auto"/>
            <w:noWrap/>
            <w:vAlign w:val="center"/>
            <w:hideMark/>
          </w:tcPr>
          <w:p w14:paraId="4293FB6A" w14:textId="77777777" w:rsidR="008D1D0C" w:rsidRPr="009C19A1" w:rsidRDefault="008D1D0C" w:rsidP="00E86360">
            <w:pPr>
              <w:jc w:val="center"/>
              <w:rPr>
                <w:color w:val="000000"/>
              </w:rPr>
            </w:pPr>
            <w:r w:rsidRPr="009C19A1">
              <w:rPr>
                <w:color w:val="000000"/>
              </w:rPr>
              <w:t>2008</w:t>
            </w:r>
          </w:p>
        </w:tc>
        <w:tc>
          <w:tcPr>
            <w:tcW w:w="2268" w:type="dxa"/>
            <w:tcBorders>
              <w:top w:val="nil"/>
              <w:left w:val="nil"/>
              <w:bottom w:val="nil"/>
              <w:right w:val="nil"/>
            </w:tcBorders>
            <w:shd w:val="clear" w:color="auto" w:fill="auto"/>
            <w:noWrap/>
            <w:vAlign w:val="center"/>
            <w:hideMark/>
          </w:tcPr>
          <w:p w14:paraId="4220E906" w14:textId="77777777" w:rsidR="008D1D0C" w:rsidRPr="009C19A1" w:rsidRDefault="008D1D0C" w:rsidP="00E86360">
            <w:pPr>
              <w:jc w:val="center"/>
              <w:rPr>
                <w:color w:val="000000"/>
              </w:rPr>
            </w:pPr>
            <w:r w:rsidRPr="009C19A1">
              <w:rPr>
                <w:color w:val="000000"/>
              </w:rPr>
              <w:t>0,349</w:t>
            </w:r>
          </w:p>
        </w:tc>
        <w:tc>
          <w:tcPr>
            <w:tcW w:w="2268" w:type="dxa"/>
            <w:tcBorders>
              <w:top w:val="nil"/>
              <w:left w:val="nil"/>
              <w:bottom w:val="nil"/>
              <w:right w:val="nil"/>
            </w:tcBorders>
            <w:shd w:val="clear" w:color="auto" w:fill="auto"/>
            <w:noWrap/>
            <w:vAlign w:val="center"/>
            <w:hideMark/>
          </w:tcPr>
          <w:p w14:paraId="03986B04" w14:textId="77777777" w:rsidR="008D1D0C" w:rsidRPr="009C19A1" w:rsidRDefault="008D1D0C" w:rsidP="00E86360">
            <w:pPr>
              <w:jc w:val="center"/>
              <w:rPr>
                <w:color w:val="000000"/>
              </w:rPr>
            </w:pPr>
            <w:r w:rsidRPr="009C19A1">
              <w:rPr>
                <w:color w:val="000000"/>
              </w:rPr>
              <w:t>0,410</w:t>
            </w:r>
          </w:p>
        </w:tc>
        <w:tc>
          <w:tcPr>
            <w:tcW w:w="2268" w:type="dxa"/>
            <w:tcBorders>
              <w:top w:val="nil"/>
              <w:left w:val="nil"/>
              <w:bottom w:val="nil"/>
              <w:right w:val="nil"/>
            </w:tcBorders>
            <w:shd w:val="clear" w:color="auto" w:fill="auto"/>
            <w:noWrap/>
            <w:vAlign w:val="center"/>
            <w:hideMark/>
          </w:tcPr>
          <w:p w14:paraId="094E3825" w14:textId="77777777" w:rsidR="008D1D0C" w:rsidRPr="009C19A1" w:rsidRDefault="008D1D0C" w:rsidP="00E86360">
            <w:pPr>
              <w:jc w:val="center"/>
              <w:rPr>
                <w:color w:val="000000"/>
              </w:rPr>
            </w:pPr>
            <w:r w:rsidRPr="009C19A1">
              <w:rPr>
                <w:color w:val="000000"/>
              </w:rPr>
              <w:t>1,428</w:t>
            </w:r>
          </w:p>
        </w:tc>
      </w:tr>
      <w:tr w:rsidR="008D1D0C" w:rsidRPr="009C19A1" w14:paraId="5F49758E" w14:textId="77777777" w:rsidTr="00E86360">
        <w:trPr>
          <w:trHeight w:val="227"/>
        </w:trPr>
        <w:tc>
          <w:tcPr>
            <w:tcW w:w="2268" w:type="dxa"/>
            <w:tcBorders>
              <w:top w:val="nil"/>
              <w:left w:val="nil"/>
              <w:bottom w:val="nil"/>
              <w:right w:val="nil"/>
            </w:tcBorders>
            <w:shd w:val="clear" w:color="auto" w:fill="auto"/>
            <w:noWrap/>
            <w:vAlign w:val="center"/>
            <w:hideMark/>
          </w:tcPr>
          <w:p w14:paraId="7E0B2CEA" w14:textId="77777777" w:rsidR="008D1D0C" w:rsidRPr="009C19A1" w:rsidRDefault="008D1D0C" w:rsidP="00E86360">
            <w:pPr>
              <w:jc w:val="center"/>
              <w:rPr>
                <w:color w:val="000000"/>
              </w:rPr>
            </w:pPr>
            <w:r w:rsidRPr="009C19A1">
              <w:rPr>
                <w:color w:val="000000"/>
              </w:rPr>
              <w:t>2009</w:t>
            </w:r>
          </w:p>
        </w:tc>
        <w:tc>
          <w:tcPr>
            <w:tcW w:w="2268" w:type="dxa"/>
            <w:tcBorders>
              <w:top w:val="nil"/>
              <w:left w:val="nil"/>
              <w:bottom w:val="nil"/>
              <w:right w:val="nil"/>
            </w:tcBorders>
            <w:shd w:val="clear" w:color="auto" w:fill="auto"/>
            <w:noWrap/>
            <w:vAlign w:val="center"/>
            <w:hideMark/>
          </w:tcPr>
          <w:p w14:paraId="0DC7184E" w14:textId="77777777" w:rsidR="008D1D0C" w:rsidRPr="009C19A1" w:rsidRDefault="008D1D0C" w:rsidP="00E86360">
            <w:pPr>
              <w:jc w:val="center"/>
              <w:rPr>
                <w:color w:val="000000"/>
              </w:rPr>
            </w:pPr>
            <w:r w:rsidRPr="009C19A1">
              <w:rPr>
                <w:color w:val="000000"/>
              </w:rPr>
              <w:t>0,361</w:t>
            </w:r>
          </w:p>
        </w:tc>
        <w:tc>
          <w:tcPr>
            <w:tcW w:w="2268" w:type="dxa"/>
            <w:tcBorders>
              <w:top w:val="nil"/>
              <w:left w:val="nil"/>
              <w:bottom w:val="nil"/>
              <w:right w:val="nil"/>
            </w:tcBorders>
            <w:shd w:val="clear" w:color="auto" w:fill="auto"/>
            <w:noWrap/>
            <w:vAlign w:val="center"/>
            <w:hideMark/>
          </w:tcPr>
          <w:p w14:paraId="29FC0F3A" w14:textId="77777777" w:rsidR="008D1D0C" w:rsidRPr="009C19A1" w:rsidRDefault="008D1D0C" w:rsidP="00E86360">
            <w:pPr>
              <w:jc w:val="center"/>
              <w:rPr>
                <w:color w:val="000000"/>
              </w:rPr>
            </w:pPr>
            <w:r w:rsidRPr="009C19A1">
              <w:rPr>
                <w:color w:val="000000"/>
              </w:rPr>
              <w:t>0,282</w:t>
            </w:r>
          </w:p>
        </w:tc>
        <w:tc>
          <w:tcPr>
            <w:tcW w:w="2268" w:type="dxa"/>
            <w:tcBorders>
              <w:top w:val="nil"/>
              <w:left w:val="nil"/>
              <w:bottom w:val="nil"/>
              <w:right w:val="nil"/>
            </w:tcBorders>
            <w:shd w:val="clear" w:color="auto" w:fill="auto"/>
            <w:noWrap/>
            <w:vAlign w:val="center"/>
            <w:hideMark/>
          </w:tcPr>
          <w:p w14:paraId="45E0E1F6" w14:textId="77777777" w:rsidR="008D1D0C" w:rsidRPr="009C19A1" w:rsidRDefault="008D1D0C" w:rsidP="00E86360">
            <w:pPr>
              <w:jc w:val="center"/>
              <w:rPr>
                <w:color w:val="000000"/>
              </w:rPr>
            </w:pPr>
            <w:r w:rsidRPr="009C19A1">
              <w:rPr>
                <w:color w:val="000000"/>
              </w:rPr>
              <w:t>0,781</w:t>
            </w:r>
          </w:p>
        </w:tc>
      </w:tr>
      <w:tr w:rsidR="008D1D0C" w:rsidRPr="009C19A1" w14:paraId="0DEA2A64" w14:textId="77777777" w:rsidTr="00E86360">
        <w:trPr>
          <w:trHeight w:val="227"/>
        </w:trPr>
        <w:tc>
          <w:tcPr>
            <w:tcW w:w="2268" w:type="dxa"/>
            <w:tcBorders>
              <w:top w:val="nil"/>
              <w:left w:val="nil"/>
              <w:bottom w:val="nil"/>
              <w:right w:val="nil"/>
            </w:tcBorders>
            <w:shd w:val="clear" w:color="auto" w:fill="auto"/>
            <w:noWrap/>
            <w:vAlign w:val="center"/>
            <w:hideMark/>
          </w:tcPr>
          <w:p w14:paraId="202FA49A" w14:textId="77777777" w:rsidR="008D1D0C" w:rsidRPr="009C19A1" w:rsidRDefault="008D1D0C" w:rsidP="00E86360">
            <w:pPr>
              <w:jc w:val="center"/>
              <w:rPr>
                <w:color w:val="000000"/>
              </w:rPr>
            </w:pPr>
            <w:r w:rsidRPr="009C19A1">
              <w:rPr>
                <w:color w:val="000000"/>
              </w:rPr>
              <w:t>2010</w:t>
            </w:r>
          </w:p>
        </w:tc>
        <w:tc>
          <w:tcPr>
            <w:tcW w:w="2268" w:type="dxa"/>
            <w:tcBorders>
              <w:top w:val="nil"/>
              <w:left w:val="nil"/>
              <w:bottom w:val="nil"/>
              <w:right w:val="nil"/>
            </w:tcBorders>
            <w:shd w:val="clear" w:color="auto" w:fill="auto"/>
            <w:noWrap/>
            <w:vAlign w:val="center"/>
            <w:hideMark/>
          </w:tcPr>
          <w:p w14:paraId="5ECA5D84" w14:textId="77777777" w:rsidR="008D1D0C" w:rsidRPr="009C19A1" w:rsidRDefault="008D1D0C" w:rsidP="00E86360">
            <w:pPr>
              <w:jc w:val="center"/>
              <w:rPr>
                <w:color w:val="000000"/>
              </w:rPr>
            </w:pPr>
            <w:r w:rsidRPr="009C19A1">
              <w:rPr>
                <w:color w:val="000000"/>
              </w:rPr>
              <w:t>0,320</w:t>
            </w:r>
          </w:p>
        </w:tc>
        <w:tc>
          <w:tcPr>
            <w:tcW w:w="2268" w:type="dxa"/>
            <w:tcBorders>
              <w:top w:val="nil"/>
              <w:left w:val="nil"/>
              <w:bottom w:val="nil"/>
              <w:right w:val="nil"/>
            </w:tcBorders>
            <w:shd w:val="clear" w:color="auto" w:fill="auto"/>
            <w:noWrap/>
            <w:vAlign w:val="center"/>
            <w:hideMark/>
          </w:tcPr>
          <w:p w14:paraId="14728C4A" w14:textId="77777777" w:rsidR="008D1D0C" w:rsidRPr="009C19A1" w:rsidRDefault="008D1D0C" w:rsidP="00E86360">
            <w:pPr>
              <w:jc w:val="center"/>
              <w:rPr>
                <w:color w:val="000000"/>
              </w:rPr>
            </w:pPr>
            <w:r w:rsidRPr="009C19A1">
              <w:rPr>
                <w:color w:val="000000"/>
              </w:rPr>
              <w:t>0,464</w:t>
            </w:r>
          </w:p>
        </w:tc>
        <w:tc>
          <w:tcPr>
            <w:tcW w:w="2268" w:type="dxa"/>
            <w:tcBorders>
              <w:top w:val="nil"/>
              <w:left w:val="nil"/>
              <w:bottom w:val="nil"/>
              <w:right w:val="nil"/>
            </w:tcBorders>
            <w:shd w:val="clear" w:color="auto" w:fill="auto"/>
            <w:noWrap/>
            <w:vAlign w:val="center"/>
            <w:hideMark/>
          </w:tcPr>
          <w:p w14:paraId="097CA59D" w14:textId="77777777" w:rsidR="008D1D0C" w:rsidRPr="009C19A1" w:rsidRDefault="008D1D0C" w:rsidP="00E86360">
            <w:pPr>
              <w:jc w:val="center"/>
              <w:rPr>
                <w:color w:val="000000"/>
              </w:rPr>
            </w:pPr>
            <w:r w:rsidRPr="009C19A1">
              <w:rPr>
                <w:color w:val="000000"/>
              </w:rPr>
              <w:t>2,061</w:t>
            </w:r>
          </w:p>
        </w:tc>
      </w:tr>
      <w:tr w:rsidR="008D1D0C" w:rsidRPr="009C19A1" w14:paraId="2BB35978" w14:textId="77777777" w:rsidTr="00E86360">
        <w:trPr>
          <w:trHeight w:val="227"/>
        </w:trPr>
        <w:tc>
          <w:tcPr>
            <w:tcW w:w="2268" w:type="dxa"/>
            <w:tcBorders>
              <w:top w:val="nil"/>
              <w:left w:val="nil"/>
              <w:bottom w:val="nil"/>
              <w:right w:val="nil"/>
            </w:tcBorders>
            <w:shd w:val="clear" w:color="auto" w:fill="auto"/>
            <w:noWrap/>
            <w:vAlign w:val="center"/>
            <w:hideMark/>
          </w:tcPr>
          <w:p w14:paraId="6B68F433" w14:textId="77777777" w:rsidR="008D1D0C" w:rsidRPr="009C19A1" w:rsidRDefault="008D1D0C" w:rsidP="00E86360">
            <w:pPr>
              <w:jc w:val="center"/>
              <w:rPr>
                <w:color w:val="000000"/>
              </w:rPr>
            </w:pPr>
            <w:r w:rsidRPr="009C19A1">
              <w:rPr>
                <w:color w:val="000000"/>
              </w:rPr>
              <w:t>2011</w:t>
            </w:r>
          </w:p>
        </w:tc>
        <w:tc>
          <w:tcPr>
            <w:tcW w:w="2268" w:type="dxa"/>
            <w:tcBorders>
              <w:top w:val="nil"/>
              <w:left w:val="nil"/>
              <w:bottom w:val="nil"/>
              <w:right w:val="nil"/>
            </w:tcBorders>
            <w:shd w:val="clear" w:color="auto" w:fill="auto"/>
            <w:noWrap/>
            <w:vAlign w:val="center"/>
            <w:hideMark/>
          </w:tcPr>
          <w:p w14:paraId="346D395F" w14:textId="77777777" w:rsidR="008D1D0C" w:rsidRPr="009C19A1" w:rsidRDefault="008D1D0C" w:rsidP="00E86360">
            <w:pPr>
              <w:jc w:val="center"/>
              <w:rPr>
                <w:color w:val="000000"/>
              </w:rPr>
            </w:pPr>
            <w:r w:rsidRPr="009C19A1">
              <w:rPr>
                <w:color w:val="000000"/>
              </w:rPr>
              <w:t>0,412</w:t>
            </w:r>
          </w:p>
        </w:tc>
        <w:tc>
          <w:tcPr>
            <w:tcW w:w="2268" w:type="dxa"/>
            <w:tcBorders>
              <w:top w:val="nil"/>
              <w:left w:val="nil"/>
              <w:bottom w:val="nil"/>
              <w:right w:val="nil"/>
            </w:tcBorders>
            <w:shd w:val="clear" w:color="auto" w:fill="auto"/>
            <w:noWrap/>
            <w:vAlign w:val="center"/>
            <w:hideMark/>
          </w:tcPr>
          <w:p w14:paraId="5D3EBA44" w14:textId="77777777" w:rsidR="008D1D0C" w:rsidRPr="009C19A1" w:rsidRDefault="008D1D0C" w:rsidP="00E86360">
            <w:pPr>
              <w:jc w:val="center"/>
              <w:rPr>
                <w:color w:val="000000"/>
              </w:rPr>
            </w:pPr>
            <w:r w:rsidRPr="009C19A1">
              <w:rPr>
                <w:color w:val="000000"/>
              </w:rPr>
              <w:t>0,651</w:t>
            </w:r>
          </w:p>
        </w:tc>
        <w:tc>
          <w:tcPr>
            <w:tcW w:w="2268" w:type="dxa"/>
            <w:tcBorders>
              <w:top w:val="nil"/>
              <w:left w:val="nil"/>
              <w:bottom w:val="nil"/>
              <w:right w:val="nil"/>
            </w:tcBorders>
            <w:shd w:val="clear" w:color="auto" w:fill="auto"/>
            <w:noWrap/>
            <w:vAlign w:val="center"/>
            <w:hideMark/>
          </w:tcPr>
          <w:p w14:paraId="4A7CAADA" w14:textId="77777777" w:rsidR="008D1D0C" w:rsidRPr="009C19A1" w:rsidRDefault="008D1D0C" w:rsidP="00E86360">
            <w:pPr>
              <w:jc w:val="center"/>
              <w:rPr>
                <w:color w:val="000000"/>
              </w:rPr>
            </w:pPr>
            <w:r w:rsidRPr="009C19A1">
              <w:rPr>
                <w:color w:val="000000"/>
              </w:rPr>
              <w:t>2,172</w:t>
            </w:r>
          </w:p>
        </w:tc>
      </w:tr>
      <w:tr w:rsidR="008D1D0C" w:rsidRPr="009C19A1" w14:paraId="1DE19F53" w14:textId="77777777" w:rsidTr="00E86360">
        <w:trPr>
          <w:trHeight w:val="227"/>
        </w:trPr>
        <w:tc>
          <w:tcPr>
            <w:tcW w:w="2268" w:type="dxa"/>
            <w:tcBorders>
              <w:top w:val="nil"/>
              <w:left w:val="nil"/>
              <w:bottom w:val="nil"/>
              <w:right w:val="nil"/>
            </w:tcBorders>
            <w:shd w:val="clear" w:color="auto" w:fill="auto"/>
            <w:noWrap/>
            <w:vAlign w:val="center"/>
            <w:hideMark/>
          </w:tcPr>
          <w:p w14:paraId="1A7C1621" w14:textId="77777777" w:rsidR="008D1D0C" w:rsidRPr="009C19A1" w:rsidRDefault="008D1D0C" w:rsidP="00E86360">
            <w:pPr>
              <w:jc w:val="center"/>
              <w:rPr>
                <w:color w:val="000000"/>
              </w:rPr>
            </w:pPr>
            <w:r w:rsidRPr="009C19A1">
              <w:rPr>
                <w:color w:val="000000"/>
              </w:rPr>
              <w:t>2012</w:t>
            </w:r>
          </w:p>
        </w:tc>
        <w:tc>
          <w:tcPr>
            <w:tcW w:w="2268" w:type="dxa"/>
            <w:tcBorders>
              <w:top w:val="nil"/>
              <w:left w:val="nil"/>
              <w:bottom w:val="nil"/>
              <w:right w:val="nil"/>
            </w:tcBorders>
            <w:shd w:val="clear" w:color="auto" w:fill="auto"/>
            <w:noWrap/>
            <w:vAlign w:val="center"/>
            <w:hideMark/>
          </w:tcPr>
          <w:p w14:paraId="2569B90C" w14:textId="77777777" w:rsidR="008D1D0C" w:rsidRPr="009C19A1" w:rsidRDefault="008D1D0C" w:rsidP="00E86360">
            <w:pPr>
              <w:jc w:val="center"/>
              <w:rPr>
                <w:color w:val="000000"/>
              </w:rPr>
            </w:pPr>
            <w:r w:rsidRPr="009C19A1">
              <w:rPr>
                <w:color w:val="000000"/>
              </w:rPr>
              <w:t>0,814</w:t>
            </w:r>
          </w:p>
        </w:tc>
        <w:tc>
          <w:tcPr>
            <w:tcW w:w="2268" w:type="dxa"/>
            <w:tcBorders>
              <w:top w:val="nil"/>
              <w:left w:val="nil"/>
              <w:bottom w:val="nil"/>
              <w:right w:val="nil"/>
            </w:tcBorders>
            <w:shd w:val="clear" w:color="auto" w:fill="auto"/>
            <w:noWrap/>
            <w:vAlign w:val="center"/>
            <w:hideMark/>
          </w:tcPr>
          <w:p w14:paraId="63ECB8A8" w14:textId="77777777" w:rsidR="008D1D0C" w:rsidRPr="009C19A1" w:rsidRDefault="008D1D0C" w:rsidP="00E86360">
            <w:pPr>
              <w:jc w:val="center"/>
              <w:rPr>
                <w:color w:val="000000"/>
              </w:rPr>
            </w:pPr>
            <w:r w:rsidRPr="009C19A1">
              <w:rPr>
                <w:color w:val="000000"/>
              </w:rPr>
              <w:t>0,462</w:t>
            </w:r>
          </w:p>
        </w:tc>
        <w:tc>
          <w:tcPr>
            <w:tcW w:w="2268" w:type="dxa"/>
            <w:tcBorders>
              <w:top w:val="nil"/>
              <w:left w:val="nil"/>
              <w:bottom w:val="nil"/>
              <w:right w:val="nil"/>
            </w:tcBorders>
            <w:shd w:val="clear" w:color="auto" w:fill="auto"/>
            <w:noWrap/>
            <w:vAlign w:val="center"/>
            <w:hideMark/>
          </w:tcPr>
          <w:p w14:paraId="0B74E0D2" w14:textId="77777777" w:rsidR="008D1D0C" w:rsidRPr="009C19A1" w:rsidRDefault="008D1D0C" w:rsidP="00E86360">
            <w:pPr>
              <w:jc w:val="center"/>
              <w:rPr>
                <w:color w:val="000000"/>
              </w:rPr>
            </w:pPr>
            <w:r w:rsidRPr="009C19A1">
              <w:rPr>
                <w:color w:val="000000"/>
              </w:rPr>
              <w:t>2,315</w:t>
            </w:r>
          </w:p>
        </w:tc>
      </w:tr>
      <w:tr w:rsidR="008D1D0C" w:rsidRPr="009C19A1" w14:paraId="19D553D3" w14:textId="77777777" w:rsidTr="00E86360">
        <w:trPr>
          <w:trHeight w:val="227"/>
        </w:trPr>
        <w:tc>
          <w:tcPr>
            <w:tcW w:w="2268" w:type="dxa"/>
            <w:tcBorders>
              <w:top w:val="nil"/>
              <w:left w:val="nil"/>
              <w:bottom w:val="nil"/>
              <w:right w:val="nil"/>
            </w:tcBorders>
            <w:shd w:val="clear" w:color="auto" w:fill="auto"/>
            <w:noWrap/>
            <w:vAlign w:val="center"/>
            <w:hideMark/>
          </w:tcPr>
          <w:p w14:paraId="73A9EE1E" w14:textId="77777777" w:rsidR="008D1D0C" w:rsidRPr="009C19A1" w:rsidRDefault="008D1D0C" w:rsidP="00E86360">
            <w:pPr>
              <w:jc w:val="center"/>
              <w:rPr>
                <w:color w:val="000000"/>
              </w:rPr>
            </w:pPr>
            <w:r w:rsidRPr="009C19A1">
              <w:rPr>
                <w:color w:val="000000"/>
              </w:rPr>
              <w:t>2013</w:t>
            </w:r>
          </w:p>
        </w:tc>
        <w:tc>
          <w:tcPr>
            <w:tcW w:w="2268" w:type="dxa"/>
            <w:tcBorders>
              <w:top w:val="nil"/>
              <w:left w:val="nil"/>
              <w:bottom w:val="nil"/>
              <w:right w:val="nil"/>
            </w:tcBorders>
            <w:shd w:val="clear" w:color="auto" w:fill="auto"/>
            <w:noWrap/>
            <w:vAlign w:val="center"/>
            <w:hideMark/>
          </w:tcPr>
          <w:p w14:paraId="5920F33A" w14:textId="77777777" w:rsidR="008D1D0C" w:rsidRPr="009C19A1" w:rsidRDefault="008D1D0C" w:rsidP="00E86360">
            <w:pPr>
              <w:jc w:val="center"/>
              <w:rPr>
                <w:color w:val="000000"/>
              </w:rPr>
            </w:pPr>
            <w:r w:rsidRPr="009C19A1">
              <w:rPr>
                <w:color w:val="000000"/>
              </w:rPr>
              <w:t>0,431</w:t>
            </w:r>
          </w:p>
        </w:tc>
        <w:tc>
          <w:tcPr>
            <w:tcW w:w="2268" w:type="dxa"/>
            <w:tcBorders>
              <w:top w:val="nil"/>
              <w:left w:val="nil"/>
              <w:bottom w:val="nil"/>
              <w:right w:val="nil"/>
            </w:tcBorders>
            <w:shd w:val="clear" w:color="auto" w:fill="auto"/>
            <w:noWrap/>
            <w:vAlign w:val="center"/>
            <w:hideMark/>
          </w:tcPr>
          <w:p w14:paraId="601FDB80" w14:textId="77777777" w:rsidR="008D1D0C" w:rsidRPr="009C19A1" w:rsidRDefault="008D1D0C" w:rsidP="00E86360">
            <w:pPr>
              <w:jc w:val="center"/>
              <w:rPr>
                <w:color w:val="000000"/>
              </w:rPr>
            </w:pPr>
            <w:r w:rsidRPr="009C19A1">
              <w:rPr>
                <w:color w:val="000000"/>
              </w:rPr>
              <w:t>0,397</w:t>
            </w:r>
          </w:p>
        </w:tc>
        <w:tc>
          <w:tcPr>
            <w:tcW w:w="2268" w:type="dxa"/>
            <w:tcBorders>
              <w:top w:val="nil"/>
              <w:left w:val="nil"/>
              <w:bottom w:val="nil"/>
              <w:right w:val="nil"/>
            </w:tcBorders>
            <w:shd w:val="clear" w:color="auto" w:fill="auto"/>
            <w:noWrap/>
            <w:vAlign w:val="center"/>
            <w:hideMark/>
          </w:tcPr>
          <w:p w14:paraId="413498C3" w14:textId="77777777" w:rsidR="008D1D0C" w:rsidRPr="009C19A1" w:rsidRDefault="008D1D0C" w:rsidP="00E86360">
            <w:pPr>
              <w:jc w:val="center"/>
              <w:rPr>
                <w:color w:val="000000"/>
              </w:rPr>
            </w:pPr>
            <w:r w:rsidRPr="009C19A1">
              <w:rPr>
                <w:color w:val="000000"/>
              </w:rPr>
              <w:t>2,642</w:t>
            </w:r>
          </w:p>
        </w:tc>
      </w:tr>
      <w:tr w:rsidR="008D1D0C" w:rsidRPr="009C19A1" w14:paraId="5BA9C2AD" w14:textId="77777777" w:rsidTr="00E86360">
        <w:trPr>
          <w:trHeight w:val="227"/>
        </w:trPr>
        <w:tc>
          <w:tcPr>
            <w:tcW w:w="2268" w:type="dxa"/>
            <w:tcBorders>
              <w:top w:val="nil"/>
              <w:left w:val="nil"/>
              <w:bottom w:val="nil"/>
              <w:right w:val="nil"/>
            </w:tcBorders>
            <w:shd w:val="clear" w:color="auto" w:fill="auto"/>
            <w:noWrap/>
            <w:vAlign w:val="center"/>
            <w:hideMark/>
          </w:tcPr>
          <w:p w14:paraId="27FD771B" w14:textId="77777777" w:rsidR="008D1D0C" w:rsidRPr="009C19A1" w:rsidRDefault="008D1D0C" w:rsidP="00E86360">
            <w:pPr>
              <w:jc w:val="center"/>
              <w:rPr>
                <w:color w:val="000000"/>
              </w:rPr>
            </w:pPr>
            <w:r w:rsidRPr="009C19A1">
              <w:rPr>
                <w:color w:val="000000"/>
              </w:rPr>
              <w:t>2014</w:t>
            </w:r>
          </w:p>
        </w:tc>
        <w:tc>
          <w:tcPr>
            <w:tcW w:w="2268" w:type="dxa"/>
            <w:tcBorders>
              <w:top w:val="nil"/>
              <w:left w:val="nil"/>
              <w:bottom w:val="nil"/>
              <w:right w:val="nil"/>
            </w:tcBorders>
            <w:shd w:val="clear" w:color="auto" w:fill="auto"/>
            <w:noWrap/>
            <w:vAlign w:val="center"/>
            <w:hideMark/>
          </w:tcPr>
          <w:p w14:paraId="41CF1C27" w14:textId="77777777" w:rsidR="008D1D0C" w:rsidRPr="009C19A1" w:rsidRDefault="008D1D0C" w:rsidP="00E86360">
            <w:pPr>
              <w:jc w:val="center"/>
              <w:rPr>
                <w:color w:val="000000"/>
              </w:rPr>
            </w:pPr>
            <w:r w:rsidRPr="009C19A1">
              <w:rPr>
                <w:color w:val="000000"/>
              </w:rPr>
              <w:t>0,533</w:t>
            </w:r>
          </w:p>
        </w:tc>
        <w:tc>
          <w:tcPr>
            <w:tcW w:w="2268" w:type="dxa"/>
            <w:tcBorders>
              <w:top w:val="nil"/>
              <w:left w:val="nil"/>
              <w:bottom w:val="nil"/>
              <w:right w:val="nil"/>
            </w:tcBorders>
            <w:shd w:val="clear" w:color="auto" w:fill="auto"/>
            <w:noWrap/>
            <w:vAlign w:val="center"/>
            <w:hideMark/>
          </w:tcPr>
          <w:p w14:paraId="4177D9BC" w14:textId="77777777" w:rsidR="008D1D0C" w:rsidRPr="009C19A1" w:rsidRDefault="008D1D0C" w:rsidP="00E86360">
            <w:pPr>
              <w:jc w:val="center"/>
              <w:rPr>
                <w:color w:val="000000"/>
              </w:rPr>
            </w:pPr>
            <w:r w:rsidRPr="009C19A1">
              <w:rPr>
                <w:color w:val="000000"/>
              </w:rPr>
              <w:t>0,300</w:t>
            </w:r>
          </w:p>
        </w:tc>
        <w:tc>
          <w:tcPr>
            <w:tcW w:w="2268" w:type="dxa"/>
            <w:tcBorders>
              <w:top w:val="nil"/>
              <w:left w:val="nil"/>
              <w:bottom w:val="nil"/>
              <w:right w:val="nil"/>
            </w:tcBorders>
            <w:shd w:val="clear" w:color="auto" w:fill="auto"/>
            <w:noWrap/>
            <w:vAlign w:val="center"/>
            <w:hideMark/>
          </w:tcPr>
          <w:p w14:paraId="2DE8EBC5" w14:textId="77777777" w:rsidR="008D1D0C" w:rsidRPr="009C19A1" w:rsidRDefault="008D1D0C" w:rsidP="00E86360">
            <w:pPr>
              <w:jc w:val="center"/>
              <w:rPr>
                <w:color w:val="000000"/>
              </w:rPr>
            </w:pPr>
            <w:r w:rsidRPr="009C19A1">
              <w:rPr>
                <w:color w:val="000000"/>
              </w:rPr>
              <w:t>1,434</w:t>
            </w:r>
          </w:p>
        </w:tc>
      </w:tr>
      <w:tr w:rsidR="008D1D0C" w:rsidRPr="009C19A1" w14:paraId="52CA80F4" w14:textId="77777777" w:rsidTr="00E86360">
        <w:trPr>
          <w:trHeight w:val="227"/>
        </w:trPr>
        <w:tc>
          <w:tcPr>
            <w:tcW w:w="2268" w:type="dxa"/>
            <w:tcBorders>
              <w:top w:val="nil"/>
              <w:left w:val="nil"/>
              <w:bottom w:val="nil"/>
              <w:right w:val="nil"/>
            </w:tcBorders>
            <w:shd w:val="clear" w:color="auto" w:fill="auto"/>
            <w:noWrap/>
            <w:vAlign w:val="center"/>
            <w:hideMark/>
          </w:tcPr>
          <w:p w14:paraId="1A9E4616" w14:textId="77777777" w:rsidR="008D1D0C" w:rsidRPr="009C19A1" w:rsidRDefault="008D1D0C" w:rsidP="00E86360">
            <w:pPr>
              <w:jc w:val="center"/>
              <w:rPr>
                <w:color w:val="000000"/>
              </w:rPr>
            </w:pPr>
            <w:r w:rsidRPr="009C19A1">
              <w:rPr>
                <w:color w:val="000000"/>
              </w:rPr>
              <w:t>2015</w:t>
            </w:r>
          </w:p>
        </w:tc>
        <w:tc>
          <w:tcPr>
            <w:tcW w:w="2268" w:type="dxa"/>
            <w:tcBorders>
              <w:top w:val="nil"/>
              <w:left w:val="nil"/>
              <w:bottom w:val="nil"/>
              <w:right w:val="nil"/>
            </w:tcBorders>
            <w:shd w:val="clear" w:color="auto" w:fill="auto"/>
            <w:noWrap/>
            <w:vAlign w:val="center"/>
            <w:hideMark/>
          </w:tcPr>
          <w:p w14:paraId="44F3684C" w14:textId="77777777" w:rsidR="008D1D0C" w:rsidRPr="009C19A1" w:rsidRDefault="008D1D0C" w:rsidP="00E86360">
            <w:pPr>
              <w:jc w:val="center"/>
              <w:rPr>
                <w:color w:val="000000"/>
              </w:rPr>
            </w:pPr>
            <w:r w:rsidRPr="009C19A1">
              <w:rPr>
                <w:color w:val="000000"/>
              </w:rPr>
              <w:t>0,675</w:t>
            </w:r>
          </w:p>
        </w:tc>
        <w:tc>
          <w:tcPr>
            <w:tcW w:w="2268" w:type="dxa"/>
            <w:tcBorders>
              <w:top w:val="nil"/>
              <w:left w:val="nil"/>
              <w:bottom w:val="nil"/>
              <w:right w:val="nil"/>
            </w:tcBorders>
            <w:shd w:val="clear" w:color="auto" w:fill="auto"/>
            <w:noWrap/>
            <w:vAlign w:val="center"/>
            <w:hideMark/>
          </w:tcPr>
          <w:p w14:paraId="48F50F30" w14:textId="77777777" w:rsidR="008D1D0C" w:rsidRPr="009C19A1" w:rsidRDefault="008D1D0C" w:rsidP="00E86360">
            <w:pPr>
              <w:jc w:val="center"/>
              <w:rPr>
                <w:color w:val="000000"/>
              </w:rPr>
            </w:pPr>
            <w:r w:rsidRPr="009C19A1">
              <w:rPr>
                <w:color w:val="000000"/>
              </w:rPr>
              <w:t>0,259</w:t>
            </w:r>
          </w:p>
        </w:tc>
        <w:tc>
          <w:tcPr>
            <w:tcW w:w="2268" w:type="dxa"/>
            <w:tcBorders>
              <w:top w:val="nil"/>
              <w:left w:val="nil"/>
              <w:bottom w:val="nil"/>
              <w:right w:val="nil"/>
            </w:tcBorders>
            <w:shd w:val="clear" w:color="auto" w:fill="auto"/>
            <w:noWrap/>
            <w:vAlign w:val="center"/>
            <w:hideMark/>
          </w:tcPr>
          <w:p w14:paraId="7C548DA2" w14:textId="77777777" w:rsidR="008D1D0C" w:rsidRPr="009C19A1" w:rsidRDefault="008D1D0C" w:rsidP="00E86360">
            <w:pPr>
              <w:jc w:val="center"/>
              <w:rPr>
                <w:color w:val="000000"/>
              </w:rPr>
            </w:pPr>
            <w:r w:rsidRPr="009C19A1">
              <w:rPr>
                <w:color w:val="000000"/>
              </w:rPr>
              <w:t>0,907</w:t>
            </w:r>
          </w:p>
        </w:tc>
      </w:tr>
      <w:tr w:rsidR="008D1D0C" w:rsidRPr="009C19A1" w14:paraId="3BCEC436" w14:textId="77777777" w:rsidTr="00E86360">
        <w:trPr>
          <w:trHeight w:val="227"/>
        </w:trPr>
        <w:tc>
          <w:tcPr>
            <w:tcW w:w="2268" w:type="dxa"/>
            <w:tcBorders>
              <w:top w:val="nil"/>
              <w:left w:val="nil"/>
              <w:right w:val="nil"/>
            </w:tcBorders>
            <w:shd w:val="clear" w:color="auto" w:fill="auto"/>
            <w:noWrap/>
            <w:vAlign w:val="center"/>
            <w:hideMark/>
          </w:tcPr>
          <w:p w14:paraId="3DC1E948" w14:textId="77777777" w:rsidR="008D1D0C" w:rsidRPr="009C19A1" w:rsidRDefault="008D1D0C" w:rsidP="00E86360">
            <w:pPr>
              <w:jc w:val="center"/>
              <w:rPr>
                <w:color w:val="000000"/>
              </w:rPr>
            </w:pPr>
            <w:r w:rsidRPr="009C19A1">
              <w:rPr>
                <w:color w:val="000000"/>
              </w:rPr>
              <w:t>2016</w:t>
            </w:r>
          </w:p>
        </w:tc>
        <w:tc>
          <w:tcPr>
            <w:tcW w:w="2268" w:type="dxa"/>
            <w:tcBorders>
              <w:top w:val="nil"/>
              <w:left w:val="nil"/>
              <w:right w:val="nil"/>
            </w:tcBorders>
            <w:shd w:val="clear" w:color="auto" w:fill="auto"/>
            <w:noWrap/>
            <w:vAlign w:val="center"/>
            <w:hideMark/>
          </w:tcPr>
          <w:p w14:paraId="531F446C" w14:textId="77777777" w:rsidR="008D1D0C" w:rsidRPr="009C19A1" w:rsidRDefault="008D1D0C" w:rsidP="00E86360">
            <w:pPr>
              <w:jc w:val="center"/>
              <w:rPr>
                <w:color w:val="000000"/>
              </w:rPr>
            </w:pPr>
            <w:r w:rsidRPr="009C19A1">
              <w:rPr>
                <w:color w:val="000000"/>
              </w:rPr>
              <w:t>0,551</w:t>
            </w:r>
          </w:p>
        </w:tc>
        <w:tc>
          <w:tcPr>
            <w:tcW w:w="2268" w:type="dxa"/>
            <w:tcBorders>
              <w:top w:val="nil"/>
              <w:left w:val="nil"/>
              <w:right w:val="nil"/>
            </w:tcBorders>
            <w:shd w:val="clear" w:color="auto" w:fill="auto"/>
            <w:noWrap/>
            <w:vAlign w:val="center"/>
            <w:hideMark/>
          </w:tcPr>
          <w:p w14:paraId="7190D832" w14:textId="77777777" w:rsidR="008D1D0C" w:rsidRPr="009C19A1" w:rsidRDefault="008D1D0C" w:rsidP="00E86360">
            <w:pPr>
              <w:jc w:val="center"/>
              <w:rPr>
                <w:color w:val="000000"/>
              </w:rPr>
            </w:pPr>
            <w:r w:rsidRPr="009C19A1">
              <w:rPr>
                <w:color w:val="000000"/>
              </w:rPr>
              <w:t>0,257</w:t>
            </w:r>
          </w:p>
        </w:tc>
        <w:tc>
          <w:tcPr>
            <w:tcW w:w="2268" w:type="dxa"/>
            <w:tcBorders>
              <w:top w:val="nil"/>
              <w:left w:val="nil"/>
              <w:right w:val="nil"/>
            </w:tcBorders>
            <w:shd w:val="clear" w:color="auto" w:fill="auto"/>
            <w:noWrap/>
            <w:vAlign w:val="center"/>
            <w:hideMark/>
          </w:tcPr>
          <w:p w14:paraId="5CC2E4C2" w14:textId="77777777" w:rsidR="008D1D0C" w:rsidRPr="009C19A1" w:rsidRDefault="008D1D0C" w:rsidP="00E86360">
            <w:pPr>
              <w:jc w:val="center"/>
              <w:rPr>
                <w:color w:val="000000"/>
              </w:rPr>
            </w:pPr>
            <w:r w:rsidRPr="009C19A1">
              <w:rPr>
                <w:color w:val="000000"/>
              </w:rPr>
              <w:t>0,356</w:t>
            </w:r>
          </w:p>
        </w:tc>
      </w:tr>
      <w:tr w:rsidR="008D1D0C" w:rsidRPr="009C19A1" w14:paraId="0DD31322" w14:textId="77777777" w:rsidTr="00E86360">
        <w:trPr>
          <w:trHeight w:val="227"/>
        </w:trPr>
        <w:tc>
          <w:tcPr>
            <w:tcW w:w="2268" w:type="dxa"/>
            <w:tcBorders>
              <w:top w:val="nil"/>
              <w:left w:val="nil"/>
              <w:bottom w:val="single" w:sz="12" w:space="0" w:color="auto"/>
              <w:right w:val="nil"/>
            </w:tcBorders>
            <w:shd w:val="clear" w:color="auto" w:fill="auto"/>
            <w:noWrap/>
            <w:vAlign w:val="center"/>
            <w:hideMark/>
          </w:tcPr>
          <w:p w14:paraId="064A2E60" w14:textId="77777777" w:rsidR="008D1D0C" w:rsidRPr="009C19A1" w:rsidRDefault="008D1D0C" w:rsidP="00E86360">
            <w:pPr>
              <w:jc w:val="center"/>
              <w:rPr>
                <w:color w:val="000000"/>
              </w:rPr>
            </w:pPr>
            <w:r w:rsidRPr="009C19A1">
              <w:rPr>
                <w:color w:val="000000"/>
              </w:rPr>
              <w:t>2017</w:t>
            </w:r>
          </w:p>
        </w:tc>
        <w:tc>
          <w:tcPr>
            <w:tcW w:w="2268" w:type="dxa"/>
            <w:tcBorders>
              <w:top w:val="nil"/>
              <w:left w:val="nil"/>
              <w:bottom w:val="single" w:sz="12" w:space="0" w:color="auto"/>
              <w:right w:val="nil"/>
            </w:tcBorders>
            <w:shd w:val="clear" w:color="auto" w:fill="auto"/>
            <w:noWrap/>
            <w:vAlign w:val="center"/>
            <w:hideMark/>
          </w:tcPr>
          <w:p w14:paraId="66E1DBC9" w14:textId="77777777" w:rsidR="008D1D0C" w:rsidRPr="009C19A1" w:rsidRDefault="008D1D0C" w:rsidP="00E86360">
            <w:pPr>
              <w:jc w:val="center"/>
              <w:rPr>
                <w:color w:val="000000"/>
              </w:rPr>
            </w:pPr>
            <w:r w:rsidRPr="009C19A1">
              <w:rPr>
                <w:color w:val="000000"/>
              </w:rPr>
              <w:t>0,507</w:t>
            </w:r>
          </w:p>
        </w:tc>
        <w:tc>
          <w:tcPr>
            <w:tcW w:w="2268" w:type="dxa"/>
            <w:tcBorders>
              <w:top w:val="nil"/>
              <w:left w:val="nil"/>
              <w:bottom w:val="single" w:sz="12" w:space="0" w:color="auto"/>
              <w:right w:val="nil"/>
            </w:tcBorders>
            <w:shd w:val="clear" w:color="auto" w:fill="auto"/>
            <w:noWrap/>
            <w:vAlign w:val="center"/>
            <w:hideMark/>
          </w:tcPr>
          <w:p w14:paraId="01B98FBB" w14:textId="77777777" w:rsidR="008D1D0C" w:rsidRPr="009C19A1" w:rsidRDefault="008D1D0C" w:rsidP="00E86360">
            <w:pPr>
              <w:jc w:val="center"/>
              <w:rPr>
                <w:color w:val="000000"/>
              </w:rPr>
            </w:pPr>
            <w:r w:rsidRPr="009C19A1">
              <w:rPr>
                <w:color w:val="000000"/>
              </w:rPr>
              <w:t>0,364</w:t>
            </w:r>
          </w:p>
        </w:tc>
        <w:tc>
          <w:tcPr>
            <w:tcW w:w="2268" w:type="dxa"/>
            <w:tcBorders>
              <w:top w:val="nil"/>
              <w:left w:val="nil"/>
              <w:bottom w:val="single" w:sz="12" w:space="0" w:color="auto"/>
              <w:right w:val="nil"/>
            </w:tcBorders>
            <w:shd w:val="clear" w:color="auto" w:fill="auto"/>
            <w:noWrap/>
            <w:vAlign w:val="center"/>
            <w:hideMark/>
          </w:tcPr>
          <w:p w14:paraId="46CBA704" w14:textId="77777777" w:rsidR="008D1D0C" w:rsidRPr="009C19A1" w:rsidRDefault="008D1D0C" w:rsidP="00E86360">
            <w:pPr>
              <w:jc w:val="center"/>
              <w:rPr>
                <w:color w:val="000000"/>
              </w:rPr>
            </w:pPr>
            <w:r w:rsidRPr="009C19A1">
              <w:rPr>
                <w:color w:val="000000"/>
              </w:rPr>
              <w:t>0,471</w:t>
            </w:r>
          </w:p>
        </w:tc>
      </w:tr>
    </w:tbl>
    <w:p w14:paraId="7591BF30" w14:textId="77777777" w:rsidR="008D1D0C" w:rsidRPr="00E86360" w:rsidRDefault="008D1D0C" w:rsidP="00E86360">
      <w:pPr>
        <w:spacing w:line="360" w:lineRule="auto"/>
        <w:rPr>
          <w:sz w:val="20"/>
          <w:szCs w:val="20"/>
        </w:rPr>
      </w:pPr>
      <w:r w:rsidRPr="00E86360">
        <w:rPr>
          <w:sz w:val="20"/>
          <w:szCs w:val="20"/>
        </w:rPr>
        <w:t>Fonte: Dados da pesquisa.</w:t>
      </w:r>
    </w:p>
    <w:p w14:paraId="4CB9B25E" w14:textId="77777777" w:rsidR="00A315AA" w:rsidRDefault="00A315AA" w:rsidP="00E86360">
      <w:pPr>
        <w:spacing w:line="360" w:lineRule="auto"/>
      </w:pPr>
    </w:p>
    <w:p w14:paraId="59CEB95C" w14:textId="7C0AFDDB" w:rsidR="008D1D0C" w:rsidRPr="009C19A1" w:rsidRDefault="008D1D0C" w:rsidP="00E86360">
      <w:pPr>
        <w:spacing w:line="360" w:lineRule="auto"/>
        <w:ind w:firstLine="709"/>
        <w:jc w:val="both"/>
      </w:pPr>
      <w:r w:rsidRPr="009C19A1">
        <w:t>É importante frisar que de 2014 em diante, período após o fim do contencioso e início da nova política de subsídios agrícolas norte americana, tanto o seu IVCR quanto o ICS apresentaram tendência de queda, e em contrapartida estes indicadores aplicados ao mercado brasileiro apresentaram significativo aumento. Isso mostra que a disputa comercial trouxe resultados a cotonicultura brasileira.</w:t>
      </w:r>
    </w:p>
    <w:p w14:paraId="6AA9EB24" w14:textId="35E2978B" w:rsidR="008D1D0C" w:rsidRPr="009C19A1" w:rsidRDefault="008D1D0C" w:rsidP="00A315AA">
      <w:pPr>
        <w:spacing w:line="360" w:lineRule="auto"/>
        <w:ind w:firstLine="709"/>
        <w:jc w:val="both"/>
      </w:pPr>
      <w:r w:rsidRPr="009C19A1">
        <w:t xml:space="preserve">A partir do ano de 2016 a cotonicultura brasileira foi marcada pelo protagonismo dos seus níveis de competitividade quando comparado aos demais países selecionados. </w:t>
      </w:r>
      <w:r w:rsidR="00D670F1">
        <w:t>A Figura</w:t>
      </w:r>
      <w:r w:rsidRPr="009C19A1">
        <w:t xml:space="preserve"> </w:t>
      </w:r>
      <w:r w:rsidR="009F47A9" w:rsidRPr="009C19A1">
        <w:t>4</w:t>
      </w:r>
      <w:r w:rsidRPr="009C19A1">
        <w:t xml:space="preserve"> mostra o comparativo dos anos de 2016 e 2017 dos indicadores IVCR e ICS aplicado aos três mercados estudados. O do valor do indicador de vantagens comparativas reveladas e da contribuição ao saldo mostram que o mercado brasileiro conseguiu superar o seu principal concorrente e a vitória do contencioso foi capaz de reduzir as disparidades do mercado internacional.</w:t>
      </w:r>
    </w:p>
    <w:p w14:paraId="13AEB36D" w14:textId="77777777" w:rsidR="00955F81" w:rsidRPr="009C19A1" w:rsidRDefault="00955F81" w:rsidP="002A63B7"/>
    <w:p w14:paraId="3ECAC002" w14:textId="60CEEAA6" w:rsidR="008D1D0C" w:rsidRDefault="008D1D0C" w:rsidP="002A63B7">
      <w:r w:rsidRPr="009C19A1">
        <w:rPr>
          <w:noProof/>
        </w:rPr>
        <w:lastRenderedPageBreak/>
        <w:drawing>
          <wp:inline distT="0" distB="0" distL="0" distR="0" wp14:anchorId="4BD583C0" wp14:editId="592C3936">
            <wp:extent cx="2682000" cy="2682000"/>
            <wp:effectExtent l="0" t="0" r="4445" b="4445"/>
            <wp:docPr id="8" name="Gráfico 8">
              <a:extLst xmlns:a="http://schemas.openxmlformats.org/drawingml/2006/main">
                <a:ext uri="{FF2B5EF4-FFF2-40B4-BE49-F238E27FC236}">
                  <a16:creationId xmlns:a16="http://schemas.microsoft.com/office/drawing/2014/main" id="{8F0C9471-7BC5-41F9-80AB-9B23BF26C7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C19A1">
        <w:rPr>
          <w:noProof/>
        </w:rPr>
        <w:drawing>
          <wp:inline distT="0" distB="0" distL="0" distR="0" wp14:anchorId="109BAC01" wp14:editId="3F225E9B">
            <wp:extent cx="2682000" cy="2682000"/>
            <wp:effectExtent l="0" t="0" r="4445" b="4445"/>
            <wp:docPr id="1" name="Gráfico 1">
              <a:extLst xmlns:a="http://schemas.openxmlformats.org/drawingml/2006/main">
                <a:ext uri="{FF2B5EF4-FFF2-40B4-BE49-F238E27FC236}">
                  <a16:creationId xmlns:a16="http://schemas.microsoft.com/office/drawing/2014/main" id="{8F0C9471-7BC5-41F9-80AB-9B23BF26C7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3D99E0" w14:textId="1A9A7E38" w:rsidR="00E86360" w:rsidRDefault="00E86360" w:rsidP="00E86360">
      <w:r w:rsidRPr="00E86360">
        <w:rPr>
          <w:b/>
          <w:bCs/>
        </w:rPr>
        <w:t>Figura 4.</w:t>
      </w:r>
      <w:r w:rsidRPr="009C19A1">
        <w:t xml:space="preserve"> Comparativo do IVCR e ICS dos anos de 2016 e 2017 do Brasil, EUA e Índia</w:t>
      </w:r>
      <w:r>
        <w:t>.</w:t>
      </w:r>
    </w:p>
    <w:p w14:paraId="0334D363" w14:textId="77777777" w:rsidR="008D1D0C" w:rsidRPr="00E86360" w:rsidRDefault="008D1D0C" w:rsidP="00E86360">
      <w:pPr>
        <w:spacing w:line="360" w:lineRule="auto"/>
        <w:rPr>
          <w:sz w:val="20"/>
          <w:szCs w:val="20"/>
        </w:rPr>
      </w:pPr>
      <w:r w:rsidRPr="00E86360">
        <w:rPr>
          <w:sz w:val="20"/>
          <w:szCs w:val="20"/>
        </w:rPr>
        <w:t>Fonte: Dados da pesquisa.</w:t>
      </w:r>
    </w:p>
    <w:p w14:paraId="68ABFBCD" w14:textId="77777777" w:rsidR="00A315AA" w:rsidRDefault="00A315AA" w:rsidP="00E86360">
      <w:pPr>
        <w:spacing w:line="360" w:lineRule="auto"/>
      </w:pPr>
    </w:p>
    <w:p w14:paraId="25FF7112" w14:textId="77777777" w:rsidR="00E86360" w:rsidRDefault="00E86360" w:rsidP="00E86360">
      <w:pPr>
        <w:spacing w:line="360" w:lineRule="auto"/>
        <w:ind w:firstLine="709"/>
        <w:jc w:val="both"/>
      </w:pPr>
    </w:p>
    <w:p w14:paraId="7D5BBDB6" w14:textId="0800E936" w:rsidR="008D1D0C" w:rsidRPr="009C19A1" w:rsidRDefault="008D1D0C" w:rsidP="00E86360">
      <w:pPr>
        <w:spacing w:line="360" w:lineRule="auto"/>
        <w:ind w:firstLine="709"/>
        <w:jc w:val="both"/>
      </w:pPr>
      <w:r w:rsidRPr="009C19A1">
        <w:t>Quando se analisa os resultados do IVCR em conjunto com o I</w:t>
      </w:r>
      <w:r w:rsidR="00B43391" w:rsidRPr="009C19A1">
        <w:t>CS</w:t>
      </w:r>
      <w:r w:rsidRPr="009C19A1">
        <w:t xml:space="preserve"> é possível inferir que a cultura algodoeira possuí grande expressividade n</w:t>
      </w:r>
      <w:r w:rsidR="00B43391" w:rsidRPr="009C19A1">
        <w:t>o saldo</w:t>
      </w:r>
      <w:r w:rsidRPr="009C19A1">
        <w:t xml:space="preserve"> d</w:t>
      </w:r>
      <w:r w:rsidR="00B43391" w:rsidRPr="009C19A1">
        <w:t>as</w:t>
      </w:r>
      <w:r w:rsidRPr="009C19A1">
        <w:t xml:space="preserve"> exportações e na balança comercial dos países selecionados.</w:t>
      </w:r>
      <w:r w:rsidR="003F10B5" w:rsidRPr="009C19A1">
        <w:t xml:space="preserve"> Os números mostram que todos os países </w:t>
      </w:r>
      <w:r w:rsidR="006D1F66" w:rsidRPr="009C19A1">
        <w:t xml:space="preserve">analisados </w:t>
      </w:r>
      <w:r w:rsidR="003F10B5" w:rsidRPr="009C19A1">
        <w:t xml:space="preserve">possuem vantagens comparativas reveladas e que a exportação de algodão em pluma contribui positivamente à </w:t>
      </w:r>
      <w:r w:rsidR="002C1221" w:rsidRPr="009C19A1">
        <w:t>saldo</w:t>
      </w:r>
      <w:r w:rsidR="003F10B5" w:rsidRPr="009C19A1">
        <w:t xml:space="preserve"> comercial do país.</w:t>
      </w:r>
    </w:p>
    <w:p w14:paraId="2E90ABF2" w14:textId="36EE9C02" w:rsidR="006D1F66" w:rsidRPr="009C19A1" w:rsidRDefault="008D1D0C" w:rsidP="00A315AA">
      <w:pPr>
        <w:spacing w:line="360" w:lineRule="auto"/>
        <w:ind w:firstLine="709"/>
        <w:jc w:val="both"/>
      </w:pPr>
      <w:r w:rsidRPr="009C19A1">
        <w:t xml:space="preserve">Outro fator importante a ser destacado é que a melhora do desempenho da cotonicultura brasileira não se deve apenas à vitória no contencioso, mas também aos investimentos do governo em agências de tecnologia e pesquisa como a Empresa Brasileira de Pesquisa Agropecuária (Embrapa) </w:t>
      </w:r>
      <w:r w:rsidR="006D1F66" w:rsidRPr="009C19A1">
        <w:t xml:space="preserve">que </w:t>
      </w:r>
      <w:r w:rsidR="002C1221" w:rsidRPr="009C19A1">
        <w:t xml:space="preserve">faz melhoramentos genéticos e </w:t>
      </w:r>
      <w:r w:rsidRPr="009C19A1">
        <w:t>trabalha para obter maiores índices de produtividade por</w:t>
      </w:r>
      <w:r w:rsidR="002C1221" w:rsidRPr="009C19A1">
        <w:t xml:space="preserve"> hectare</w:t>
      </w:r>
      <w:r w:rsidRPr="009C19A1">
        <w:t>.</w:t>
      </w:r>
      <w:r w:rsidR="006D1F66" w:rsidRPr="009C19A1">
        <w:t xml:space="preserve"> </w:t>
      </w:r>
      <w:r w:rsidRPr="009C19A1">
        <w:t>Existem ainda vantagens advindas das condições climáticas e solo favorável, além de altos investimentos em mecanização, tecnologia e controle de pragas.</w:t>
      </w:r>
    </w:p>
    <w:p w14:paraId="4ED7F9E9" w14:textId="77777777" w:rsidR="006D1F66" w:rsidRPr="009C19A1" w:rsidRDefault="006D1F66" w:rsidP="00A315AA">
      <w:pPr>
        <w:spacing w:line="360" w:lineRule="auto"/>
        <w:ind w:firstLine="709"/>
        <w:jc w:val="both"/>
      </w:pPr>
      <w:r w:rsidRPr="009C19A1">
        <w:t xml:space="preserve">Segundo Santos (2019), representante da Embrapa Algodão, é esperado um incremento na demanda por fibras naturais devido à elevação da renda e a convergência mundial para o consumo de produtos orgânicos em oposição às fibras sintéticas e em resposta a isso o Brasil é o único produtor de algodão que tem disponibilidade para crescimento em produtividade e área cultivada, tornando um dos principais </w:t>
      </w:r>
      <w:r w:rsidRPr="009C19A1">
        <w:rPr>
          <w:i/>
          <w:iCs/>
        </w:rPr>
        <w:t>players</w:t>
      </w:r>
      <w:r w:rsidRPr="009C19A1">
        <w:t xml:space="preserve"> nesse mercado.</w:t>
      </w:r>
    </w:p>
    <w:p w14:paraId="5712E75F" w14:textId="730D9B44" w:rsidR="006D1F66" w:rsidRPr="009C19A1" w:rsidRDefault="006D1F66" w:rsidP="00A315AA">
      <w:pPr>
        <w:spacing w:line="360" w:lineRule="auto"/>
        <w:ind w:firstLine="709"/>
        <w:jc w:val="both"/>
      </w:pPr>
      <w:r w:rsidRPr="009C19A1">
        <w:t>Santos (2019) afirma ainda, que é esperado para a safra 2019</w:t>
      </w:r>
      <w:r w:rsidR="002C1221" w:rsidRPr="009C19A1">
        <w:t>/20</w:t>
      </w:r>
      <w:r w:rsidRPr="009C19A1">
        <w:t xml:space="preserve"> uma produção de 2,7 milhões de toneladas de algodão, sendo 1,7 milhão de toneladas destinadas à exportação. Tudo isso graças ao aumento da produtividade média, que cresceu 20% nos últimos 10 anos. O Valor </w:t>
      </w:r>
      <w:r w:rsidRPr="009C19A1">
        <w:lastRenderedPageBreak/>
        <w:t>Bruto da Produção (VPB) cresceu 131% nos últimos três anos</w:t>
      </w:r>
      <w:r w:rsidR="000A6DE1" w:rsidRPr="009C19A1">
        <w:t>, mostrando o quão promissor esta cultura está sendo para o agronegócio brasileiro.</w:t>
      </w:r>
    </w:p>
    <w:p w14:paraId="0E66D980" w14:textId="294D5E57" w:rsidR="008D1D0C" w:rsidRPr="009C19A1" w:rsidRDefault="002C1221" w:rsidP="00A315AA">
      <w:pPr>
        <w:spacing w:line="360" w:lineRule="auto"/>
        <w:ind w:firstLine="709"/>
        <w:jc w:val="both"/>
      </w:pPr>
      <w:r w:rsidRPr="009C19A1">
        <w:t xml:space="preserve">A </w:t>
      </w:r>
      <w:r w:rsidR="008D1D0C" w:rsidRPr="009C19A1">
        <w:t>tendência dos indicadores</w:t>
      </w:r>
      <w:r w:rsidRPr="009C19A1">
        <w:t xml:space="preserve"> </w:t>
      </w:r>
      <w:r w:rsidR="00EE60D6" w:rsidRPr="009C19A1">
        <w:t xml:space="preserve">brasileiros </w:t>
      </w:r>
      <w:r w:rsidRPr="009C19A1">
        <w:t xml:space="preserve">é de apresentar </w:t>
      </w:r>
      <w:r w:rsidR="00EE60D6" w:rsidRPr="009C19A1">
        <w:t>crescimento</w:t>
      </w:r>
      <w:r w:rsidRPr="009C19A1">
        <w:t xml:space="preserve"> ante ao quadro apresentado para</w:t>
      </w:r>
      <w:r w:rsidR="00EE60D6" w:rsidRPr="009C19A1">
        <w:t xml:space="preserve"> as safras seguintes </w:t>
      </w:r>
      <w:r w:rsidRPr="009C19A1">
        <w:t>e</w:t>
      </w:r>
      <w:r w:rsidR="008D1D0C" w:rsidRPr="009C19A1">
        <w:t xml:space="preserve"> têm-se </w:t>
      </w:r>
      <w:r w:rsidRPr="009C19A1">
        <w:t xml:space="preserve">que </w:t>
      </w:r>
      <w:r w:rsidR="008D1D0C" w:rsidRPr="009C19A1">
        <w:t xml:space="preserve">no longo prazo os </w:t>
      </w:r>
      <w:r w:rsidR="00EE60D6" w:rsidRPr="009C19A1">
        <w:t xml:space="preserve">países </w:t>
      </w:r>
      <w:r w:rsidR="008D1D0C" w:rsidRPr="009C19A1">
        <w:t xml:space="preserve">produtores mais competitivos no cenário mundial ganhem destaque </w:t>
      </w:r>
      <w:r w:rsidR="00EE60D6" w:rsidRPr="009C19A1">
        <w:t>tornando</w:t>
      </w:r>
      <w:r w:rsidR="008D1D0C" w:rsidRPr="009C19A1">
        <w:t xml:space="preserve"> ações como a brasileira contra governos protecionistas </w:t>
      </w:r>
      <w:r w:rsidR="00EE60D6" w:rsidRPr="009C19A1">
        <w:t xml:space="preserve">e intervencionistas </w:t>
      </w:r>
      <w:r w:rsidR="008D1D0C" w:rsidRPr="009C19A1">
        <w:t>menos necessárias</w:t>
      </w:r>
      <w:r w:rsidR="00EE60D6" w:rsidRPr="009C19A1">
        <w:t>. Com isso</w:t>
      </w:r>
      <w:r w:rsidR="008D1D0C" w:rsidRPr="009C19A1">
        <w:t xml:space="preserve"> reduz</w:t>
      </w:r>
      <w:r w:rsidR="00EE60D6" w:rsidRPr="009C19A1">
        <w:t>-se</w:t>
      </w:r>
      <w:r w:rsidR="008D1D0C" w:rsidRPr="009C19A1">
        <w:t xml:space="preserve"> as distorções </w:t>
      </w:r>
      <w:r w:rsidR="00EE60D6" w:rsidRPr="009C19A1">
        <w:t xml:space="preserve">do mercado externo </w:t>
      </w:r>
      <w:r w:rsidR="008D1D0C" w:rsidRPr="009C19A1">
        <w:t>e torna o comércio de algodão em pluma mais competitivo para aqueles que melhor desempenham essa atividade.</w:t>
      </w:r>
    </w:p>
    <w:p w14:paraId="1AB2CD02" w14:textId="77777777" w:rsidR="009D4E35" w:rsidRPr="009C19A1" w:rsidRDefault="009D4E35" w:rsidP="00A315AA">
      <w:pPr>
        <w:spacing w:line="360" w:lineRule="auto"/>
        <w:ind w:firstLine="709"/>
        <w:jc w:val="both"/>
      </w:pPr>
    </w:p>
    <w:p w14:paraId="586F8078" w14:textId="3D028729" w:rsidR="005F727B" w:rsidRPr="009C19A1" w:rsidRDefault="008A59D3" w:rsidP="002A63B7">
      <w:pPr>
        <w:spacing w:before="240" w:after="240"/>
      </w:pPr>
      <w:r w:rsidRPr="009C19A1">
        <w:rPr>
          <w:b/>
        </w:rPr>
        <w:t>5</w:t>
      </w:r>
      <w:r w:rsidR="007056EC">
        <w:rPr>
          <w:b/>
        </w:rPr>
        <w:t xml:space="preserve"> </w:t>
      </w:r>
      <w:r w:rsidR="005F727B" w:rsidRPr="009C19A1">
        <w:rPr>
          <w:b/>
        </w:rPr>
        <w:t>Considerações Finais</w:t>
      </w:r>
    </w:p>
    <w:p w14:paraId="53BA05EF" w14:textId="6F4FB80F" w:rsidR="000B53EE" w:rsidRPr="009C19A1" w:rsidRDefault="009A0686" w:rsidP="00A315AA">
      <w:pPr>
        <w:spacing w:line="360" w:lineRule="auto"/>
        <w:ind w:firstLine="709"/>
        <w:jc w:val="both"/>
      </w:pPr>
      <w:r w:rsidRPr="009C19A1">
        <w:t>Este artigo analisou a competitividade das exportações de algodão em pluma do Brasil comparando-a as exportações d</w:t>
      </w:r>
      <w:r w:rsidR="009910EF" w:rsidRPr="009C19A1">
        <w:t>o mesmo produto d</w:t>
      </w:r>
      <w:r w:rsidRPr="009C19A1">
        <w:t xml:space="preserve">a Índia e Estados Unidos, no período de 2000 a 2017. Para tal, utilizou-se o </w:t>
      </w:r>
      <w:r w:rsidRPr="009C19A1">
        <w:rPr>
          <w:i/>
          <w:iCs/>
        </w:rPr>
        <w:t xml:space="preserve">Market </w:t>
      </w:r>
      <w:proofErr w:type="spellStart"/>
      <w:r w:rsidRPr="009C19A1">
        <w:rPr>
          <w:i/>
          <w:iCs/>
        </w:rPr>
        <w:t>Share</w:t>
      </w:r>
      <w:proofErr w:type="spellEnd"/>
      <w:r w:rsidR="00BD2C0E" w:rsidRPr="009C19A1">
        <w:t>,</w:t>
      </w:r>
      <w:r w:rsidRPr="009C19A1">
        <w:t xml:space="preserve"> o Índice de Vantagens Comparativa</w:t>
      </w:r>
      <w:r w:rsidR="004C09E6" w:rsidRPr="009C19A1">
        <w:t>s</w:t>
      </w:r>
      <w:r w:rsidRPr="009C19A1">
        <w:t xml:space="preserve"> Revelada</w:t>
      </w:r>
      <w:r w:rsidR="004C09E6" w:rsidRPr="009C19A1">
        <w:t>s</w:t>
      </w:r>
      <w:r w:rsidRPr="009C19A1">
        <w:t xml:space="preserve"> (IVCR)</w:t>
      </w:r>
      <w:r w:rsidR="0037784E" w:rsidRPr="009C19A1">
        <w:t xml:space="preserve"> e o Índice de Contribuição ao Saldo (ICS)</w:t>
      </w:r>
      <w:r w:rsidRPr="009C19A1">
        <w:t>.</w:t>
      </w:r>
      <w:r w:rsidR="000B53EE" w:rsidRPr="009C19A1">
        <w:t xml:space="preserve"> Percebe-se que os países selecionados apresentaram IVCR &gt; 1 e ICS &gt; 0 para </w:t>
      </w:r>
      <w:r w:rsidR="006C4A85" w:rsidRPr="009C19A1">
        <w:t>grande maioria d</w:t>
      </w:r>
      <w:r w:rsidR="000B53EE" w:rsidRPr="009C19A1">
        <w:t xml:space="preserve">o período </w:t>
      </w:r>
      <w:r w:rsidR="00D563F4" w:rsidRPr="009C19A1">
        <w:t>avaliado</w:t>
      </w:r>
      <w:r w:rsidR="000B53EE" w:rsidRPr="009C19A1">
        <w:t>.</w:t>
      </w:r>
    </w:p>
    <w:p w14:paraId="4324ED40" w14:textId="02B35709" w:rsidR="00096FAC" w:rsidRPr="009C19A1" w:rsidRDefault="00096FAC" w:rsidP="00A315AA">
      <w:pPr>
        <w:spacing w:line="360" w:lineRule="auto"/>
        <w:ind w:firstLine="709"/>
        <w:jc w:val="both"/>
      </w:pPr>
      <w:r w:rsidRPr="009C19A1">
        <w:t>Observa-se que o setor apresentou franca expansão, tendo um crescimento no volume</w:t>
      </w:r>
      <w:r w:rsidR="00D563F4" w:rsidRPr="009C19A1">
        <w:t xml:space="preserve"> mundial</w:t>
      </w:r>
      <w:r w:rsidRPr="009C19A1">
        <w:t xml:space="preserve"> exportado de 46% entre 2000 e 2017. O mercado </w:t>
      </w:r>
      <w:r w:rsidR="00D563F4" w:rsidRPr="009C19A1">
        <w:t xml:space="preserve">de produção </w:t>
      </w:r>
      <w:r w:rsidR="001A33E9" w:rsidRPr="009C19A1">
        <w:t xml:space="preserve">de algodão em pluma </w:t>
      </w:r>
      <w:r w:rsidR="00D563F4" w:rsidRPr="009C19A1">
        <w:t xml:space="preserve">para </w:t>
      </w:r>
      <w:r w:rsidRPr="009C19A1">
        <w:t>exporta</w:t>
      </w:r>
      <w:r w:rsidR="00D563F4" w:rsidRPr="009C19A1">
        <w:t>ção mundial</w:t>
      </w:r>
      <w:r w:rsidRPr="009C19A1">
        <w:t xml:space="preserve"> é promissor, pois há crescimento </w:t>
      </w:r>
      <w:r w:rsidR="00D563F4" w:rsidRPr="009C19A1">
        <w:t xml:space="preserve">esperado </w:t>
      </w:r>
      <w:r w:rsidRPr="009C19A1">
        <w:t>dos níveis de exportação representa</w:t>
      </w:r>
      <w:r w:rsidR="001A33E9" w:rsidRPr="009C19A1">
        <w:t>ndo</w:t>
      </w:r>
      <w:r w:rsidRPr="009C19A1">
        <w:t xml:space="preserve"> um acrescimento na demanda internacional</w:t>
      </w:r>
      <w:r w:rsidR="001A33E9" w:rsidRPr="009C19A1">
        <w:t xml:space="preserve"> por este produto. Como sinalizado, existe uma preferência mundial por fibras naturais em detrimento das sintéticas, o que coloca o algodão em posição de destaque entre as </w:t>
      </w:r>
      <w:r w:rsidR="001A33E9" w:rsidRPr="009C19A1">
        <w:rPr>
          <w:i/>
          <w:iCs/>
        </w:rPr>
        <w:t>commodities</w:t>
      </w:r>
      <w:r w:rsidR="001A33E9" w:rsidRPr="009C19A1">
        <w:t>.</w:t>
      </w:r>
    </w:p>
    <w:p w14:paraId="52A9AF1F" w14:textId="53A178B5" w:rsidR="001A33E9" w:rsidRPr="009C19A1" w:rsidRDefault="009A0686" w:rsidP="00A315AA">
      <w:pPr>
        <w:spacing w:line="360" w:lineRule="auto"/>
        <w:ind w:firstLine="709"/>
        <w:jc w:val="both"/>
      </w:pPr>
      <w:r w:rsidRPr="009C19A1">
        <w:t>Constatou-se que</w:t>
      </w:r>
      <w:r w:rsidR="0037784E" w:rsidRPr="009C19A1">
        <w:t xml:space="preserve"> durante o período analisado</w:t>
      </w:r>
      <w:r w:rsidR="000B53EE" w:rsidRPr="009C19A1">
        <w:t xml:space="preserve"> </w:t>
      </w:r>
      <w:r w:rsidRPr="009C19A1">
        <w:t>o</w:t>
      </w:r>
      <w:r w:rsidR="0037784E" w:rsidRPr="009C19A1">
        <w:t xml:space="preserve"> mercado cotonicultor brasileiro </w:t>
      </w:r>
      <w:r w:rsidR="000B53EE" w:rsidRPr="009C19A1">
        <w:t xml:space="preserve">não </w:t>
      </w:r>
      <w:r w:rsidR="0037784E" w:rsidRPr="009C19A1">
        <w:t xml:space="preserve">apresentou </w:t>
      </w:r>
      <w:r w:rsidR="000B53EE" w:rsidRPr="009C19A1">
        <w:t xml:space="preserve">apenas </w:t>
      </w:r>
      <w:r w:rsidR="00B87E17" w:rsidRPr="009C19A1">
        <w:t>crescimento d</w:t>
      </w:r>
      <w:r w:rsidR="00FE19EE" w:rsidRPr="009C19A1">
        <w:t>e</w:t>
      </w:r>
      <w:r w:rsidR="0037784E" w:rsidRPr="009C19A1">
        <w:t xml:space="preserve"> competitividade</w:t>
      </w:r>
      <w:r w:rsidR="000B53EE" w:rsidRPr="009C19A1">
        <w:t xml:space="preserve"> como também se tornou o mais competitivo exportador entre os países comparados,</w:t>
      </w:r>
      <w:r w:rsidRPr="009C19A1">
        <w:t xml:space="preserve"> uma vez que </w:t>
      </w:r>
      <w:r w:rsidR="004C09E6" w:rsidRPr="009C19A1">
        <w:t>n</w:t>
      </w:r>
      <w:r w:rsidRPr="009C19A1">
        <w:t xml:space="preserve">o </w:t>
      </w:r>
      <w:r w:rsidR="0037784E" w:rsidRPr="009C19A1">
        <w:t>último período analisado</w:t>
      </w:r>
      <w:r w:rsidR="00FE19EE" w:rsidRPr="009C19A1">
        <w:t xml:space="preserve"> (2017)</w:t>
      </w:r>
      <w:r w:rsidR="0037784E" w:rsidRPr="009C19A1">
        <w:t xml:space="preserve"> tanto o </w:t>
      </w:r>
      <w:r w:rsidRPr="009C19A1">
        <w:t xml:space="preserve">IVCR </w:t>
      </w:r>
      <w:r w:rsidR="0037784E" w:rsidRPr="009C19A1">
        <w:t xml:space="preserve">como ICS </w:t>
      </w:r>
      <w:r w:rsidRPr="009C19A1">
        <w:t xml:space="preserve">calculado apresentou resultados maiores que </w:t>
      </w:r>
      <w:r w:rsidR="0037784E" w:rsidRPr="009C19A1">
        <w:t xml:space="preserve">dos </w:t>
      </w:r>
      <w:r w:rsidR="000B53EE" w:rsidRPr="009C19A1">
        <w:t xml:space="preserve">demais </w:t>
      </w:r>
      <w:r w:rsidR="0037784E" w:rsidRPr="009C19A1">
        <w:t>países comparados</w:t>
      </w:r>
      <w:r w:rsidR="00FE19EE" w:rsidRPr="009C19A1">
        <w:t>.</w:t>
      </w:r>
      <w:r w:rsidR="001A33E9" w:rsidRPr="009C19A1">
        <w:t xml:space="preserve"> Entre 2000 e 2017</w:t>
      </w:r>
      <w:r w:rsidR="00E86360">
        <w:t>,</w:t>
      </w:r>
      <w:r w:rsidR="001A33E9" w:rsidRPr="009C19A1">
        <w:t xml:space="preserve"> os produtores ficaram mais servidos de salvaguardas, tais como cultivares melhores adaptados, expertise no cultivo de algodão, acréscimo de tecnologia aplicado ao cultivo, além do clima e solo favoráveis ao cultivo.</w:t>
      </w:r>
    </w:p>
    <w:p w14:paraId="3CD19D49" w14:textId="01D43672" w:rsidR="00573566" w:rsidRPr="009C19A1" w:rsidRDefault="00573566" w:rsidP="00A315AA">
      <w:pPr>
        <w:spacing w:line="360" w:lineRule="auto"/>
        <w:ind w:firstLine="709"/>
        <w:jc w:val="both"/>
      </w:pPr>
      <w:r w:rsidRPr="009C19A1">
        <w:t>É notável que o</w:t>
      </w:r>
      <w:r w:rsidR="00827C67" w:rsidRPr="009C19A1">
        <w:t xml:space="preserve"> fim </w:t>
      </w:r>
      <w:r w:rsidRPr="009C19A1">
        <w:t>contencioso na OMC trouxe, no curto prazo, impactos positivos e significativos para os países produtores</w:t>
      </w:r>
      <w:r w:rsidR="007F4D92" w:rsidRPr="009C19A1">
        <w:t xml:space="preserve"> de algodão e em especial para os produtores brasileiros</w:t>
      </w:r>
      <w:r w:rsidRPr="009C19A1">
        <w:t xml:space="preserve">. Espera-se que a longo prazo o mercado brasileiro torne-se </w:t>
      </w:r>
      <w:r w:rsidR="00827C67" w:rsidRPr="009C19A1">
        <w:t xml:space="preserve">ainda </w:t>
      </w:r>
      <w:r w:rsidRPr="009C19A1">
        <w:t>mais competitivo e que seja capaz de enfrentar as distorções do mercado internacional com maior facilidade, ten</w:t>
      </w:r>
      <w:r w:rsidR="004C09E6" w:rsidRPr="009C19A1">
        <w:t>d</w:t>
      </w:r>
      <w:r w:rsidRPr="009C19A1">
        <w:t xml:space="preserve">o em vista </w:t>
      </w:r>
      <w:r w:rsidR="007F4D92" w:rsidRPr="009C19A1">
        <w:t>a evolução que a cultura passou ao longo das duas últimas décadas.</w:t>
      </w:r>
    </w:p>
    <w:p w14:paraId="508BC8F1" w14:textId="4552A58E" w:rsidR="00573566" w:rsidRDefault="00573566" w:rsidP="00A315AA">
      <w:pPr>
        <w:spacing w:line="360" w:lineRule="auto"/>
        <w:ind w:firstLine="709"/>
        <w:jc w:val="both"/>
      </w:pPr>
      <w:r w:rsidRPr="009C19A1">
        <w:lastRenderedPageBreak/>
        <w:t xml:space="preserve">Além dos benefícios para a cotonicultura, </w:t>
      </w:r>
      <w:r w:rsidR="007F4D92" w:rsidRPr="009C19A1">
        <w:t xml:space="preserve">a vitória no </w:t>
      </w:r>
      <w:r w:rsidRPr="009C19A1">
        <w:t xml:space="preserve">contencioso mostra que </w:t>
      </w:r>
      <w:r w:rsidR="007F4D92" w:rsidRPr="009C19A1">
        <w:t xml:space="preserve">o Brasil tem </w:t>
      </w:r>
      <w:r w:rsidRPr="009C19A1">
        <w:t xml:space="preserve">a expertise </w:t>
      </w:r>
      <w:r w:rsidR="007F4D92" w:rsidRPr="009C19A1">
        <w:t>necessária</w:t>
      </w:r>
      <w:r w:rsidRPr="009C19A1">
        <w:t xml:space="preserve"> para mediar situaç</w:t>
      </w:r>
      <w:r w:rsidR="00DA01D6" w:rsidRPr="009C19A1">
        <w:t>ões</w:t>
      </w:r>
      <w:r w:rsidRPr="009C19A1">
        <w:t xml:space="preserve"> conflituosas no mercado internacional </w:t>
      </w:r>
      <w:r w:rsidR="007F4D92" w:rsidRPr="009C19A1">
        <w:t xml:space="preserve">o que </w:t>
      </w:r>
      <w:r w:rsidRPr="009C19A1">
        <w:t>pode ser útil para acertar mais pontos</w:t>
      </w:r>
      <w:r w:rsidR="00DA01D6" w:rsidRPr="009C19A1">
        <w:t xml:space="preserve"> de desvio </w:t>
      </w:r>
      <w:r w:rsidR="007F4D92" w:rsidRPr="009C19A1">
        <w:t>e distorções que os d</w:t>
      </w:r>
      <w:r w:rsidR="00DA01D6" w:rsidRPr="009C19A1">
        <w:t>emais governos</w:t>
      </w:r>
      <w:r w:rsidR="00827C67" w:rsidRPr="009C19A1">
        <w:t xml:space="preserve"> </w:t>
      </w:r>
      <w:r w:rsidR="007F4D92" w:rsidRPr="009C19A1">
        <w:t xml:space="preserve">provocam no mercado </w:t>
      </w:r>
      <w:r w:rsidR="00827C67" w:rsidRPr="009C19A1">
        <w:t>internaciona</w:t>
      </w:r>
      <w:r w:rsidR="007F4D92" w:rsidRPr="009C19A1">
        <w:t>l,</w:t>
      </w:r>
      <w:r w:rsidR="00DA01D6" w:rsidRPr="009C19A1">
        <w:t xml:space="preserve"> </w:t>
      </w:r>
      <w:r w:rsidR="007F4D92" w:rsidRPr="009C19A1">
        <w:t xml:space="preserve">com isso </w:t>
      </w:r>
      <w:r w:rsidR="00DA01D6" w:rsidRPr="009C19A1">
        <w:t>tornando o mercado mais livre e com menores barreiras à entrada.</w:t>
      </w:r>
    </w:p>
    <w:p w14:paraId="0EA6083D" w14:textId="5732C0A2" w:rsidR="00696112" w:rsidRPr="007004CD" w:rsidRDefault="00696112" w:rsidP="00A315AA">
      <w:pPr>
        <w:spacing w:line="360" w:lineRule="auto"/>
        <w:ind w:firstLine="709"/>
        <w:jc w:val="both"/>
      </w:pPr>
      <w:r w:rsidRPr="007004CD">
        <w:t>É importante destacar que o estudo avali</w:t>
      </w:r>
      <w:r w:rsidR="000D2CF9" w:rsidRPr="007004CD">
        <w:t>a</w:t>
      </w:r>
      <w:r w:rsidRPr="007004CD">
        <w:t xml:space="preserve"> a competitividade </w:t>
      </w:r>
      <w:r w:rsidR="00901E90" w:rsidRPr="007004CD">
        <w:t>sob a ótica do Market-</w:t>
      </w:r>
      <w:proofErr w:type="spellStart"/>
      <w:r w:rsidR="00901E90" w:rsidRPr="007004CD">
        <w:t>Share</w:t>
      </w:r>
      <w:proofErr w:type="spellEnd"/>
      <w:r w:rsidR="00901E90" w:rsidRPr="007004CD">
        <w:t xml:space="preserve">, </w:t>
      </w:r>
      <w:r w:rsidR="00E808C1" w:rsidRPr="007004CD">
        <w:t xml:space="preserve">ou seja, </w:t>
      </w:r>
      <w:r w:rsidR="000D2CF9" w:rsidRPr="007004CD">
        <w:t>a</w:t>
      </w:r>
      <w:r w:rsidR="00901E90" w:rsidRPr="007004CD">
        <w:t xml:space="preserve"> participação de mercado do conjunto de vendedores em um mesmo país em dado momento do tempo. Com base nisso, é válid</w:t>
      </w:r>
      <w:r w:rsidR="00E808C1" w:rsidRPr="007004CD">
        <w:t>a</w:t>
      </w:r>
      <w:r w:rsidR="00901E90" w:rsidRPr="007004CD">
        <w:t xml:space="preserve"> uma proposta de análise complementar da competitividade sob a ótica de produtividade e capacidade de transformar matérias-primas em produtos acabados com menor custo e tempo e melhor qualidade e eficiência.</w:t>
      </w:r>
    </w:p>
    <w:p w14:paraId="3469AB75" w14:textId="116ED5E5" w:rsidR="000D2CF9" w:rsidRPr="009C19A1" w:rsidRDefault="00A52C3C" w:rsidP="00A315AA">
      <w:pPr>
        <w:spacing w:line="360" w:lineRule="auto"/>
        <w:ind w:firstLine="709"/>
        <w:jc w:val="both"/>
      </w:pPr>
      <w:r w:rsidRPr="007004CD">
        <w:t xml:space="preserve">O estudo </w:t>
      </w:r>
      <w:r w:rsidR="00E35D98">
        <w:t xml:space="preserve">se constitui com </w:t>
      </w:r>
      <w:r w:rsidR="00547E18">
        <w:t>de informaç</w:t>
      </w:r>
      <w:r w:rsidR="00E35D98">
        <w:t xml:space="preserve">ões importantes </w:t>
      </w:r>
      <w:r w:rsidR="00547E18">
        <w:t xml:space="preserve">para avaliadores de políticas </w:t>
      </w:r>
      <w:r w:rsidR="00E35D98">
        <w:t xml:space="preserve">públicas e privadas voltadas a cotonicultura. Pois </w:t>
      </w:r>
      <w:r w:rsidR="00547E18">
        <w:t>avaliou a</w:t>
      </w:r>
      <w:r w:rsidRPr="007004CD">
        <w:t xml:space="preserve"> recuperação da cotonicultura brasileira em relação</w:t>
      </w:r>
      <w:r w:rsidR="00547E18">
        <w:t xml:space="preserve"> aos seus pares internacionais </w:t>
      </w:r>
      <w:r w:rsidRPr="007004CD">
        <w:t>no decorrer d</w:t>
      </w:r>
      <w:r w:rsidR="00547E18">
        <w:t>e</w:t>
      </w:r>
      <w:r w:rsidRPr="007004CD">
        <w:t xml:space="preserve"> 15 anos</w:t>
      </w:r>
      <w:r w:rsidR="00E35D98">
        <w:t>, m</w:t>
      </w:r>
      <w:r w:rsidR="00547E18">
        <w:t>ostr</w:t>
      </w:r>
      <w:r w:rsidR="00E35D98">
        <w:t>ando</w:t>
      </w:r>
      <w:r w:rsidR="00547E18">
        <w:t xml:space="preserve"> </w:t>
      </w:r>
      <w:r w:rsidR="00547E18" w:rsidRPr="007004CD">
        <w:t>a capacidade de cultivo e processamento adquirida</w:t>
      </w:r>
      <w:r w:rsidR="00547E18">
        <w:t xml:space="preserve"> na medida em que </w:t>
      </w:r>
      <w:r w:rsidRPr="007004CD">
        <w:t>comparou o desempenho brasileiro frente aos principais produtores</w:t>
      </w:r>
      <w:r w:rsidR="00547E18">
        <w:t xml:space="preserve"> e exportadores</w:t>
      </w:r>
      <w:r w:rsidRPr="007004CD">
        <w:t>.</w:t>
      </w:r>
    </w:p>
    <w:p w14:paraId="6C10ED4E" w14:textId="77777777" w:rsidR="0008026A" w:rsidRPr="009C19A1" w:rsidRDefault="0008026A" w:rsidP="002A63B7"/>
    <w:p w14:paraId="606CB036" w14:textId="39D19BB5" w:rsidR="0087214B" w:rsidRPr="009C19A1" w:rsidRDefault="007056EC" w:rsidP="002A63B7">
      <w:pPr>
        <w:spacing w:before="240" w:after="240"/>
        <w:rPr>
          <w:b/>
        </w:rPr>
      </w:pPr>
      <w:r>
        <w:rPr>
          <w:b/>
        </w:rPr>
        <w:t xml:space="preserve">6 </w:t>
      </w:r>
      <w:r w:rsidR="0087214B" w:rsidRPr="009C19A1">
        <w:rPr>
          <w:b/>
        </w:rPr>
        <w:t>R</w:t>
      </w:r>
      <w:r>
        <w:rPr>
          <w:b/>
        </w:rPr>
        <w:t>eferências</w:t>
      </w:r>
    </w:p>
    <w:p w14:paraId="6546A5C0" w14:textId="5BDE6BBA" w:rsidR="00D44237" w:rsidRPr="009C19A1" w:rsidRDefault="00D670F1" w:rsidP="00A31165">
      <w:pPr>
        <w:keepLines/>
        <w:spacing w:after="240"/>
        <w:ind w:left="426" w:hanging="426"/>
        <w:jc w:val="both"/>
      </w:pPr>
      <w:r>
        <w:rPr>
          <w:rStyle w:val="st"/>
        </w:rPr>
        <w:t>Associação Brasileira dos Produtores de Algodão</w:t>
      </w:r>
      <w:r w:rsidR="002316AC">
        <w:rPr>
          <w:rStyle w:val="st"/>
        </w:rPr>
        <w:t xml:space="preserve">. (2019). </w:t>
      </w:r>
      <w:r w:rsidR="00D44237" w:rsidRPr="002316AC">
        <w:rPr>
          <w:bCs/>
          <w:i/>
          <w:iCs/>
        </w:rPr>
        <w:t>Produção mundial de algodão</w:t>
      </w:r>
      <w:r w:rsidR="00D44237" w:rsidRPr="009C19A1">
        <w:t xml:space="preserve">. </w:t>
      </w:r>
      <w:r w:rsidR="002316AC">
        <w:t>Recuperado de</w:t>
      </w:r>
      <w:r w:rsidR="00D44237" w:rsidRPr="009C19A1">
        <w:t xml:space="preserve"> http://www.abrapa.com.br/Paginas/dados/producao-mundial-algodao_backup2017.aspx. </w:t>
      </w:r>
    </w:p>
    <w:p w14:paraId="62519349" w14:textId="408F50AF" w:rsidR="00D44237" w:rsidRPr="00623097" w:rsidRDefault="002316AC" w:rsidP="00A31165">
      <w:pPr>
        <w:keepLines/>
        <w:spacing w:after="240"/>
        <w:ind w:left="426" w:hanging="426"/>
        <w:jc w:val="both"/>
        <w:rPr>
          <w:lang w:val="en-US"/>
        </w:rPr>
      </w:pPr>
      <w:r w:rsidRPr="009C19A1">
        <w:t>Aurélio Neto</w:t>
      </w:r>
      <w:r w:rsidR="00D44237" w:rsidRPr="009C19A1">
        <w:t xml:space="preserve">, O. </w:t>
      </w:r>
      <w:r w:rsidR="00373043">
        <w:t xml:space="preserve">(2018). </w:t>
      </w:r>
      <w:r w:rsidR="00D44237" w:rsidRPr="009C19A1">
        <w:t xml:space="preserve">O Brasil no mercado mundial de carne bovina: análise da competitividade da produção e da logística de exportação brasileira. </w:t>
      </w:r>
      <w:proofErr w:type="spellStart"/>
      <w:r w:rsidR="00D44237" w:rsidRPr="00696112">
        <w:rPr>
          <w:i/>
          <w:iCs/>
          <w:lang w:val="en-US"/>
        </w:rPr>
        <w:t>Ateliê</w:t>
      </w:r>
      <w:proofErr w:type="spellEnd"/>
      <w:r w:rsidR="00D44237" w:rsidRPr="00696112">
        <w:rPr>
          <w:i/>
          <w:iCs/>
          <w:lang w:val="en-US"/>
        </w:rPr>
        <w:t xml:space="preserve"> </w:t>
      </w:r>
      <w:proofErr w:type="spellStart"/>
      <w:r w:rsidR="00D44237" w:rsidRPr="00696112">
        <w:rPr>
          <w:i/>
          <w:iCs/>
          <w:lang w:val="en-US"/>
        </w:rPr>
        <w:t>Geo</w:t>
      </w:r>
      <w:r w:rsidR="00D670F1" w:rsidRPr="00696112">
        <w:rPr>
          <w:i/>
          <w:iCs/>
          <w:lang w:val="en-US"/>
        </w:rPr>
        <w:t>Figura</w:t>
      </w:r>
      <w:proofErr w:type="spellEnd"/>
      <w:r w:rsidR="00D44237" w:rsidRPr="00696112">
        <w:rPr>
          <w:lang w:val="en-US"/>
        </w:rPr>
        <w:t xml:space="preserve">, </w:t>
      </w:r>
      <w:r w:rsidR="00D44237" w:rsidRPr="00696112">
        <w:rPr>
          <w:i/>
          <w:iCs/>
          <w:lang w:val="en-US"/>
        </w:rPr>
        <w:t>12</w:t>
      </w:r>
      <w:r w:rsidR="00623097" w:rsidRPr="00696112">
        <w:rPr>
          <w:lang w:val="en-US"/>
        </w:rPr>
        <w:t>(</w:t>
      </w:r>
      <w:r w:rsidR="00D44237" w:rsidRPr="00696112">
        <w:rPr>
          <w:lang w:val="en-US"/>
        </w:rPr>
        <w:t>2</w:t>
      </w:r>
      <w:r w:rsidR="00623097" w:rsidRPr="00696112">
        <w:rPr>
          <w:lang w:val="en-US"/>
        </w:rPr>
        <w:t>)</w:t>
      </w:r>
      <w:r w:rsidR="00D44237" w:rsidRPr="00696112">
        <w:rPr>
          <w:lang w:val="en-US"/>
        </w:rPr>
        <w:t xml:space="preserve">, 183-204. </w:t>
      </w:r>
    </w:p>
    <w:p w14:paraId="6E8C3DDE" w14:textId="25AA416A" w:rsidR="00D44237" w:rsidRPr="00623097" w:rsidRDefault="002316AC" w:rsidP="00A31165">
      <w:pPr>
        <w:keepLines/>
        <w:spacing w:after="240"/>
        <w:ind w:left="426" w:hanging="426"/>
        <w:jc w:val="both"/>
        <w:rPr>
          <w:lang w:val="en-US"/>
        </w:rPr>
      </w:pPr>
      <w:r w:rsidRPr="00623097">
        <w:rPr>
          <w:lang w:val="en-US"/>
        </w:rPr>
        <w:t>Balassa</w:t>
      </w:r>
      <w:r w:rsidR="00D44237" w:rsidRPr="00623097">
        <w:rPr>
          <w:lang w:val="en-US"/>
        </w:rPr>
        <w:t xml:space="preserve">, B. </w:t>
      </w:r>
      <w:r w:rsidR="00373043" w:rsidRPr="00623097">
        <w:rPr>
          <w:lang w:val="en-US"/>
        </w:rPr>
        <w:t xml:space="preserve">(1965). </w:t>
      </w:r>
      <w:r w:rsidR="00D44237" w:rsidRPr="00623097">
        <w:rPr>
          <w:lang w:val="en-US"/>
        </w:rPr>
        <w:t xml:space="preserve">Trade liberalization and ‘revealed’ comparative advantage. </w:t>
      </w:r>
      <w:r w:rsidR="00D44237" w:rsidRPr="00623097">
        <w:rPr>
          <w:i/>
          <w:iCs/>
          <w:lang w:val="en-US"/>
        </w:rPr>
        <w:t>The Manchester School</w:t>
      </w:r>
      <w:r w:rsidR="00D44237" w:rsidRPr="00623097">
        <w:rPr>
          <w:lang w:val="en-US"/>
        </w:rPr>
        <w:t xml:space="preserve">, </w:t>
      </w:r>
      <w:r w:rsidR="00623097" w:rsidRPr="00623097">
        <w:rPr>
          <w:i/>
          <w:iCs/>
          <w:lang w:val="en-US"/>
        </w:rPr>
        <w:t>33</w:t>
      </w:r>
      <w:r w:rsidR="00623097">
        <w:rPr>
          <w:lang w:val="en-US"/>
        </w:rPr>
        <w:t>(</w:t>
      </w:r>
      <w:r w:rsidR="00D44237" w:rsidRPr="00623097">
        <w:rPr>
          <w:lang w:val="en-US"/>
        </w:rPr>
        <w:t>2</w:t>
      </w:r>
      <w:r w:rsidR="00623097">
        <w:rPr>
          <w:lang w:val="en-US"/>
        </w:rPr>
        <w:t>)</w:t>
      </w:r>
      <w:r w:rsidR="00D44237" w:rsidRPr="00623097">
        <w:rPr>
          <w:lang w:val="en-US"/>
        </w:rPr>
        <w:t>, 99-123.</w:t>
      </w:r>
    </w:p>
    <w:p w14:paraId="152E7280" w14:textId="1559C818" w:rsidR="00D44237" w:rsidRPr="00623097" w:rsidRDefault="002316AC" w:rsidP="00A31165">
      <w:pPr>
        <w:keepLines/>
        <w:spacing w:after="240"/>
        <w:ind w:left="426" w:hanging="426"/>
        <w:jc w:val="both"/>
      </w:pPr>
      <w:proofErr w:type="spellStart"/>
      <w:r w:rsidRPr="00696112">
        <w:rPr>
          <w:lang w:val="en-US"/>
        </w:rPr>
        <w:t>Barchet</w:t>
      </w:r>
      <w:proofErr w:type="spellEnd"/>
      <w:r w:rsidRPr="00696112">
        <w:rPr>
          <w:lang w:val="en-US"/>
        </w:rPr>
        <w:t>, I.</w:t>
      </w:r>
      <w:r w:rsidR="00A31165" w:rsidRPr="00696112">
        <w:rPr>
          <w:lang w:val="en-US"/>
        </w:rPr>
        <w:t xml:space="preserve">, </w:t>
      </w:r>
      <w:r w:rsidRPr="00696112">
        <w:rPr>
          <w:lang w:val="en-US"/>
        </w:rPr>
        <w:t xml:space="preserve">Rocha, </w:t>
      </w:r>
      <w:r w:rsidR="00EF025C" w:rsidRPr="00696112">
        <w:rPr>
          <w:lang w:val="en-US"/>
        </w:rPr>
        <w:t xml:space="preserve">&amp; </w:t>
      </w:r>
      <w:r w:rsidRPr="00696112">
        <w:rPr>
          <w:lang w:val="en-US"/>
        </w:rPr>
        <w:t>A</w:t>
      </w:r>
      <w:r w:rsidR="00A31165" w:rsidRPr="00696112">
        <w:rPr>
          <w:lang w:val="en-US"/>
        </w:rPr>
        <w:t>.</w:t>
      </w:r>
      <w:r w:rsidRPr="00696112">
        <w:rPr>
          <w:lang w:val="en-US"/>
        </w:rPr>
        <w:t xml:space="preserve"> A.</w:t>
      </w:r>
      <w:r w:rsidR="00A31165" w:rsidRPr="00696112">
        <w:rPr>
          <w:lang w:val="en-US"/>
        </w:rPr>
        <w:t>,</w:t>
      </w:r>
      <w:r w:rsidRPr="00696112">
        <w:rPr>
          <w:lang w:val="en-US"/>
        </w:rPr>
        <w:t xml:space="preserve"> Dal Pai, </w:t>
      </w:r>
      <w:r w:rsidR="00D44237" w:rsidRPr="00696112">
        <w:rPr>
          <w:lang w:val="en-US"/>
        </w:rPr>
        <w:t xml:space="preserve">C. </w:t>
      </w:r>
      <w:r w:rsidR="00373043" w:rsidRPr="00696112">
        <w:rPr>
          <w:lang w:val="en-US"/>
        </w:rPr>
        <w:t xml:space="preserve">(2016). </w:t>
      </w:r>
      <w:r w:rsidR="00D44237" w:rsidRPr="00623097">
        <w:t xml:space="preserve">Mudança estrutural o setor cotonicultura brasileiro: </w:t>
      </w:r>
      <w:r w:rsidR="00623097">
        <w:t>u</w:t>
      </w:r>
      <w:r w:rsidR="00D44237" w:rsidRPr="00623097">
        <w:t xml:space="preserve">ma análise da territorialização no cerrado brasileiro e do impacto do contencioso do algodão. </w:t>
      </w:r>
      <w:r w:rsidR="00D44237" w:rsidRPr="00623097">
        <w:rPr>
          <w:i/>
          <w:iCs/>
        </w:rPr>
        <w:t>Revista Brasileira de Planejamento e Desenvolvimento</w:t>
      </w:r>
      <w:r w:rsidR="00D44237" w:rsidRPr="00623097">
        <w:t xml:space="preserve">, </w:t>
      </w:r>
      <w:r w:rsidR="00D44237" w:rsidRPr="00623097">
        <w:rPr>
          <w:i/>
          <w:iCs/>
        </w:rPr>
        <w:t>5</w:t>
      </w:r>
      <w:r w:rsidR="00623097">
        <w:t>(</w:t>
      </w:r>
      <w:r w:rsidR="00D44237" w:rsidRPr="00623097">
        <w:t>1</w:t>
      </w:r>
      <w:r w:rsidR="00623097">
        <w:t>)</w:t>
      </w:r>
      <w:r w:rsidR="00D44237" w:rsidRPr="00623097">
        <w:t>, 6-25.</w:t>
      </w:r>
    </w:p>
    <w:p w14:paraId="31EB4DED" w14:textId="232BDE54" w:rsidR="00D44237" w:rsidRPr="00623097" w:rsidRDefault="002316AC" w:rsidP="00A31165">
      <w:pPr>
        <w:keepLines/>
        <w:spacing w:after="240"/>
        <w:ind w:left="426" w:hanging="426"/>
        <w:jc w:val="both"/>
      </w:pPr>
      <w:r w:rsidRPr="00623097">
        <w:t>Barral, W.</w:t>
      </w:r>
      <w:r w:rsidR="00A31165" w:rsidRPr="00623097">
        <w:t>,</w:t>
      </w:r>
      <w:r w:rsidRPr="00623097">
        <w:t xml:space="preserve"> </w:t>
      </w:r>
      <w:r w:rsidR="00EF025C" w:rsidRPr="00623097">
        <w:t xml:space="preserve">&amp; </w:t>
      </w:r>
      <w:r w:rsidRPr="00623097">
        <w:t>Amaral</w:t>
      </w:r>
      <w:r w:rsidR="00D44237" w:rsidRPr="00623097">
        <w:t xml:space="preserve">, R. </w:t>
      </w:r>
      <w:r w:rsidR="00373043" w:rsidRPr="00623097">
        <w:t xml:space="preserve">(2015). </w:t>
      </w:r>
      <w:r w:rsidR="00D44237" w:rsidRPr="00623097">
        <w:t xml:space="preserve">Fim do contencioso do algodão: lições de uma disputa na OMC. </w:t>
      </w:r>
      <w:r w:rsidR="00D44237" w:rsidRPr="00623097">
        <w:rPr>
          <w:i/>
          <w:iCs/>
        </w:rPr>
        <w:t>Revista Brasileira de Comércio Exterior</w:t>
      </w:r>
      <w:r w:rsidR="00D44237" w:rsidRPr="00623097">
        <w:t xml:space="preserve">, </w:t>
      </w:r>
      <w:r w:rsidR="00D44237" w:rsidRPr="00623097">
        <w:rPr>
          <w:i/>
          <w:iCs/>
        </w:rPr>
        <w:t>122</w:t>
      </w:r>
      <w:r w:rsidR="00D44237" w:rsidRPr="00623097">
        <w:t>, 1-4.</w:t>
      </w:r>
    </w:p>
    <w:p w14:paraId="2B194422" w14:textId="3F5C5E4E" w:rsidR="00D44237" w:rsidRPr="00696112" w:rsidRDefault="002316AC" w:rsidP="00A31165">
      <w:pPr>
        <w:keepLines/>
        <w:spacing w:after="240"/>
        <w:ind w:left="426" w:hanging="426"/>
        <w:jc w:val="both"/>
        <w:rPr>
          <w:lang w:val="es-ES"/>
        </w:rPr>
      </w:pPr>
      <w:r w:rsidRPr="00623097">
        <w:t>Carvalho, E. G.</w:t>
      </w:r>
      <w:r w:rsidR="00A31165" w:rsidRPr="00623097">
        <w:t>,</w:t>
      </w:r>
      <w:r w:rsidRPr="00623097">
        <w:t xml:space="preserve"> </w:t>
      </w:r>
      <w:r w:rsidR="00EF025C" w:rsidRPr="00623097">
        <w:t xml:space="preserve">&amp; </w:t>
      </w:r>
      <w:r w:rsidRPr="00623097">
        <w:t>Guedes, S. N</w:t>
      </w:r>
      <w:r w:rsidR="00D44237" w:rsidRPr="00623097">
        <w:t xml:space="preserve">. R. </w:t>
      </w:r>
      <w:r w:rsidR="00373043" w:rsidRPr="00623097">
        <w:t xml:space="preserve">(2018). </w:t>
      </w:r>
      <w:r w:rsidR="00D44237" w:rsidRPr="00623097">
        <w:t xml:space="preserve">A competitividade internacional: notas para uma abordagem não ortodoxa. </w:t>
      </w:r>
      <w:proofErr w:type="spellStart"/>
      <w:r w:rsidR="00D44237" w:rsidRPr="00696112">
        <w:rPr>
          <w:lang w:val="es-ES"/>
        </w:rPr>
        <w:t>Brazil</w:t>
      </w:r>
      <w:proofErr w:type="spellEnd"/>
      <w:r w:rsidR="00D44237" w:rsidRPr="00696112">
        <w:rPr>
          <w:lang w:val="es-ES"/>
        </w:rPr>
        <w:t xml:space="preserve">. </w:t>
      </w:r>
      <w:r w:rsidR="00D44237" w:rsidRPr="00696112">
        <w:rPr>
          <w:i/>
          <w:iCs/>
          <w:lang w:val="es-ES"/>
        </w:rPr>
        <w:t>J. Polit. Econ.</w:t>
      </w:r>
      <w:r w:rsidR="00D44237" w:rsidRPr="00696112">
        <w:rPr>
          <w:lang w:val="es-ES"/>
        </w:rPr>
        <w:t xml:space="preserve">, </w:t>
      </w:r>
      <w:r w:rsidR="00D44237" w:rsidRPr="00696112">
        <w:rPr>
          <w:i/>
          <w:iCs/>
          <w:lang w:val="es-ES"/>
        </w:rPr>
        <w:t>38</w:t>
      </w:r>
      <w:r w:rsidR="00623097" w:rsidRPr="00696112">
        <w:rPr>
          <w:lang w:val="es-ES"/>
        </w:rPr>
        <w:t>(</w:t>
      </w:r>
      <w:r w:rsidR="00D44237" w:rsidRPr="00696112">
        <w:rPr>
          <w:lang w:val="es-ES"/>
        </w:rPr>
        <w:t>4</w:t>
      </w:r>
      <w:r w:rsidR="00623097" w:rsidRPr="00696112">
        <w:rPr>
          <w:lang w:val="es-ES"/>
        </w:rPr>
        <w:t>)</w:t>
      </w:r>
      <w:r w:rsidR="00D44237" w:rsidRPr="00696112">
        <w:rPr>
          <w:lang w:val="es-ES"/>
        </w:rPr>
        <w:t>, 731-739.</w:t>
      </w:r>
    </w:p>
    <w:p w14:paraId="03578753" w14:textId="38BDBECE" w:rsidR="00D44237" w:rsidRPr="00623097" w:rsidRDefault="002316AC" w:rsidP="00A31165">
      <w:pPr>
        <w:keepLines/>
        <w:spacing w:after="240"/>
        <w:ind w:left="426" w:hanging="426"/>
        <w:jc w:val="both"/>
      </w:pPr>
      <w:r w:rsidRPr="00696112">
        <w:rPr>
          <w:lang w:val="es-ES"/>
        </w:rPr>
        <w:t>Costa, S. R.</w:t>
      </w:r>
      <w:r w:rsidR="00A31165" w:rsidRPr="00696112">
        <w:rPr>
          <w:lang w:val="es-ES"/>
        </w:rPr>
        <w:t>,</w:t>
      </w:r>
      <w:r w:rsidRPr="00696112">
        <w:rPr>
          <w:lang w:val="es-ES"/>
        </w:rPr>
        <w:t xml:space="preserve"> </w:t>
      </w:r>
      <w:r w:rsidR="00EF025C" w:rsidRPr="00696112">
        <w:rPr>
          <w:lang w:val="es-ES"/>
        </w:rPr>
        <w:t xml:space="preserve">&amp; </w:t>
      </w:r>
      <w:r w:rsidRPr="00696112">
        <w:rPr>
          <w:lang w:val="es-ES"/>
        </w:rPr>
        <w:t>Bueno, M. G</w:t>
      </w:r>
      <w:r w:rsidR="00D44237" w:rsidRPr="00696112">
        <w:rPr>
          <w:lang w:val="es-ES"/>
        </w:rPr>
        <w:t xml:space="preserve">. </w:t>
      </w:r>
      <w:r w:rsidR="00373043" w:rsidRPr="00696112">
        <w:rPr>
          <w:lang w:val="es-ES"/>
        </w:rPr>
        <w:t xml:space="preserve">(2004). </w:t>
      </w:r>
      <w:r w:rsidR="00D44237" w:rsidRPr="008A454D">
        <w:rPr>
          <w:i/>
          <w:iCs/>
        </w:rPr>
        <w:t>A saga do algodão: das primeiras lavouras à ação na OMC</w:t>
      </w:r>
      <w:r w:rsidR="00D44237" w:rsidRPr="00623097">
        <w:t xml:space="preserve">. Rio de Janeiro: Insight Engenharia. </w:t>
      </w:r>
    </w:p>
    <w:p w14:paraId="4FEF2CC1" w14:textId="6C253C50" w:rsidR="00D44237" w:rsidRPr="00623097" w:rsidRDefault="002316AC" w:rsidP="00A31165">
      <w:pPr>
        <w:keepLines/>
        <w:spacing w:after="240"/>
        <w:ind w:left="426" w:hanging="426"/>
        <w:jc w:val="both"/>
      </w:pPr>
      <w:r w:rsidRPr="00623097">
        <w:lastRenderedPageBreak/>
        <w:t>Cunha, S. F.</w:t>
      </w:r>
      <w:r w:rsidR="00A31165" w:rsidRPr="00623097">
        <w:t>,</w:t>
      </w:r>
      <w:r w:rsidRPr="00623097">
        <w:t xml:space="preserve"> </w:t>
      </w:r>
      <w:r w:rsidR="00EF025C" w:rsidRPr="00623097">
        <w:t xml:space="preserve">&amp; </w:t>
      </w:r>
      <w:r w:rsidRPr="00623097">
        <w:t>Xavier</w:t>
      </w:r>
      <w:r w:rsidR="00D44237" w:rsidRPr="00623097">
        <w:t xml:space="preserve">, C. L. </w:t>
      </w:r>
      <w:r w:rsidR="00373043" w:rsidRPr="00623097">
        <w:t xml:space="preserve">(2010). </w:t>
      </w:r>
      <w:r w:rsidR="00D44237" w:rsidRPr="00623097">
        <w:t xml:space="preserve">Fluxos de investimento direto externo, competitividade e conteúdo tecnológico do comércio exterior da China no início do século XXI. </w:t>
      </w:r>
      <w:r w:rsidR="00D44237" w:rsidRPr="00623097">
        <w:rPr>
          <w:i/>
          <w:iCs/>
        </w:rPr>
        <w:t xml:space="preserve">Rev. Econ. </w:t>
      </w:r>
      <w:proofErr w:type="spellStart"/>
      <w:r w:rsidR="00D44237" w:rsidRPr="00623097">
        <w:rPr>
          <w:i/>
          <w:iCs/>
        </w:rPr>
        <w:t>Polit</w:t>
      </w:r>
      <w:proofErr w:type="spellEnd"/>
      <w:r w:rsidR="00D44237" w:rsidRPr="00623097">
        <w:rPr>
          <w:i/>
          <w:iCs/>
        </w:rPr>
        <w:t>.</w:t>
      </w:r>
      <w:r w:rsidR="00D44237" w:rsidRPr="00623097">
        <w:t xml:space="preserve">, </w:t>
      </w:r>
      <w:r w:rsidR="00D44237" w:rsidRPr="00623097">
        <w:rPr>
          <w:i/>
          <w:iCs/>
        </w:rPr>
        <w:t>30</w:t>
      </w:r>
      <w:r w:rsidR="00623097">
        <w:t>(</w:t>
      </w:r>
      <w:r w:rsidR="00D44237" w:rsidRPr="00623097">
        <w:t>3</w:t>
      </w:r>
      <w:r w:rsidR="00623097">
        <w:t>)</w:t>
      </w:r>
      <w:r w:rsidR="00D44237" w:rsidRPr="00623097">
        <w:t>, 491-510.</w:t>
      </w:r>
    </w:p>
    <w:p w14:paraId="2594CB65" w14:textId="748FCA49" w:rsidR="00D44237" w:rsidRPr="00696112" w:rsidRDefault="005D2330" w:rsidP="00A31165">
      <w:pPr>
        <w:keepLines/>
        <w:spacing w:after="240"/>
        <w:ind w:left="426" w:hanging="426"/>
        <w:jc w:val="both"/>
        <w:rPr>
          <w:lang w:val="es-ES"/>
        </w:rPr>
      </w:pPr>
      <w:r w:rsidRPr="00623097">
        <w:t xml:space="preserve">Dal Pai, </w:t>
      </w:r>
      <w:r w:rsidR="00A31165" w:rsidRPr="00623097">
        <w:t xml:space="preserve">C., </w:t>
      </w:r>
      <w:proofErr w:type="spellStart"/>
      <w:r w:rsidRPr="00623097">
        <w:t>Strassburg</w:t>
      </w:r>
      <w:proofErr w:type="spellEnd"/>
      <w:r w:rsidRPr="00623097">
        <w:t>,</w:t>
      </w:r>
      <w:r w:rsidR="00A31165" w:rsidRPr="00623097">
        <w:t xml:space="preserve"> U.,</w:t>
      </w:r>
      <w:r w:rsidRPr="00623097">
        <w:t xml:space="preserve"> Braun</w:t>
      </w:r>
      <w:r w:rsidR="00A31165" w:rsidRPr="00623097">
        <w:t>, M. B. S.</w:t>
      </w:r>
      <w:r w:rsidRPr="00623097">
        <w:t>,</w:t>
      </w:r>
      <w:r w:rsidR="00EF025C" w:rsidRPr="00623097">
        <w:t xml:space="preserve"> &amp;</w:t>
      </w:r>
      <w:r w:rsidRPr="00623097">
        <w:t xml:space="preserve"> Oliveira</w:t>
      </w:r>
      <w:r w:rsidR="00A31165" w:rsidRPr="00623097">
        <w:t>, N. M</w:t>
      </w:r>
      <w:r w:rsidR="00D44237" w:rsidRPr="00623097">
        <w:t xml:space="preserve">. </w:t>
      </w:r>
      <w:r w:rsidR="00373043" w:rsidRPr="00623097">
        <w:t>(2014</w:t>
      </w:r>
      <w:r w:rsidR="00623097">
        <w:t xml:space="preserve">, </w:t>
      </w:r>
      <w:r w:rsidR="00167FFA">
        <w:t>julho</w:t>
      </w:r>
      <w:r w:rsidR="00373043" w:rsidRPr="00623097">
        <w:t xml:space="preserve">). </w:t>
      </w:r>
      <w:r w:rsidR="00D44237" w:rsidRPr="00623097">
        <w:t>Política comercial e competitividade das exportações brasileiras de algodão: uma reflexão sobre o contencioso na OMC.</w:t>
      </w:r>
      <w:r w:rsidR="00167FFA">
        <w:t xml:space="preserve"> </w:t>
      </w:r>
      <w:r w:rsidR="00167FFA">
        <w:rPr>
          <w:i/>
          <w:iCs/>
        </w:rPr>
        <w:t>Anais do Congresso SOBER - Sociedade Brasileira de Economia, Administração e Sociologia Rural</w:t>
      </w:r>
      <w:r w:rsidR="00167FFA">
        <w:t xml:space="preserve">, Goiânia, GO, Brasil, </w:t>
      </w:r>
      <w:r w:rsidR="00D44237" w:rsidRPr="00623097">
        <w:t>52</w:t>
      </w:r>
      <w:r w:rsidR="00167FFA">
        <w:t xml:space="preserve">. </w:t>
      </w:r>
      <w:r w:rsidR="00167FFA" w:rsidRPr="00696112">
        <w:rPr>
          <w:lang w:val="es-ES"/>
        </w:rPr>
        <w:t xml:space="preserve">Recuperado de </w:t>
      </w:r>
      <w:r w:rsidR="00D44237" w:rsidRPr="00696112">
        <w:rPr>
          <w:lang w:val="es-ES"/>
        </w:rPr>
        <w:t>http://icongresso.itarget.com.br/tra/arquivos/ser.4/1/3396.pdf.</w:t>
      </w:r>
    </w:p>
    <w:p w14:paraId="584BAF04" w14:textId="012EDADF" w:rsidR="00D44237" w:rsidRPr="00982384" w:rsidRDefault="002316AC" w:rsidP="00A31165">
      <w:pPr>
        <w:keepLines/>
        <w:spacing w:after="240"/>
        <w:ind w:left="426" w:hanging="426"/>
        <w:jc w:val="both"/>
        <w:rPr>
          <w:lang w:val="es-ES"/>
        </w:rPr>
      </w:pPr>
      <w:proofErr w:type="spellStart"/>
      <w:r w:rsidRPr="00982384">
        <w:rPr>
          <w:lang w:val="es-ES"/>
        </w:rPr>
        <w:t>Dohlman</w:t>
      </w:r>
      <w:proofErr w:type="spellEnd"/>
      <w:r w:rsidRPr="00982384">
        <w:rPr>
          <w:lang w:val="es-ES"/>
        </w:rPr>
        <w:t xml:space="preserve">, </w:t>
      </w:r>
      <w:r w:rsidR="00D44237" w:rsidRPr="00982384">
        <w:rPr>
          <w:lang w:val="es-ES"/>
        </w:rPr>
        <w:t>E. et al. (</w:t>
      </w:r>
      <w:proofErr w:type="spellStart"/>
      <w:r w:rsidR="00D44237" w:rsidRPr="00982384">
        <w:rPr>
          <w:lang w:val="es-ES"/>
        </w:rPr>
        <w:t>Org</w:t>
      </w:r>
      <w:proofErr w:type="spellEnd"/>
      <w:r w:rsidR="00A31165" w:rsidRPr="00982384">
        <w:rPr>
          <w:lang w:val="es-ES"/>
        </w:rPr>
        <w:t>.</w:t>
      </w:r>
      <w:r w:rsidR="00D44237" w:rsidRPr="00982384">
        <w:rPr>
          <w:lang w:val="es-ES"/>
        </w:rPr>
        <w:t>).</w:t>
      </w:r>
      <w:r w:rsidR="00373043" w:rsidRPr="00982384">
        <w:rPr>
          <w:lang w:val="es-ES"/>
        </w:rPr>
        <w:t xml:space="preserve"> (2019).</w:t>
      </w:r>
      <w:r w:rsidR="00D44237" w:rsidRPr="00982384">
        <w:rPr>
          <w:lang w:val="es-ES"/>
        </w:rPr>
        <w:t xml:space="preserve"> </w:t>
      </w:r>
      <w:r w:rsidR="00D44237" w:rsidRPr="00982384">
        <w:rPr>
          <w:i/>
          <w:iCs/>
          <w:lang w:val="es-ES"/>
        </w:rPr>
        <w:t xml:space="preserve">Cotton </w:t>
      </w:r>
      <w:proofErr w:type="spellStart"/>
      <w:r w:rsidR="00167FFA" w:rsidRPr="00982384">
        <w:rPr>
          <w:i/>
          <w:iCs/>
          <w:lang w:val="es-ES"/>
        </w:rPr>
        <w:t>o</w:t>
      </w:r>
      <w:r w:rsidR="00D44237" w:rsidRPr="00982384">
        <w:rPr>
          <w:i/>
          <w:iCs/>
          <w:lang w:val="es-ES"/>
        </w:rPr>
        <w:t>utlook</w:t>
      </w:r>
      <w:proofErr w:type="spellEnd"/>
      <w:r w:rsidR="00D44237" w:rsidRPr="00982384">
        <w:rPr>
          <w:lang w:val="es-ES"/>
        </w:rPr>
        <w:t xml:space="preserve">. </w:t>
      </w:r>
      <w:r w:rsidR="00167FFA" w:rsidRPr="00982384">
        <w:rPr>
          <w:lang w:val="es-ES"/>
        </w:rPr>
        <w:t xml:space="preserve">Recuperado de </w:t>
      </w:r>
      <w:r w:rsidR="00D44237" w:rsidRPr="00982384">
        <w:rPr>
          <w:lang w:val="es-ES"/>
        </w:rPr>
        <w:t>https://www.usda.gov/oce/forum/past_programs/2019/Outlooks.htm.</w:t>
      </w:r>
    </w:p>
    <w:p w14:paraId="6A8617AC" w14:textId="38D68BDB" w:rsidR="00D44237" w:rsidRPr="00982384" w:rsidRDefault="002316AC" w:rsidP="00A31165">
      <w:pPr>
        <w:keepLines/>
        <w:spacing w:after="240"/>
        <w:ind w:left="426" w:hanging="426"/>
        <w:jc w:val="both"/>
      </w:pPr>
      <w:proofErr w:type="spellStart"/>
      <w:r w:rsidRPr="00982384">
        <w:rPr>
          <w:lang w:val="es-ES"/>
        </w:rPr>
        <w:t>Faccin</w:t>
      </w:r>
      <w:proofErr w:type="spellEnd"/>
      <w:r w:rsidRPr="00982384">
        <w:rPr>
          <w:lang w:val="es-ES"/>
        </w:rPr>
        <w:t>, A. C. T. M.</w:t>
      </w:r>
      <w:r w:rsidR="00A31165" w:rsidRPr="00982384">
        <w:rPr>
          <w:lang w:val="es-ES"/>
        </w:rPr>
        <w:t>,</w:t>
      </w:r>
      <w:r w:rsidRPr="00982384">
        <w:rPr>
          <w:lang w:val="es-ES"/>
        </w:rPr>
        <w:t xml:space="preserve"> </w:t>
      </w:r>
      <w:r w:rsidR="00EF025C" w:rsidRPr="00982384">
        <w:rPr>
          <w:lang w:val="es-ES"/>
        </w:rPr>
        <w:t xml:space="preserve">&amp; </w:t>
      </w:r>
      <w:r w:rsidRPr="00982384">
        <w:rPr>
          <w:lang w:val="es-ES"/>
        </w:rPr>
        <w:t>Castillo</w:t>
      </w:r>
      <w:r w:rsidR="00D44237" w:rsidRPr="00982384">
        <w:rPr>
          <w:lang w:val="es-ES"/>
        </w:rPr>
        <w:t xml:space="preserve">, R. </w:t>
      </w:r>
      <w:r w:rsidR="00373043" w:rsidRPr="00982384">
        <w:rPr>
          <w:lang w:val="es-ES"/>
        </w:rPr>
        <w:t xml:space="preserve">(2019). </w:t>
      </w:r>
      <w:r w:rsidR="00D44237" w:rsidRPr="00982384">
        <w:t xml:space="preserve">A centralidade do complexo-soja na economia brasileira e a manutenção da produção agrícola extravertida: análise da soja em Mato Grosso do Sul. </w:t>
      </w:r>
      <w:proofErr w:type="spellStart"/>
      <w:r w:rsidR="00D44237" w:rsidRPr="00982384">
        <w:rPr>
          <w:i/>
          <w:iCs/>
        </w:rPr>
        <w:t>Geosul</w:t>
      </w:r>
      <w:proofErr w:type="spellEnd"/>
      <w:r w:rsidR="00D44237" w:rsidRPr="00982384">
        <w:t xml:space="preserve">, </w:t>
      </w:r>
      <w:r w:rsidR="00D44237" w:rsidRPr="00982384">
        <w:rPr>
          <w:i/>
          <w:iCs/>
        </w:rPr>
        <w:t>34</w:t>
      </w:r>
      <w:r w:rsidR="00167FFA" w:rsidRPr="00982384">
        <w:t>(</w:t>
      </w:r>
      <w:r w:rsidR="00D44237" w:rsidRPr="00982384">
        <w:t>71</w:t>
      </w:r>
      <w:r w:rsidR="00167FFA" w:rsidRPr="00982384">
        <w:t>)</w:t>
      </w:r>
      <w:r w:rsidR="00D44237" w:rsidRPr="00982384">
        <w:t>, 111-129.</w:t>
      </w:r>
    </w:p>
    <w:p w14:paraId="35471EEA" w14:textId="318B7213" w:rsidR="00D44237" w:rsidRPr="00982384" w:rsidRDefault="002316AC" w:rsidP="00A31165">
      <w:pPr>
        <w:keepLines/>
        <w:spacing w:after="240"/>
        <w:ind w:left="426" w:hanging="426"/>
        <w:jc w:val="both"/>
      </w:pPr>
      <w:r w:rsidRPr="00982384">
        <w:t>Fernandes, R.</w:t>
      </w:r>
      <w:r w:rsidR="00A31165" w:rsidRPr="00982384">
        <w:t>,</w:t>
      </w:r>
      <w:r w:rsidR="00EF025C" w:rsidRPr="00982384">
        <w:t xml:space="preserve"> &amp;</w:t>
      </w:r>
      <w:r w:rsidRPr="00982384">
        <w:t xml:space="preserve"> Santos, C. </w:t>
      </w:r>
      <w:r w:rsidR="00193F77" w:rsidRPr="00982384">
        <w:t xml:space="preserve">(2011). </w:t>
      </w:r>
      <w:r w:rsidR="00D44237" w:rsidRPr="00982384">
        <w:t xml:space="preserve">Competitividade das exportações sucroalcooleiras do Estado de São Paulo. </w:t>
      </w:r>
      <w:r w:rsidR="00D44237" w:rsidRPr="00982384">
        <w:rPr>
          <w:i/>
          <w:iCs/>
        </w:rPr>
        <w:t>Revista de Política Agrícola</w:t>
      </w:r>
      <w:r w:rsidR="00D44237" w:rsidRPr="00982384">
        <w:t xml:space="preserve">, </w:t>
      </w:r>
      <w:r w:rsidR="00D44237" w:rsidRPr="00982384">
        <w:rPr>
          <w:i/>
          <w:iCs/>
        </w:rPr>
        <w:t>20</w:t>
      </w:r>
      <w:r w:rsidR="00167FFA" w:rsidRPr="00982384">
        <w:t>(4)</w:t>
      </w:r>
      <w:r w:rsidR="00411EA3" w:rsidRPr="00982384">
        <w:t>, 21-36</w:t>
      </w:r>
      <w:r w:rsidR="00D44237" w:rsidRPr="00982384">
        <w:t xml:space="preserve">. </w:t>
      </w:r>
    </w:p>
    <w:p w14:paraId="0479D366" w14:textId="48D1FDC0" w:rsidR="00D44237" w:rsidRPr="00982384" w:rsidRDefault="002316AC" w:rsidP="00A31165">
      <w:pPr>
        <w:keepLines/>
        <w:spacing w:after="240"/>
        <w:ind w:left="426" w:hanging="426"/>
        <w:jc w:val="both"/>
      </w:pPr>
      <w:r w:rsidRPr="00982384">
        <w:t>Ferraz, J. C.</w:t>
      </w:r>
      <w:r w:rsidR="00A31165" w:rsidRPr="00982384">
        <w:t>,</w:t>
      </w:r>
      <w:r w:rsidRPr="00982384">
        <w:t xml:space="preserve"> </w:t>
      </w:r>
      <w:proofErr w:type="spellStart"/>
      <w:r w:rsidRPr="00982384">
        <w:t>Kupfer</w:t>
      </w:r>
      <w:proofErr w:type="spellEnd"/>
      <w:r w:rsidRPr="00982384">
        <w:t>, D.</w:t>
      </w:r>
      <w:r w:rsidR="00A31165" w:rsidRPr="00982384">
        <w:t>,</w:t>
      </w:r>
      <w:r w:rsidRPr="00982384">
        <w:t xml:space="preserve"> </w:t>
      </w:r>
      <w:r w:rsidR="00EF025C" w:rsidRPr="00982384">
        <w:t xml:space="preserve">&amp; </w:t>
      </w:r>
      <w:proofErr w:type="spellStart"/>
      <w:r w:rsidRPr="00982384">
        <w:t>Haguenauer</w:t>
      </w:r>
      <w:proofErr w:type="spellEnd"/>
      <w:r w:rsidR="00D44237" w:rsidRPr="00982384">
        <w:t>, L.</w:t>
      </w:r>
      <w:r w:rsidR="00193F77" w:rsidRPr="00982384">
        <w:t xml:space="preserve"> (1995).</w:t>
      </w:r>
      <w:r w:rsidR="00D44237" w:rsidRPr="00982384">
        <w:t xml:space="preserve"> </w:t>
      </w:r>
      <w:proofErr w:type="spellStart"/>
      <w:r w:rsidR="00D44237" w:rsidRPr="00982384">
        <w:rPr>
          <w:i/>
          <w:iCs/>
        </w:rPr>
        <w:t>Made</w:t>
      </w:r>
      <w:proofErr w:type="spellEnd"/>
      <w:r w:rsidR="00D44237" w:rsidRPr="00982384">
        <w:rPr>
          <w:i/>
          <w:iCs/>
        </w:rPr>
        <w:t xml:space="preserve"> </w:t>
      </w:r>
      <w:r w:rsidR="00167FFA" w:rsidRPr="00982384">
        <w:rPr>
          <w:i/>
          <w:iCs/>
        </w:rPr>
        <w:t>i</w:t>
      </w:r>
      <w:r w:rsidR="00D44237" w:rsidRPr="00982384">
        <w:rPr>
          <w:i/>
          <w:iCs/>
        </w:rPr>
        <w:t xml:space="preserve">n </w:t>
      </w:r>
      <w:proofErr w:type="spellStart"/>
      <w:r w:rsidR="00D44237" w:rsidRPr="00982384">
        <w:rPr>
          <w:i/>
          <w:iCs/>
        </w:rPr>
        <w:t>Brazil</w:t>
      </w:r>
      <w:proofErr w:type="spellEnd"/>
      <w:r w:rsidR="00D44237" w:rsidRPr="00982384">
        <w:rPr>
          <w:i/>
          <w:iCs/>
        </w:rPr>
        <w:t xml:space="preserve"> - </w:t>
      </w:r>
      <w:r w:rsidR="00167FFA" w:rsidRPr="00982384">
        <w:rPr>
          <w:i/>
          <w:iCs/>
        </w:rPr>
        <w:t>d</w:t>
      </w:r>
      <w:r w:rsidR="00D44237" w:rsidRPr="00982384">
        <w:rPr>
          <w:i/>
          <w:iCs/>
        </w:rPr>
        <w:t xml:space="preserve">esafios </w:t>
      </w:r>
      <w:r w:rsidR="00167FFA" w:rsidRPr="00982384">
        <w:rPr>
          <w:i/>
          <w:iCs/>
        </w:rPr>
        <w:t>c</w:t>
      </w:r>
      <w:r w:rsidR="00D44237" w:rsidRPr="00982384">
        <w:rPr>
          <w:i/>
          <w:iCs/>
        </w:rPr>
        <w:t xml:space="preserve">ompetitivos para a </w:t>
      </w:r>
      <w:r w:rsidR="00167FFA" w:rsidRPr="00982384">
        <w:rPr>
          <w:i/>
          <w:iCs/>
        </w:rPr>
        <w:t>i</w:t>
      </w:r>
      <w:r w:rsidR="00D44237" w:rsidRPr="00982384">
        <w:rPr>
          <w:i/>
          <w:iCs/>
        </w:rPr>
        <w:t>ndústria</w:t>
      </w:r>
      <w:r w:rsidR="00D44237" w:rsidRPr="00982384">
        <w:t xml:space="preserve">. </w:t>
      </w:r>
      <w:r w:rsidR="00167FFA" w:rsidRPr="00982384">
        <w:t>Rio de Janeiro, RJ</w:t>
      </w:r>
      <w:r w:rsidR="00D44237" w:rsidRPr="00982384">
        <w:t>: Campus.</w:t>
      </w:r>
    </w:p>
    <w:p w14:paraId="50AFA21B" w14:textId="13E07380" w:rsidR="00D44237" w:rsidRPr="00982384" w:rsidRDefault="002316AC" w:rsidP="00A31165">
      <w:pPr>
        <w:keepLines/>
        <w:spacing w:after="240"/>
        <w:ind w:left="426" w:hanging="426"/>
        <w:jc w:val="both"/>
      </w:pPr>
      <w:r w:rsidRPr="00982384">
        <w:t>Ferreira Filho, J. B. S.</w:t>
      </w:r>
      <w:r w:rsidR="00A31165" w:rsidRPr="00982384">
        <w:t>,</w:t>
      </w:r>
      <w:r w:rsidRPr="00982384">
        <w:t xml:space="preserve"> Alves, L. R. A.</w:t>
      </w:r>
      <w:r w:rsidR="00A31165" w:rsidRPr="00982384">
        <w:t>,</w:t>
      </w:r>
      <w:r w:rsidR="00EF025C" w:rsidRPr="00982384">
        <w:t xml:space="preserve"> &amp;</w:t>
      </w:r>
      <w:r w:rsidRPr="00982384">
        <w:t xml:space="preserve"> Villar, </w:t>
      </w:r>
      <w:r w:rsidR="00D44237" w:rsidRPr="00982384">
        <w:t xml:space="preserve">P. M. </w:t>
      </w:r>
      <w:r w:rsidR="00193F77" w:rsidRPr="00982384">
        <w:t xml:space="preserve">(2009). </w:t>
      </w:r>
      <w:r w:rsidR="00D44237" w:rsidRPr="00982384">
        <w:t xml:space="preserve">Estudo da competitividade da produção de algodão entre Brasil e Estados Unidos - safra 2003/04. </w:t>
      </w:r>
      <w:r w:rsidR="00D44237" w:rsidRPr="00982384">
        <w:rPr>
          <w:i/>
          <w:iCs/>
        </w:rPr>
        <w:t>Rev. Econ. Sociol. Rural</w:t>
      </w:r>
      <w:r w:rsidR="00D44237" w:rsidRPr="00982384">
        <w:t xml:space="preserve">, </w:t>
      </w:r>
      <w:r w:rsidR="00D44237" w:rsidRPr="00982384">
        <w:rPr>
          <w:i/>
          <w:iCs/>
        </w:rPr>
        <w:t>47</w:t>
      </w:r>
      <w:r w:rsidR="00167FFA" w:rsidRPr="00982384">
        <w:t>(</w:t>
      </w:r>
      <w:r w:rsidR="00D44237" w:rsidRPr="00982384">
        <w:t>1</w:t>
      </w:r>
      <w:r w:rsidR="00167FFA" w:rsidRPr="00982384">
        <w:t>)</w:t>
      </w:r>
      <w:r w:rsidR="00D44237" w:rsidRPr="00982384">
        <w:t>, 59-88.</w:t>
      </w:r>
    </w:p>
    <w:p w14:paraId="7CEACC88" w14:textId="6CD9E4C9" w:rsidR="00D44237" w:rsidRPr="00982384" w:rsidRDefault="002316AC" w:rsidP="00A31165">
      <w:pPr>
        <w:keepLines/>
        <w:spacing w:after="240"/>
        <w:ind w:left="426" w:hanging="426"/>
        <w:jc w:val="both"/>
      </w:pPr>
      <w:r w:rsidRPr="00982384">
        <w:t xml:space="preserve">Ferreira, B., </w:t>
      </w:r>
      <w:r w:rsidR="00EF025C" w:rsidRPr="00982384">
        <w:t xml:space="preserve">&amp; </w:t>
      </w:r>
      <w:proofErr w:type="spellStart"/>
      <w:r w:rsidRPr="00982384">
        <w:t>Capitani</w:t>
      </w:r>
      <w:proofErr w:type="spellEnd"/>
      <w:r w:rsidRPr="00982384">
        <w:t>, D</w:t>
      </w:r>
      <w:r w:rsidR="00D44237" w:rsidRPr="00982384">
        <w:t xml:space="preserve">. </w:t>
      </w:r>
      <w:r w:rsidR="00193F77" w:rsidRPr="00982384">
        <w:t xml:space="preserve">(2017). </w:t>
      </w:r>
      <w:r w:rsidR="00D44237" w:rsidRPr="00982384">
        <w:t xml:space="preserve">Competitividade do milho brasileiro no mercado internacional. </w:t>
      </w:r>
      <w:r w:rsidR="00D44237" w:rsidRPr="00982384">
        <w:rPr>
          <w:i/>
          <w:iCs/>
        </w:rPr>
        <w:t>Revista de Política Agrícola</w:t>
      </w:r>
      <w:r w:rsidR="00D44237" w:rsidRPr="00982384">
        <w:t xml:space="preserve">, </w:t>
      </w:r>
      <w:r w:rsidR="00D44237" w:rsidRPr="00982384">
        <w:rPr>
          <w:i/>
          <w:iCs/>
        </w:rPr>
        <w:t>26</w:t>
      </w:r>
      <w:r w:rsidR="00167FFA" w:rsidRPr="00982384">
        <w:t>(2)</w:t>
      </w:r>
      <w:r w:rsidR="00411EA3" w:rsidRPr="00982384">
        <w:t>, 86-99</w:t>
      </w:r>
      <w:r w:rsidR="00D44237" w:rsidRPr="00982384">
        <w:t xml:space="preserve">. </w:t>
      </w:r>
    </w:p>
    <w:p w14:paraId="56B57EBB" w14:textId="6FBF9DA8" w:rsidR="00D44237" w:rsidRPr="00982384" w:rsidRDefault="002316AC" w:rsidP="00A31165">
      <w:pPr>
        <w:keepLines/>
        <w:spacing w:after="240"/>
        <w:ind w:left="426" w:hanging="426"/>
        <w:jc w:val="both"/>
      </w:pPr>
      <w:proofErr w:type="spellStart"/>
      <w:r w:rsidRPr="00982384">
        <w:t>Franck</w:t>
      </w:r>
      <w:proofErr w:type="spellEnd"/>
      <w:r w:rsidRPr="00982384">
        <w:t xml:space="preserve">, </w:t>
      </w:r>
      <w:r w:rsidR="00D44237" w:rsidRPr="00982384">
        <w:t>A</w:t>
      </w:r>
      <w:r w:rsidR="00A31165" w:rsidRPr="00982384">
        <w:t>.</w:t>
      </w:r>
      <w:r w:rsidR="00B73EDF" w:rsidRPr="00982384">
        <w:t xml:space="preserve"> G</w:t>
      </w:r>
      <w:r w:rsidR="00A31165" w:rsidRPr="00982384">
        <w:t xml:space="preserve">. </w:t>
      </w:r>
      <w:r w:rsidR="00B73EDF" w:rsidRPr="00982384">
        <w:t>S</w:t>
      </w:r>
      <w:r w:rsidR="00A31165" w:rsidRPr="00982384">
        <w:t xml:space="preserve">., </w:t>
      </w:r>
      <w:r w:rsidR="00B73EDF" w:rsidRPr="00982384">
        <w:t xml:space="preserve">Coronel, </w:t>
      </w:r>
      <w:r w:rsidR="00A31165" w:rsidRPr="00982384">
        <w:t xml:space="preserve">D. A., Silva, </w:t>
      </w:r>
      <w:proofErr w:type="spellStart"/>
      <w:r w:rsidR="00B73EDF" w:rsidRPr="00982384">
        <w:t>M</w:t>
      </w:r>
      <w:r w:rsidR="00EF025C" w:rsidRPr="00982384">
        <w:t>ygre</w:t>
      </w:r>
      <w:proofErr w:type="spellEnd"/>
      <w:r w:rsidR="00EF025C" w:rsidRPr="00982384">
        <w:t xml:space="preserve"> </w:t>
      </w:r>
      <w:r w:rsidR="00B73EDF" w:rsidRPr="00982384">
        <w:t>L</w:t>
      </w:r>
      <w:r w:rsidR="00A31165" w:rsidRPr="00982384">
        <w:t>.</w:t>
      </w:r>
      <w:r w:rsidR="00B73EDF" w:rsidRPr="00982384">
        <w:t xml:space="preserve">, </w:t>
      </w:r>
      <w:r w:rsidR="00EF025C" w:rsidRPr="00982384">
        <w:t xml:space="preserve">&amp; </w:t>
      </w:r>
      <w:r w:rsidR="00A31165" w:rsidRPr="00982384">
        <w:t xml:space="preserve">Silva, </w:t>
      </w:r>
      <w:r w:rsidR="00B73EDF" w:rsidRPr="00982384">
        <w:t>R</w:t>
      </w:r>
      <w:r w:rsidR="00EF025C" w:rsidRPr="00982384">
        <w:t>odrigo</w:t>
      </w:r>
      <w:r w:rsidR="00A31165" w:rsidRPr="00982384">
        <w:t xml:space="preserve"> </w:t>
      </w:r>
      <w:r w:rsidR="00B73EDF" w:rsidRPr="00982384">
        <w:t>A</w:t>
      </w:r>
      <w:r w:rsidR="00A31165" w:rsidRPr="00982384">
        <w:t>.</w:t>
      </w:r>
      <w:r w:rsidR="00D44237" w:rsidRPr="00982384">
        <w:t xml:space="preserve"> </w:t>
      </w:r>
      <w:r w:rsidR="00193F77" w:rsidRPr="00982384">
        <w:t xml:space="preserve">(2015). </w:t>
      </w:r>
      <w:r w:rsidR="00D44237" w:rsidRPr="00982384">
        <w:t xml:space="preserve">Competitividade das exportações australianas e brasileiras de minério de ferro para a China (1999-2014). </w:t>
      </w:r>
      <w:r w:rsidR="00B73EDF" w:rsidRPr="00982384">
        <w:rPr>
          <w:i/>
          <w:iCs/>
        </w:rPr>
        <w:t xml:space="preserve">Revista </w:t>
      </w:r>
      <w:r w:rsidR="00D44237" w:rsidRPr="00982384">
        <w:rPr>
          <w:i/>
          <w:iCs/>
        </w:rPr>
        <w:t>NECAT</w:t>
      </w:r>
      <w:r w:rsidR="00D44237" w:rsidRPr="00982384">
        <w:t xml:space="preserve">, </w:t>
      </w:r>
      <w:r w:rsidR="00D44237" w:rsidRPr="00982384">
        <w:rPr>
          <w:i/>
          <w:iCs/>
        </w:rPr>
        <w:t>4</w:t>
      </w:r>
      <w:r w:rsidR="00167FFA" w:rsidRPr="00982384">
        <w:t>(</w:t>
      </w:r>
      <w:r w:rsidR="00D44237" w:rsidRPr="00982384">
        <w:t>8</w:t>
      </w:r>
      <w:r w:rsidR="00167FFA" w:rsidRPr="00982384">
        <w:t>)</w:t>
      </w:r>
      <w:r w:rsidR="00411EA3" w:rsidRPr="00982384">
        <w:t>, 28-43</w:t>
      </w:r>
      <w:r w:rsidR="00D44237" w:rsidRPr="00982384">
        <w:t xml:space="preserve">. </w:t>
      </w:r>
    </w:p>
    <w:p w14:paraId="0BCBB98F" w14:textId="37B0C1BA" w:rsidR="00D44237" w:rsidRPr="00982384" w:rsidRDefault="002316AC" w:rsidP="00A31165">
      <w:pPr>
        <w:keepLines/>
        <w:spacing w:after="240"/>
        <w:ind w:left="426" w:hanging="426"/>
        <w:jc w:val="both"/>
      </w:pPr>
      <w:bookmarkStart w:id="0" w:name="_GoBack"/>
      <w:bookmarkEnd w:id="0"/>
      <w:r w:rsidRPr="00982384">
        <w:t xml:space="preserve">Giordano, </w:t>
      </w:r>
      <w:r w:rsidR="00D44237" w:rsidRPr="00982384">
        <w:t>S. R.</w:t>
      </w:r>
      <w:r w:rsidR="00193F77" w:rsidRPr="00982384">
        <w:t xml:space="preserve"> (1999).</w:t>
      </w:r>
      <w:r w:rsidR="00D44237" w:rsidRPr="00982384">
        <w:t xml:space="preserve"> </w:t>
      </w:r>
      <w:r w:rsidR="00D44237" w:rsidRPr="00982384">
        <w:rPr>
          <w:i/>
          <w:iCs/>
        </w:rPr>
        <w:t>Competitividade regional e globalização</w:t>
      </w:r>
      <w:r w:rsidR="00642416" w:rsidRPr="00982384">
        <w:t xml:space="preserve"> </w:t>
      </w:r>
      <w:r w:rsidR="00D44237" w:rsidRPr="00982384">
        <w:t>(</w:t>
      </w:r>
      <w:r w:rsidR="00642416" w:rsidRPr="00982384">
        <w:t>Tese de d</w:t>
      </w:r>
      <w:r w:rsidR="00D44237" w:rsidRPr="00982384">
        <w:t>outorado</w:t>
      </w:r>
      <w:r w:rsidR="00642416" w:rsidRPr="00982384">
        <w:t>)</w:t>
      </w:r>
      <w:r w:rsidR="00D44237" w:rsidRPr="00982384">
        <w:t xml:space="preserve"> Faculdade de Filosofia, Letras e Ciências Humanas, Universidade de São Paulo, São Paulo, </w:t>
      </w:r>
      <w:r w:rsidR="00642416" w:rsidRPr="00982384">
        <w:t xml:space="preserve">SP, Brasil. </w:t>
      </w:r>
    </w:p>
    <w:p w14:paraId="219A4C76" w14:textId="168E30AC" w:rsidR="00D44237" w:rsidRPr="00623097" w:rsidRDefault="002316AC" w:rsidP="00A31165">
      <w:pPr>
        <w:keepLines/>
        <w:spacing w:after="240"/>
        <w:ind w:left="426" w:hanging="426"/>
        <w:jc w:val="both"/>
      </w:pPr>
      <w:proofErr w:type="spellStart"/>
      <w:r w:rsidRPr="00982384">
        <w:rPr>
          <w:lang w:val="es-ES"/>
        </w:rPr>
        <w:t>Lafay</w:t>
      </w:r>
      <w:proofErr w:type="spellEnd"/>
      <w:r w:rsidRPr="00982384">
        <w:rPr>
          <w:lang w:val="es-ES"/>
        </w:rPr>
        <w:t xml:space="preserve">, </w:t>
      </w:r>
      <w:r w:rsidR="00D44237" w:rsidRPr="00982384">
        <w:rPr>
          <w:lang w:val="es-ES"/>
        </w:rPr>
        <w:t>G. (1990)</w:t>
      </w:r>
      <w:r w:rsidR="00193F77" w:rsidRPr="00982384">
        <w:rPr>
          <w:lang w:val="es-ES"/>
        </w:rPr>
        <w:t>.</w:t>
      </w:r>
      <w:r w:rsidR="00D44237" w:rsidRPr="00982384">
        <w:rPr>
          <w:lang w:val="es-ES"/>
        </w:rPr>
        <w:t xml:space="preserve"> La mesure des </w:t>
      </w:r>
      <w:proofErr w:type="spellStart"/>
      <w:r w:rsidR="00D44237" w:rsidRPr="00982384">
        <w:rPr>
          <w:lang w:val="es-ES"/>
        </w:rPr>
        <w:t>avantages</w:t>
      </w:r>
      <w:proofErr w:type="spellEnd"/>
      <w:r w:rsidR="00D44237" w:rsidRPr="00982384">
        <w:rPr>
          <w:lang w:val="es-ES"/>
        </w:rPr>
        <w:t xml:space="preserve"> </w:t>
      </w:r>
      <w:proofErr w:type="spellStart"/>
      <w:r w:rsidR="00D44237" w:rsidRPr="00982384">
        <w:rPr>
          <w:lang w:val="es-ES"/>
        </w:rPr>
        <w:t>comparatifs</w:t>
      </w:r>
      <w:proofErr w:type="spellEnd"/>
      <w:r w:rsidR="00D44237" w:rsidRPr="00982384">
        <w:rPr>
          <w:lang w:val="es-ES"/>
        </w:rPr>
        <w:t xml:space="preserve"> </w:t>
      </w:r>
      <w:proofErr w:type="spellStart"/>
      <w:r w:rsidR="00D44237" w:rsidRPr="00982384">
        <w:rPr>
          <w:lang w:val="es-ES"/>
        </w:rPr>
        <w:t>révélés</w:t>
      </w:r>
      <w:proofErr w:type="spellEnd"/>
      <w:r w:rsidR="00D44237" w:rsidRPr="00982384">
        <w:rPr>
          <w:lang w:val="es-ES"/>
        </w:rPr>
        <w:t xml:space="preserve">: </w:t>
      </w:r>
      <w:proofErr w:type="spellStart"/>
      <w:r w:rsidR="00D44237" w:rsidRPr="00982384">
        <w:rPr>
          <w:lang w:val="es-ES"/>
        </w:rPr>
        <w:t>exposé</w:t>
      </w:r>
      <w:proofErr w:type="spellEnd"/>
      <w:r w:rsidR="00D44237" w:rsidRPr="00982384">
        <w:rPr>
          <w:lang w:val="es-ES"/>
        </w:rPr>
        <w:t xml:space="preserve"> de la </w:t>
      </w:r>
      <w:proofErr w:type="spellStart"/>
      <w:r w:rsidR="00D44237" w:rsidRPr="00982384">
        <w:rPr>
          <w:lang w:val="es-ES"/>
        </w:rPr>
        <w:t>méthodologie</w:t>
      </w:r>
      <w:proofErr w:type="spellEnd"/>
      <w:r w:rsidR="00D44237" w:rsidRPr="00982384">
        <w:rPr>
          <w:lang w:val="es-ES"/>
        </w:rPr>
        <w:t xml:space="preserve"> du</w:t>
      </w:r>
      <w:r w:rsidR="00D44237" w:rsidRPr="00696112">
        <w:rPr>
          <w:lang w:val="es-ES"/>
        </w:rPr>
        <w:t xml:space="preserve"> CEPII.</w:t>
      </w:r>
      <w:r w:rsidR="00642416" w:rsidRPr="00696112">
        <w:rPr>
          <w:lang w:val="es-ES"/>
        </w:rPr>
        <w:t xml:space="preserve"> </w:t>
      </w:r>
      <w:r w:rsidR="00642416">
        <w:t>In</w:t>
      </w:r>
      <w:r w:rsidR="00D44237" w:rsidRPr="00623097">
        <w:t> </w:t>
      </w:r>
      <w:proofErr w:type="spellStart"/>
      <w:r w:rsidR="00D44237" w:rsidRPr="00623097">
        <w:rPr>
          <w:i/>
          <w:iCs/>
        </w:rPr>
        <w:t>Économie</w:t>
      </w:r>
      <w:proofErr w:type="spellEnd"/>
      <w:r w:rsidR="00D44237" w:rsidRPr="00623097">
        <w:rPr>
          <w:i/>
          <w:iCs/>
        </w:rPr>
        <w:t xml:space="preserve"> </w:t>
      </w:r>
      <w:proofErr w:type="spellStart"/>
      <w:r w:rsidR="00642416">
        <w:rPr>
          <w:i/>
          <w:iCs/>
        </w:rPr>
        <w:t>p</w:t>
      </w:r>
      <w:r w:rsidR="00D44237" w:rsidRPr="00623097">
        <w:rPr>
          <w:i/>
          <w:iCs/>
        </w:rPr>
        <w:t>rospective</w:t>
      </w:r>
      <w:proofErr w:type="spellEnd"/>
      <w:r w:rsidR="00D44237" w:rsidRPr="00623097">
        <w:rPr>
          <w:i/>
          <w:iCs/>
        </w:rPr>
        <w:t xml:space="preserve"> </w:t>
      </w:r>
      <w:proofErr w:type="spellStart"/>
      <w:r w:rsidR="00642416">
        <w:rPr>
          <w:i/>
          <w:iCs/>
        </w:rPr>
        <w:t>i</w:t>
      </w:r>
      <w:r w:rsidR="00D44237" w:rsidRPr="00623097">
        <w:rPr>
          <w:i/>
          <w:iCs/>
        </w:rPr>
        <w:t>nternacionale</w:t>
      </w:r>
      <w:proofErr w:type="spellEnd"/>
      <w:r w:rsidR="00642416">
        <w:rPr>
          <w:i/>
          <w:iCs/>
        </w:rPr>
        <w:t xml:space="preserve"> </w:t>
      </w:r>
      <w:r w:rsidR="00642416" w:rsidRPr="00642416">
        <w:t>(</w:t>
      </w:r>
      <w:r w:rsidR="00642416">
        <w:t xml:space="preserve">pp. </w:t>
      </w:r>
      <w:r w:rsidR="00D44237" w:rsidRPr="00623097">
        <w:t>27-43</w:t>
      </w:r>
      <w:r w:rsidR="00642416">
        <w:t>)</w:t>
      </w:r>
      <w:r w:rsidR="00D44237" w:rsidRPr="00623097">
        <w:t>.</w:t>
      </w:r>
    </w:p>
    <w:p w14:paraId="37741678" w14:textId="6292400C" w:rsidR="00D44237" w:rsidRPr="00623097" w:rsidRDefault="002316AC" w:rsidP="00A31165">
      <w:pPr>
        <w:keepLines/>
        <w:spacing w:after="240"/>
        <w:ind w:left="426" w:hanging="426"/>
        <w:jc w:val="both"/>
      </w:pPr>
      <w:r w:rsidRPr="00982384">
        <w:t>Neves, M. F.</w:t>
      </w:r>
      <w:r w:rsidR="00EF025C" w:rsidRPr="00982384">
        <w:t>,</w:t>
      </w:r>
      <w:r w:rsidRPr="00982384">
        <w:t xml:space="preserve"> </w:t>
      </w:r>
      <w:r w:rsidR="00EF025C" w:rsidRPr="00982384">
        <w:t xml:space="preserve">&amp; </w:t>
      </w:r>
      <w:r w:rsidRPr="00982384">
        <w:t>Pinto, M. J. A. (</w:t>
      </w:r>
      <w:r w:rsidR="00D44237" w:rsidRPr="00982384">
        <w:t xml:space="preserve">Org.). </w:t>
      </w:r>
      <w:r w:rsidR="00193F77" w:rsidRPr="00982384">
        <w:t xml:space="preserve">(2019). </w:t>
      </w:r>
      <w:r w:rsidR="00D44237" w:rsidRPr="00982384">
        <w:rPr>
          <w:i/>
          <w:iCs/>
        </w:rPr>
        <w:t>A cadeia do algodão brasileiro</w:t>
      </w:r>
      <w:r w:rsidR="00642416" w:rsidRPr="00982384">
        <w:rPr>
          <w:i/>
          <w:iCs/>
        </w:rPr>
        <w:t>: s</w:t>
      </w:r>
      <w:r w:rsidR="00D44237" w:rsidRPr="00982384">
        <w:rPr>
          <w:i/>
          <w:iCs/>
        </w:rPr>
        <w:t xml:space="preserve">afra 2016/2017 - </w:t>
      </w:r>
      <w:r w:rsidR="00642416" w:rsidRPr="00982384">
        <w:rPr>
          <w:i/>
          <w:iCs/>
        </w:rPr>
        <w:t>d</w:t>
      </w:r>
      <w:r w:rsidR="00D44237" w:rsidRPr="00982384">
        <w:rPr>
          <w:i/>
          <w:iCs/>
        </w:rPr>
        <w:t xml:space="preserve">esafios e </w:t>
      </w:r>
      <w:r w:rsidR="00642416" w:rsidRPr="00982384">
        <w:rPr>
          <w:i/>
          <w:iCs/>
        </w:rPr>
        <w:t>e</w:t>
      </w:r>
      <w:r w:rsidR="00D44237" w:rsidRPr="00982384">
        <w:rPr>
          <w:i/>
          <w:iCs/>
        </w:rPr>
        <w:t>stratégias</w:t>
      </w:r>
      <w:r w:rsidR="00D44237" w:rsidRPr="00982384">
        <w:t xml:space="preserve">. </w:t>
      </w:r>
      <w:r w:rsidR="00642416" w:rsidRPr="00982384">
        <w:t>Recuperado de</w:t>
      </w:r>
      <w:r w:rsidR="00D44237" w:rsidRPr="00982384">
        <w:t xml:space="preserve"> http://www.abrapa.com.br/Documents/A%20Cadeia%20do%20Algoda%CC%83o%20Brasileiro.pdf.</w:t>
      </w:r>
    </w:p>
    <w:p w14:paraId="7B8EDDFF" w14:textId="45CE283C" w:rsidR="00D44237" w:rsidRPr="00623097" w:rsidRDefault="002316AC" w:rsidP="00A31165">
      <w:pPr>
        <w:keepLines/>
        <w:spacing w:after="240"/>
        <w:ind w:left="426" w:hanging="426"/>
        <w:jc w:val="both"/>
      </w:pPr>
      <w:r w:rsidRPr="00623097">
        <w:t xml:space="preserve">Oliveira Neto, A. </w:t>
      </w:r>
      <w:r w:rsidR="00D44237" w:rsidRPr="00623097">
        <w:t>A. (Org.).</w:t>
      </w:r>
      <w:r w:rsidR="00193F77" w:rsidRPr="00623097">
        <w:t xml:space="preserve"> (2017).</w:t>
      </w:r>
      <w:r w:rsidR="00D44237" w:rsidRPr="00623097">
        <w:t xml:space="preserve"> </w:t>
      </w:r>
      <w:r w:rsidR="00D44237" w:rsidRPr="00642416">
        <w:rPr>
          <w:i/>
          <w:iCs/>
        </w:rPr>
        <w:t xml:space="preserve">A </w:t>
      </w:r>
      <w:r w:rsidR="00642416" w:rsidRPr="00642416">
        <w:rPr>
          <w:i/>
          <w:iCs/>
        </w:rPr>
        <w:t>c</w:t>
      </w:r>
      <w:r w:rsidR="00D44237" w:rsidRPr="00642416">
        <w:rPr>
          <w:i/>
          <w:iCs/>
        </w:rPr>
        <w:t xml:space="preserve">ultura do </w:t>
      </w:r>
      <w:r w:rsidR="00642416" w:rsidRPr="00642416">
        <w:rPr>
          <w:i/>
          <w:iCs/>
        </w:rPr>
        <w:t>a</w:t>
      </w:r>
      <w:r w:rsidR="00D44237" w:rsidRPr="00642416">
        <w:rPr>
          <w:i/>
          <w:iCs/>
        </w:rPr>
        <w:t>lgodão: análise dos custos de produção e da rentabilidade nos anos-safra 2006/07 a 2016/17</w:t>
      </w:r>
      <w:r w:rsidR="00D44237" w:rsidRPr="00623097">
        <w:t>. Brasília: Conab.</w:t>
      </w:r>
    </w:p>
    <w:p w14:paraId="32E768C3" w14:textId="7755AA9C" w:rsidR="00D44237" w:rsidRPr="00623097" w:rsidRDefault="002316AC" w:rsidP="00A31165">
      <w:pPr>
        <w:keepLines/>
        <w:spacing w:after="240"/>
        <w:ind w:left="426" w:hanging="426"/>
        <w:jc w:val="both"/>
      </w:pPr>
      <w:r w:rsidRPr="00623097">
        <w:t>Pinheiro, A. C.</w:t>
      </w:r>
      <w:r w:rsidR="00EF025C" w:rsidRPr="00623097">
        <w:t>,</w:t>
      </w:r>
      <w:r w:rsidRPr="00623097">
        <w:t xml:space="preserve"> </w:t>
      </w:r>
      <w:r w:rsidR="00EF025C" w:rsidRPr="00623097">
        <w:t xml:space="preserve">&amp; </w:t>
      </w:r>
      <w:r w:rsidRPr="00623097">
        <w:t xml:space="preserve">Horta, </w:t>
      </w:r>
      <w:r w:rsidR="00D44237" w:rsidRPr="00623097">
        <w:t>M. H.</w:t>
      </w:r>
      <w:r w:rsidR="00193F77" w:rsidRPr="00623097">
        <w:t xml:space="preserve"> (1992).</w:t>
      </w:r>
      <w:r w:rsidR="00D44237" w:rsidRPr="00623097">
        <w:t xml:space="preserve"> </w:t>
      </w:r>
      <w:r w:rsidR="00D44237" w:rsidRPr="00642416">
        <w:rPr>
          <w:i/>
          <w:iCs/>
        </w:rPr>
        <w:t xml:space="preserve">A </w:t>
      </w:r>
      <w:r w:rsidR="00642416" w:rsidRPr="00642416">
        <w:rPr>
          <w:i/>
          <w:iCs/>
        </w:rPr>
        <w:t>c</w:t>
      </w:r>
      <w:r w:rsidR="00D44237" w:rsidRPr="00642416">
        <w:rPr>
          <w:i/>
          <w:iCs/>
        </w:rPr>
        <w:t>ompetitividade das exportações brasileiras no período 1980/88</w:t>
      </w:r>
      <w:r w:rsidR="00D44237" w:rsidRPr="00623097">
        <w:t>. Rio de Janeiro: IPEA.</w:t>
      </w:r>
    </w:p>
    <w:p w14:paraId="72AAD4AF" w14:textId="2FFE55E9" w:rsidR="00D44237" w:rsidRPr="00623097" w:rsidRDefault="002316AC" w:rsidP="00A31165">
      <w:pPr>
        <w:keepLines/>
        <w:spacing w:after="240"/>
        <w:ind w:left="426" w:hanging="426"/>
        <w:jc w:val="both"/>
      </w:pPr>
      <w:r w:rsidRPr="00623097">
        <w:lastRenderedPageBreak/>
        <w:t>Ribeiro, L</w:t>
      </w:r>
      <w:r w:rsidR="00D44237" w:rsidRPr="00623097">
        <w:t xml:space="preserve">. S. (Org.). </w:t>
      </w:r>
      <w:r w:rsidR="00193F77" w:rsidRPr="00623097">
        <w:t xml:space="preserve">(2017). </w:t>
      </w:r>
      <w:r w:rsidR="00D44237" w:rsidRPr="00642416">
        <w:rPr>
          <w:i/>
          <w:iCs/>
        </w:rPr>
        <w:t xml:space="preserve">Indicadores da </w:t>
      </w:r>
      <w:r w:rsidR="00642416" w:rsidRPr="00642416">
        <w:rPr>
          <w:i/>
          <w:iCs/>
        </w:rPr>
        <w:t>a</w:t>
      </w:r>
      <w:r w:rsidR="00D44237" w:rsidRPr="00642416">
        <w:rPr>
          <w:i/>
          <w:iCs/>
        </w:rPr>
        <w:t>gropecuária</w:t>
      </w:r>
      <w:r w:rsidR="00642416">
        <w:rPr>
          <w:i/>
          <w:iCs/>
        </w:rPr>
        <w:t xml:space="preserve"> </w:t>
      </w:r>
      <w:r w:rsidR="00642416" w:rsidRPr="00642416">
        <w:t>(</w:t>
      </w:r>
      <w:r w:rsidR="00D44237" w:rsidRPr="00623097">
        <w:t>6</w:t>
      </w:r>
      <w:r w:rsidR="00642416">
        <w:t xml:space="preserve">a </w:t>
      </w:r>
      <w:r w:rsidR="00D44237" w:rsidRPr="00623097">
        <w:t>ed.</w:t>
      </w:r>
      <w:r w:rsidR="00642416">
        <w:t>).</w:t>
      </w:r>
      <w:r w:rsidR="00D44237" w:rsidRPr="00623097">
        <w:t xml:space="preserve"> Brasília</w:t>
      </w:r>
      <w:r w:rsidR="00642416">
        <w:t>, DF</w:t>
      </w:r>
      <w:r w:rsidR="00D44237" w:rsidRPr="00623097">
        <w:t xml:space="preserve">: </w:t>
      </w:r>
      <w:r w:rsidR="00642416">
        <w:t>Conab</w:t>
      </w:r>
      <w:r w:rsidR="00D44237" w:rsidRPr="00623097">
        <w:t>.</w:t>
      </w:r>
    </w:p>
    <w:p w14:paraId="1EAE213B" w14:textId="702E9AFF" w:rsidR="00D44237" w:rsidRPr="00623097" w:rsidRDefault="002316AC" w:rsidP="00A31165">
      <w:pPr>
        <w:keepLines/>
        <w:spacing w:after="240"/>
        <w:ind w:left="426" w:hanging="426"/>
        <w:jc w:val="both"/>
        <w:rPr>
          <w:lang w:val="en-US"/>
        </w:rPr>
      </w:pPr>
      <w:r w:rsidRPr="00623097">
        <w:t>Santos, E</w:t>
      </w:r>
      <w:r w:rsidR="00D44237" w:rsidRPr="00623097">
        <w:t xml:space="preserve">. </w:t>
      </w:r>
      <w:r w:rsidR="00193F77" w:rsidRPr="00623097">
        <w:t xml:space="preserve">(2019). </w:t>
      </w:r>
      <w:r w:rsidR="00D44237" w:rsidRPr="00642416">
        <w:rPr>
          <w:i/>
          <w:iCs/>
        </w:rPr>
        <w:t>Aumento da produção de algodão no Brasil traz novos desafios para a pesquisa, aponta documento da Embrapa</w:t>
      </w:r>
      <w:r w:rsidR="00D44237" w:rsidRPr="00623097">
        <w:t xml:space="preserve">. </w:t>
      </w:r>
      <w:r w:rsidR="00642416" w:rsidRPr="00696112">
        <w:rPr>
          <w:lang w:val="en-US"/>
        </w:rPr>
        <w:t xml:space="preserve">Brasília, DF: </w:t>
      </w:r>
      <w:proofErr w:type="spellStart"/>
      <w:r w:rsidR="00D44237" w:rsidRPr="00696112">
        <w:rPr>
          <w:lang w:val="en-US"/>
        </w:rPr>
        <w:t>Embrapa</w:t>
      </w:r>
      <w:proofErr w:type="spellEnd"/>
      <w:r w:rsidR="00D44237" w:rsidRPr="00623097">
        <w:rPr>
          <w:lang w:val="en-US"/>
        </w:rPr>
        <w:t>.</w:t>
      </w:r>
    </w:p>
    <w:p w14:paraId="193D9E64" w14:textId="3F1D6FFF" w:rsidR="00D44237" w:rsidRPr="00696112" w:rsidRDefault="002316AC" w:rsidP="00A31165">
      <w:pPr>
        <w:keepLines/>
        <w:spacing w:after="240"/>
        <w:ind w:left="426" w:hanging="426"/>
        <w:jc w:val="both"/>
        <w:rPr>
          <w:lang w:val="en-US"/>
        </w:rPr>
      </w:pPr>
      <w:proofErr w:type="spellStart"/>
      <w:r w:rsidRPr="00623097">
        <w:rPr>
          <w:lang w:val="en-US"/>
        </w:rPr>
        <w:t>Schnepf</w:t>
      </w:r>
      <w:proofErr w:type="spellEnd"/>
      <w:r w:rsidR="00D44237" w:rsidRPr="00623097">
        <w:rPr>
          <w:lang w:val="en-US"/>
        </w:rPr>
        <w:t>, R.</w:t>
      </w:r>
      <w:r w:rsidR="00193F77" w:rsidRPr="00623097">
        <w:rPr>
          <w:lang w:val="en-US"/>
        </w:rPr>
        <w:t xml:space="preserve"> (2014).</w:t>
      </w:r>
      <w:r w:rsidR="00D44237" w:rsidRPr="00623097">
        <w:rPr>
          <w:lang w:val="en-US"/>
        </w:rPr>
        <w:t xml:space="preserve"> </w:t>
      </w:r>
      <w:r w:rsidR="00D44237" w:rsidRPr="00642416">
        <w:rPr>
          <w:i/>
          <w:iCs/>
          <w:lang w:val="en-US"/>
        </w:rPr>
        <w:t>Status of the WTO Brazil – U.S cotton case</w:t>
      </w:r>
      <w:r w:rsidR="00D44237" w:rsidRPr="00623097">
        <w:rPr>
          <w:lang w:val="en-US"/>
        </w:rPr>
        <w:t xml:space="preserve">. </w:t>
      </w:r>
      <w:r w:rsidR="00411EA3">
        <w:rPr>
          <w:lang w:val="en-US"/>
        </w:rPr>
        <w:t xml:space="preserve">Washington, DC: </w:t>
      </w:r>
      <w:r w:rsidR="00411EA3" w:rsidRPr="00411EA3">
        <w:rPr>
          <w:lang w:val="en-US"/>
        </w:rPr>
        <w:t xml:space="preserve">Congressional Research Service. </w:t>
      </w:r>
      <w:proofErr w:type="spellStart"/>
      <w:r w:rsidR="00642416" w:rsidRPr="00696112">
        <w:rPr>
          <w:lang w:val="en-US"/>
        </w:rPr>
        <w:t>Recuperado</w:t>
      </w:r>
      <w:proofErr w:type="spellEnd"/>
      <w:r w:rsidR="00642416" w:rsidRPr="00696112">
        <w:rPr>
          <w:lang w:val="en-US"/>
        </w:rPr>
        <w:t xml:space="preserve"> de</w:t>
      </w:r>
      <w:r w:rsidR="00D44237" w:rsidRPr="00696112">
        <w:rPr>
          <w:lang w:val="en-US"/>
        </w:rPr>
        <w:t xml:space="preserve"> http://nationalaglawcenter.org/wp-content/uploads/assets/crs/R43336.pdf.</w:t>
      </w:r>
    </w:p>
    <w:p w14:paraId="6BF22084" w14:textId="41ACF8B2" w:rsidR="00D44237" w:rsidRPr="00623097" w:rsidRDefault="002316AC" w:rsidP="00A31165">
      <w:pPr>
        <w:keepLines/>
        <w:spacing w:after="240"/>
        <w:ind w:left="426" w:hanging="426"/>
        <w:jc w:val="both"/>
      </w:pPr>
      <w:r w:rsidRPr="00623097">
        <w:rPr>
          <w:lang w:val="en-US"/>
        </w:rPr>
        <w:t>Schwab</w:t>
      </w:r>
      <w:r w:rsidR="00D44237" w:rsidRPr="00623097">
        <w:rPr>
          <w:lang w:val="en-US"/>
        </w:rPr>
        <w:t>, K. (Org.).</w:t>
      </w:r>
      <w:r w:rsidR="00193F77" w:rsidRPr="00623097">
        <w:rPr>
          <w:lang w:val="en-US"/>
        </w:rPr>
        <w:t xml:space="preserve"> (2017).</w:t>
      </w:r>
      <w:r w:rsidR="00D44237" w:rsidRPr="00623097">
        <w:rPr>
          <w:lang w:val="en-US"/>
        </w:rPr>
        <w:t xml:space="preserve"> </w:t>
      </w:r>
      <w:r w:rsidR="00D44237" w:rsidRPr="00642416">
        <w:rPr>
          <w:i/>
          <w:iCs/>
          <w:lang w:val="en-US"/>
        </w:rPr>
        <w:t xml:space="preserve">The </w:t>
      </w:r>
      <w:r w:rsidR="00642416" w:rsidRPr="00642416">
        <w:rPr>
          <w:i/>
          <w:iCs/>
          <w:lang w:val="en-US"/>
        </w:rPr>
        <w:t>g</w:t>
      </w:r>
      <w:r w:rsidR="00D44237" w:rsidRPr="00642416">
        <w:rPr>
          <w:i/>
          <w:iCs/>
          <w:lang w:val="en-US"/>
        </w:rPr>
        <w:t xml:space="preserve">lobal </w:t>
      </w:r>
      <w:r w:rsidR="00642416" w:rsidRPr="00642416">
        <w:rPr>
          <w:i/>
          <w:iCs/>
          <w:lang w:val="en-US"/>
        </w:rPr>
        <w:t>c</w:t>
      </w:r>
      <w:r w:rsidR="00D44237" w:rsidRPr="00642416">
        <w:rPr>
          <w:i/>
          <w:iCs/>
          <w:lang w:val="en-US"/>
        </w:rPr>
        <w:t xml:space="preserve">ompetitiveness </w:t>
      </w:r>
      <w:r w:rsidR="00642416" w:rsidRPr="00642416">
        <w:rPr>
          <w:i/>
          <w:iCs/>
          <w:lang w:val="en-US"/>
        </w:rPr>
        <w:t>r</w:t>
      </w:r>
      <w:r w:rsidR="00D44237" w:rsidRPr="00642416">
        <w:rPr>
          <w:i/>
          <w:iCs/>
          <w:lang w:val="en-US"/>
        </w:rPr>
        <w:t>eport 2017-2018:</w:t>
      </w:r>
      <w:r w:rsidR="00642416" w:rsidRPr="00642416">
        <w:rPr>
          <w:i/>
          <w:iCs/>
          <w:lang w:val="en-US"/>
        </w:rPr>
        <w:t xml:space="preserve"> insight report, world economic forum</w:t>
      </w:r>
      <w:r w:rsidR="00D44237" w:rsidRPr="00623097">
        <w:rPr>
          <w:lang w:val="en-US"/>
        </w:rPr>
        <w:t xml:space="preserve">. </w:t>
      </w:r>
      <w:r w:rsidR="00642416" w:rsidRPr="00642416">
        <w:t xml:space="preserve">Recuperado </w:t>
      </w:r>
      <w:r w:rsidR="00642416">
        <w:t xml:space="preserve">de </w:t>
      </w:r>
      <w:r w:rsidR="00D44237" w:rsidRPr="00642416">
        <w:t>https://www.weforum.org/reports/the-global-competitiveness-report-2017-2018</w:t>
      </w:r>
      <w:r w:rsidR="00D44237" w:rsidRPr="00623097">
        <w:t>.</w:t>
      </w:r>
    </w:p>
    <w:p w14:paraId="42D65F04" w14:textId="527B5337" w:rsidR="00D44237" w:rsidRPr="00696112" w:rsidRDefault="002316AC" w:rsidP="00A31165">
      <w:pPr>
        <w:keepLines/>
        <w:spacing w:after="240"/>
        <w:ind w:left="426" w:hanging="426"/>
        <w:jc w:val="both"/>
      </w:pPr>
      <w:r w:rsidRPr="00623097">
        <w:t>Siqueira,</w:t>
      </w:r>
      <w:r w:rsidR="00D44237" w:rsidRPr="00623097">
        <w:t xml:space="preserve"> K. B.</w:t>
      </w:r>
      <w:r w:rsidR="00193F77" w:rsidRPr="00623097">
        <w:t xml:space="preserve"> (2011).</w:t>
      </w:r>
      <w:r w:rsidR="00D44237" w:rsidRPr="00623097">
        <w:t xml:space="preserve"> </w:t>
      </w:r>
      <w:r w:rsidR="00D44237" w:rsidRPr="00642416">
        <w:rPr>
          <w:i/>
          <w:iCs/>
        </w:rPr>
        <w:t>Vantagens comparativas reveladas do Brasil no comércio internacional de lácteos</w:t>
      </w:r>
      <w:r w:rsidR="00D44237" w:rsidRPr="00623097">
        <w:t>. Juiz de Fora</w:t>
      </w:r>
      <w:r w:rsidR="00642416">
        <w:t>, MG</w:t>
      </w:r>
      <w:r w:rsidR="00D44237" w:rsidRPr="00623097">
        <w:t>: Embrapa Gado de Leite</w:t>
      </w:r>
      <w:r w:rsidR="00D44237" w:rsidRPr="00696112">
        <w:t>.</w:t>
      </w:r>
    </w:p>
    <w:p w14:paraId="3507E80F" w14:textId="109D749C" w:rsidR="00D44237" w:rsidRPr="00696112" w:rsidRDefault="00D44237" w:rsidP="00A31165">
      <w:pPr>
        <w:keepLines/>
        <w:spacing w:after="240"/>
        <w:ind w:left="426" w:hanging="426"/>
        <w:jc w:val="both"/>
        <w:rPr>
          <w:lang w:val="en-US"/>
        </w:rPr>
      </w:pPr>
      <w:r w:rsidRPr="00696112">
        <w:t xml:space="preserve">UN </w:t>
      </w:r>
      <w:proofErr w:type="spellStart"/>
      <w:r w:rsidR="002316AC" w:rsidRPr="00696112">
        <w:t>Comtrade</w:t>
      </w:r>
      <w:proofErr w:type="spellEnd"/>
      <w:r w:rsidRPr="00696112">
        <w:t>.</w:t>
      </w:r>
      <w:r w:rsidR="00193F77" w:rsidRPr="00696112">
        <w:t xml:space="preserve"> </w:t>
      </w:r>
      <w:r w:rsidR="00193F77" w:rsidRPr="00623097">
        <w:rPr>
          <w:lang w:val="en-US"/>
        </w:rPr>
        <w:t>(2019).</w:t>
      </w:r>
      <w:r w:rsidRPr="00623097">
        <w:rPr>
          <w:lang w:val="en-US"/>
        </w:rPr>
        <w:t xml:space="preserve"> </w:t>
      </w:r>
      <w:r w:rsidRPr="00642416">
        <w:rPr>
          <w:i/>
          <w:iCs/>
          <w:lang w:val="en-US"/>
        </w:rPr>
        <w:t xml:space="preserve">United </w:t>
      </w:r>
      <w:r w:rsidR="00642416" w:rsidRPr="00642416">
        <w:rPr>
          <w:i/>
          <w:iCs/>
          <w:lang w:val="en-US"/>
        </w:rPr>
        <w:t>nations trade statistics database</w:t>
      </w:r>
      <w:r w:rsidRPr="00623097">
        <w:rPr>
          <w:lang w:val="en-US"/>
        </w:rPr>
        <w:t xml:space="preserve">. </w:t>
      </w:r>
      <w:proofErr w:type="spellStart"/>
      <w:r w:rsidR="00642416" w:rsidRPr="00696112">
        <w:rPr>
          <w:lang w:val="en-US"/>
        </w:rPr>
        <w:t>Recuperado</w:t>
      </w:r>
      <w:proofErr w:type="spellEnd"/>
      <w:r w:rsidR="00642416" w:rsidRPr="00696112">
        <w:rPr>
          <w:lang w:val="en-US"/>
        </w:rPr>
        <w:t xml:space="preserve"> de </w:t>
      </w:r>
      <w:r w:rsidRPr="00696112">
        <w:rPr>
          <w:lang w:val="en-US"/>
        </w:rPr>
        <w:t>https://comtrade.un.org/data/</w:t>
      </w:r>
      <w:r w:rsidR="00642416" w:rsidRPr="00696112">
        <w:rPr>
          <w:lang w:val="en-US"/>
        </w:rPr>
        <w:t>.</w:t>
      </w:r>
    </w:p>
    <w:p w14:paraId="0B5E457E" w14:textId="24E4213E" w:rsidR="00D44237" w:rsidRPr="00623097" w:rsidRDefault="002316AC" w:rsidP="00A31165">
      <w:pPr>
        <w:keepLines/>
        <w:spacing w:after="240"/>
        <w:ind w:left="426" w:hanging="426"/>
        <w:jc w:val="both"/>
      </w:pPr>
      <w:r w:rsidRPr="00623097">
        <w:rPr>
          <w:lang w:val="en-US"/>
        </w:rPr>
        <w:t xml:space="preserve">United States Department </w:t>
      </w:r>
      <w:r w:rsidR="00642416">
        <w:rPr>
          <w:lang w:val="en-US"/>
        </w:rPr>
        <w:t>o</w:t>
      </w:r>
      <w:r w:rsidRPr="00623097">
        <w:rPr>
          <w:lang w:val="en-US"/>
        </w:rPr>
        <w:t>f Agriculture</w:t>
      </w:r>
      <w:r w:rsidR="00411EA3">
        <w:rPr>
          <w:lang w:val="en-US"/>
        </w:rPr>
        <w:t>. (2019)</w:t>
      </w:r>
      <w:r w:rsidR="00D44237" w:rsidRPr="00623097">
        <w:rPr>
          <w:lang w:val="en-US"/>
        </w:rPr>
        <w:t xml:space="preserve">. </w:t>
      </w:r>
      <w:r w:rsidR="00D44237" w:rsidRPr="00642416">
        <w:rPr>
          <w:i/>
          <w:iCs/>
          <w:lang w:val="en-US"/>
        </w:rPr>
        <w:t xml:space="preserve">Cotton: </w:t>
      </w:r>
      <w:r w:rsidR="00642416" w:rsidRPr="00642416">
        <w:rPr>
          <w:i/>
          <w:iCs/>
          <w:lang w:val="en-US"/>
        </w:rPr>
        <w:t xml:space="preserve">world markets and trade: record world consumption helps lower stocks in </w:t>
      </w:r>
      <w:r w:rsidR="00D44237" w:rsidRPr="00642416">
        <w:rPr>
          <w:i/>
          <w:iCs/>
          <w:lang w:val="en-US"/>
        </w:rPr>
        <w:t>2019/20</w:t>
      </w:r>
      <w:r w:rsidR="00D44237" w:rsidRPr="00623097">
        <w:rPr>
          <w:lang w:val="en-US"/>
        </w:rPr>
        <w:t xml:space="preserve">. </w:t>
      </w:r>
      <w:r w:rsidR="00642416">
        <w:t>Recuperado de</w:t>
      </w:r>
      <w:r w:rsidR="00D44237" w:rsidRPr="00623097">
        <w:t xml:space="preserve"> https://usda.library.cornell.edu/concern/publications/kp78gg36g?locale=en.</w:t>
      </w:r>
    </w:p>
    <w:p w14:paraId="3A9CB589" w14:textId="699AC50B" w:rsidR="00D44237" w:rsidRPr="00623097" w:rsidRDefault="002316AC" w:rsidP="00A31165">
      <w:pPr>
        <w:keepLines/>
        <w:spacing w:after="240"/>
        <w:ind w:left="426" w:hanging="426"/>
        <w:jc w:val="both"/>
      </w:pPr>
      <w:r w:rsidRPr="00623097">
        <w:t xml:space="preserve">Vieira, A., </w:t>
      </w:r>
      <w:proofErr w:type="spellStart"/>
      <w:r w:rsidRPr="00623097">
        <w:t>Lunas</w:t>
      </w:r>
      <w:proofErr w:type="spellEnd"/>
      <w:r w:rsidRPr="00623097">
        <w:t xml:space="preserve">, D., </w:t>
      </w:r>
      <w:r w:rsidR="00EF025C" w:rsidRPr="00623097">
        <w:t xml:space="preserve">&amp; </w:t>
      </w:r>
      <w:r w:rsidRPr="00623097">
        <w:t>Garcia, J.</w:t>
      </w:r>
      <w:r w:rsidR="00411EA3">
        <w:t xml:space="preserve"> (2016).</w:t>
      </w:r>
      <w:r w:rsidRPr="00623097">
        <w:t xml:space="preserve"> </w:t>
      </w:r>
      <w:r w:rsidR="00D44237" w:rsidRPr="00623097">
        <w:t xml:space="preserve">Ambiente institucional na dinâmica da cotonicultura brasileira. </w:t>
      </w:r>
      <w:r w:rsidR="00D44237" w:rsidRPr="00642416">
        <w:rPr>
          <w:i/>
          <w:iCs/>
        </w:rPr>
        <w:t>Revista de Política Agrícola</w:t>
      </w:r>
      <w:r w:rsidR="00D44237" w:rsidRPr="00623097">
        <w:t xml:space="preserve">, </w:t>
      </w:r>
      <w:r w:rsidR="00D44237" w:rsidRPr="00642416">
        <w:rPr>
          <w:i/>
          <w:iCs/>
        </w:rPr>
        <w:t>25</w:t>
      </w:r>
      <w:r w:rsidR="00642416">
        <w:t>(2), 53-66</w:t>
      </w:r>
      <w:r w:rsidR="00D44237" w:rsidRPr="00623097">
        <w:t>.</w:t>
      </w:r>
    </w:p>
    <w:sectPr w:rsidR="00D44237" w:rsidRPr="00623097" w:rsidSect="002A63B7">
      <w:headerReference w:type="default" r:id="rId13"/>
      <w:footerReference w:type="default" r:id="rId14"/>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0A7FC" w14:textId="77777777" w:rsidR="00205B4D" w:rsidRDefault="00205B4D">
      <w:r>
        <w:separator/>
      </w:r>
    </w:p>
  </w:endnote>
  <w:endnote w:type="continuationSeparator" w:id="0">
    <w:p w14:paraId="6F8825AD" w14:textId="77777777" w:rsidR="00205B4D" w:rsidRDefault="0020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C0FE9" w14:textId="4C2AE1F1" w:rsidR="00547E18" w:rsidRDefault="00547E18">
    <w:pPr>
      <w:pStyle w:val="Rodap"/>
      <w:jc w:val="right"/>
    </w:pPr>
  </w:p>
  <w:p w14:paraId="517B20EE" w14:textId="77777777" w:rsidR="00547E18" w:rsidRDefault="00547E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CE284" w14:textId="77777777" w:rsidR="00205B4D" w:rsidRDefault="00205B4D">
      <w:r>
        <w:separator/>
      </w:r>
    </w:p>
  </w:footnote>
  <w:footnote w:type="continuationSeparator" w:id="0">
    <w:p w14:paraId="03F6D364" w14:textId="77777777" w:rsidR="00205B4D" w:rsidRDefault="0020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456700"/>
      <w:docPartObj>
        <w:docPartGallery w:val="Page Numbers (Top of Page)"/>
        <w:docPartUnique/>
      </w:docPartObj>
    </w:sdtPr>
    <w:sdtEndPr>
      <w:rPr>
        <w:sz w:val="20"/>
        <w:szCs w:val="20"/>
      </w:rPr>
    </w:sdtEndPr>
    <w:sdtContent>
      <w:p w14:paraId="3880033E" w14:textId="4B979B42" w:rsidR="00547E18" w:rsidRPr="005B27F3" w:rsidRDefault="00547E18">
        <w:pPr>
          <w:pStyle w:val="Cabealho"/>
          <w:jc w:val="right"/>
          <w:rPr>
            <w:sz w:val="20"/>
            <w:szCs w:val="20"/>
          </w:rPr>
        </w:pPr>
        <w:r w:rsidRPr="005B27F3">
          <w:rPr>
            <w:sz w:val="20"/>
            <w:szCs w:val="20"/>
          </w:rPr>
          <w:fldChar w:fldCharType="begin"/>
        </w:r>
        <w:r w:rsidRPr="005B27F3">
          <w:rPr>
            <w:sz w:val="20"/>
            <w:szCs w:val="20"/>
          </w:rPr>
          <w:instrText>PAGE   \* MERGEFORMAT</w:instrText>
        </w:r>
        <w:r w:rsidRPr="005B27F3">
          <w:rPr>
            <w:sz w:val="20"/>
            <w:szCs w:val="20"/>
          </w:rPr>
          <w:fldChar w:fldCharType="separate"/>
        </w:r>
        <w:r w:rsidR="00982384">
          <w:rPr>
            <w:noProof/>
            <w:sz w:val="20"/>
            <w:szCs w:val="20"/>
          </w:rPr>
          <w:t>19</w:t>
        </w:r>
        <w:r w:rsidRPr="005B27F3">
          <w:rPr>
            <w:sz w:val="20"/>
            <w:szCs w:val="20"/>
          </w:rPr>
          <w:fldChar w:fldCharType="end"/>
        </w:r>
      </w:p>
    </w:sdtContent>
  </w:sdt>
  <w:p w14:paraId="226BACB2" w14:textId="77777777" w:rsidR="00547E18" w:rsidRDefault="00547E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26FC"/>
    <w:multiLevelType w:val="hybridMultilevel"/>
    <w:tmpl w:val="3746E738"/>
    <w:lvl w:ilvl="0" w:tplc="BD501EE2">
      <w:start w:val="1"/>
      <w:numFmt w:val="lowerLetter"/>
      <w:lvlText w:val="%1)"/>
      <w:lvlJc w:val="left"/>
      <w:pPr>
        <w:ind w:left="1316" w:hanging="675"/>
      </w:pPr>
      <w:rPr>
        <w:rFonts w:eastAsia="Tahoma" w:hint="default"/>
      </w:rPr>
    </w:lvl>
    <w:lvl w:ilvl="1" w:tplc="04160019" w:tentative="1">
      <w:start w:val="1"/>
      <w:numFmt w:val="lowerLetter"/>
      <w:lvlText w:val="%2."/>
      <w:lvlJc w:val="left"/>
      <w:pPr>
        <w:ind w:left="1721" w:hanging="360"/>
      </w:pPr>
    </w:lvl>
    <w:lvl w:ilvl="2" w:tplc="0416001B" w:tentative="1">
      <w:start w:val="1"/>
      <w:numFmt w:val="lowerRoman"/>
      <w:lvlText w:val="%3."/>
      <w:lvlJc w:val="right"/>
      <w:pPr>
        <w:ind w:left="2441" w:hanging="180"/>
      </w:pPr>
    </w:lvl>
    <w:lvl w:ilvl="3" w:tplc="0416000F" w:tentative="1">
      <w:start w:val="1"/>
      <w:numFmt w:val="decimal"/>
      <w:lvlText w:val="%4."/>
      <w:lvlJc w:val="left"/>
      <w:pPr>
        <w:ind w:left="3161" w:hanging="360"/>
      </w:pPr>
    </w:lvl>
    <w:lvl w:ilvl="4" w:tplc="04160019" w:tentative="1">
      <w:start w:val="1"/>
      <w:numFmt w:val="lowerLetter"/>
      <w:lvlText w:val="%5."/>
      <w:lvlJc w:val="left"/>
      <w:pPr>
        <w:ind w:left="3881" w:hanging="360"/>
      </w:pPr>
    </w:lvl>
    <w:lvl w:ilvl="5" w:tplc="0416001B" w:tentative="1">
      <w:start w:val="1"/>
      <w:numFmt w:val="lowerRoman"/>
      <w:lvlText w:val="%6."/>
      <w:lvlJc w:val="right"/>
      <w:pPr>
        <w:ind w:left="4601" w:hanging="180"/>
      </w:pPr>
    </w:lvl>
    <w:lvl w:ilvl="6" w:tplc="0416000F" w:tentative="1">
      <w:start w:val="1"/>
      <w:numFmt w:val="decimal"/>
      <w:lvlText w:val="%7."/>
      <w:lvlJc w:val="left"/>
      <w:pPr>
        <w:ind w:left="5321" w:hanging="360"/>
      </w:pPr>
    </w:lvl>
    <w:lvl w:ilvl="7" w:tplc="04160019" w:tentative="1">
      <w:start w:val="1"/>
      <w:numFmt w:val="lowerLetter"/>
      <w:lvlText w:val="%8."/>
      <w:lvlJc w:val="left"/>
      <w:pPr>
        <w:ind w:left="6041" w:hanging="360"/>
      </w:pPr>
    </w:lvl>
    <w:lvl w:ilvl="8" w:tplc="0416001B" w:tentative="1">
      <w:start w:val="1"/>
      <w:numFmt w:val="lowerRoman"/>
      <w:lvlText w:val="%9."/>
      <w:lvlJc w:val="right"/>
      <w:pPr>
        <w:ind w:left="6761" w:hanging="180"/>
      </w:pPr>
    </w:lvl>
  </w:abstractNum>
  <w:abstractNum w:abstractNumId="1" w15:restartNumberingAfterBreak="0">
    <w:nsid w:val="1C4E067B"/>
    <w:multiLevelType w:val="hybridMultilevel"/>
    <w:tmpl w:val="A74A3076"/>
    <w:lvl w:ilvl="0" w:tplc="BD501EE2">
      <w:start w:val="1"/>
      <w:numFmt w:val="lowerLetter"/>
      <w:lvlText w:val="%1)"/>
      <w:lvlJc w:val="left"/>
      <w:pPr>
        <w:ind w:left="720" w:hanging="360"/>
      </w:pPr>
      <w:rPr>
        <w:rFonts w:eastAsia="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6E4E53"/>
    <w:multiLevelType w:val="hybridMultilevel"/>
    <w:tmpl w:val="89306C24"/>
    <w:lvl w:ilvl="0" w:tplc="ED2A01C0">
      <w:start w:val="1"/>
      <w:numFmt w:val="lowerLetter"/>
      <w:lvlText w:val="%1)"/>
      <w:lvlJc w:val="left"/>
      <w:pPr>
        <w:ind w:left="957" w:hanging="600"/>
      </w:pPr>
      <w:rPr>
        <w:rFonts w:eastAsia="Tahoma"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 w15:restartNumberingAfterBreak="0">
    <w:nsid w:val="252A7091"/>
    <w:multiLevelType w:val="hybridMultilevel"/>
    <w:tmpl w:val="5D40F53E"/>
    <w:lvl w:ilvl="0" w:tplc="28F80E8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27F0127"/>
    <w:multiLevelType w:val="hybridMultilevel"/>
    <w:tmpl w:val="BA20E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8F4569"/>
    <w:multiLevelType w:val="hybridMultilevel"/>
    <w:tmpl w:val="071E6444"/>
    <w:lvl w:ilvl="0" w:tplc="28F80E88">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3B8A682D"/>
    <w:multiLevelType w:val="hybridMultilevel"/>
    <w:tmpl w:val="8398F080"/>
    <w:lvl w:ilvl="0" w:tplc="BD501EE2">
      <w:start w:val="1"/>
      <w:numFmt w:val="lowerLetter"/>
      <w:lvlText w:val="%1)"/>
      <w:lvlJc w:val="left"/>
      <w:pPr>
        <w:ind w:left="720" w:hanging="360"/>
      </w:pPr>
      <w:rPr>
        <w:rFonts w:eastAsia="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442F2"/>
    <w:multiLevelType w:val="hybridMultilevel"/>
    <w:tmpl w:val="E9389C9C"/>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E690583"/>
    <w:multiLevelType w:val="hybridMultilevel"/>
    <w:tmpl w:val="38FA273A"/>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3F04491A"/>
    <w:multiLevelType w:val="multilevel"/>
    <w:tmpl w:val="59F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92376"/>
    <w:multiLevelType w:val="multilevel"/>
    <w:tmpl w:val="4DF2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00F13"/>
    <w:multiLevelType w:val="hybridMultilevel"/>
    <w:tmpl w:val="F992E4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5ABC35DA"/>
    <w:multiLevelType w:val="hybridMultilevel"/>
    <w:tmpl w:val="54C6A67E"/>
    <w:lvl w:ilvl="0" w:tplc="14F08D4A">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6A9E0DE4"/>
    <w:multiLevelType w:val="multilevel"/>
    <w:tmpl w:val="4B56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72294"/>
    <w:multiLevelType w:val="hybridMultilevel"/>
    <w:tmpl w:val="6E82FECC"/>
    <w:lvl w:ilvl="0" w:tplc="14F08D4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0"/>
  </w:num>
  <w:num w:numId="5">
    <w:abstractNumId w:val="14"/>
  </w:num>
  <w:num w:numId="6">
    <w:abstractNumId w:val="8"/>
  </w:num>
  <w:num w:numId="7">
    <w:abstractNumId w:val="2"/>
  </w:num>
  <w:num w:numId="8">
    <w:abstractNumId w:val="4"/>
  </w:num>
  <w:num w:numId="9">
    <w:abstractNumId w:val="1"/>
  </w:num>
  <w:num w:numId="10">
    <w:abstractNumId w:val="6"/>
  </w:num>
  <w:num w:numId="11">
    <w:abstractNumId w:val="9"/>
  </w:num>
  <w:num w:numId="12">
    <w:abstractNumId w:val="10"/>
  </w:num>
  <w:num w:numId="13">
    <w:abstractNumId w:val="13"/>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03"/>
    <w:rsid w:val="000000B3"/>
    <w:rsid w:val="0000204B"/>
    <w:rsid w:val="00006BB7"/>
    <w:rsid w:val="00013FE7"/>
    <w:rsid w:val="00015050"/>
    <w:rsid w:val="0001799F"/>
    <w:rsid w:val="000221F6"/>
    <w:rsid w:val="000251CF"/>
    <w:rsid w:val="00026D30"/>
    <w:rsid w:val="000329AA"/>
    <w:rsid w:val="000458B2"/>
    <w:rsid w:val="0005577B"/>
    <w:rsid w:val="000573D6"/>
    <w:rsid w:val="0006124F"/>
    <w:rsid w:val="00072A22"/>
    <w:rsid w:val="0008026A"/>
    <w:rsid w:val="00082044"/>
    <w:rsid w:val="00087B8E"/>
    <w:rsid w:val="00092C48"/>
    <w:rsid w:val="0009315D"/>
    <w:rsid w:val="0009332A"/>
    <w:rsid w:val="00096FAC"/>
    <w:rsid w:val="000A0F7C"/>
    <w:rsid w:val="000A6609"/>
    <w:rsid w:val="000A6DE1"/>
    <w:rsid w:val="000B53EE"/>
    <w:rsid w:val="000B54A0"/>
    <w:rsid w:val="000C3356"/>
    <w:rsid w:val="000C498A"/>
    <w:rsid w:val="000C4BBB"/>
    <w:rsid w:val="000C5E4F"/>
    <w:rsid w:val="000C6F34"/>
    <w:rsid w:val="000D2CF9"/>
    <w:rsid w:val="000D2D36"/>
    <w:rsid w:val="000D7471"/>
    <w:rsid w:val="000D7902"/>
    <w:rsid w:val="000E1CBC"/>
    <w:rsid w:val="000E363F"/>
    <w:rsid w:val="000E4CD6"/>
    <w:rsid w:val="000E78BD"/>
    <w:rsid w:val="00105888"/>
    <w:rsid w:val="00105FDA"/>
    <w:rsid w:val="0011366B"/>
    <w:rsid w:val="00116141"/>
    <w:rsid w:val="001161AD"/>
    <w:rsid w:val="00117A12"/>
    <w:rsid w:val="00124E50"/>
    <w:rsid w:val="0012767E"/>
    <w:rsid w:val="00131769"/>
    <w:rsid w:val="001343B1"/>
    <w:rsid w:val="001348D4"/>
    <w:rsid w:val="00137D1D"/>
    <w:rsid w:val="00144F27"/>
    <w:rsid w:val="00153273"/>
    <w:rsid w:val="00155C05"/>
    <w:rsid w:val="00162E84"/>
    <w:rsid w:val="00167FFA"/>
    <w:rsid w:val="001807A4"/>
    <w:rsid w:val="00180B25"/>
    <w:rsid w:val="00181587"/>
    <w:rsid w:val="00181D2A"/>
    <w:rsid w:val="00183527"/>
    <w:rsid w:val="00183E76"/>
    <w:rsid w:val="00185BAD"/>
    <w:rsid w:val="00187BBD"/>
    <w:rsid w:val="001911D1"/>
    <w:rsid w:val="00191326"/>
    <w:rsid w:val="00193602"/>
    <w:rsid w:val="00193F77"/>
    <w:rsid w:val="00194FBE"/>
    <w:rsid w:val="001A0DB2"/>
    <w:rsid w:val="001A1BA8"/>
    <w:rsid w:val="001A1DDC"/>
    <w:rsid w:val="001A2320"/>
    <w:rsid w:val="001A33E9"/>
    <w:rsid w:val="001B321F"/>
    <w:rsid w:val="001B3F4F"/>
    <w:rsid w:val="001B60E0"/>
    <w:rsid w:val="001B6F85"/>
    <w:rsid w:val="001C0C9C"/>
    <w:rsid w:val="001C614C"/>
    <w:rsid w:val="001D278A"/>
    <w:rsid w:val="001D6E9E"/>
    <w:rsid w:val="001E0DD4"/>
    <w:rsid w:val="001E424F"/>
    <w:rsid w:val="001E60DA"/>
    <w:rsid w:val="001F4EAB"/>
    <w:rsid w:val="00202A73"/>
    <w:rsid w:val="00205B4D"/>
    <w:rsid w:val="00206CDD"/>
    <w:rsid w:val="00211B52"/>
    <w:rsid w:val="00214593"/>
    <w:rsid w:val="00221817"/>
    <w:rsid w:val="00227F04"/>
    <w:rsid w:val="002316AC"/>
    <w:rsid w:val="0023379A"/>
    <w:rsid w:val="00241D3F"/>
    <w:rsid w:val="00242B78"/>
    <w:rsid w:val="0024435B"/>
    <w:rsid w:val="00244ECF"/>
    <w:rsid w:val="00247797"/>
    <w:rsid w:val="00247F5D"/>
    <w:rsid w:val="0025007B"/>
    <w:rsid w:val="00252611"/>
    <w:rsid w:val="0025303D"/>
    <w:rsid w:val="00261C64"/>
    <w:rsid w:val="00263106"/>
    <w:rsid w:val="00263D8A"/>
    <w:rsid w:val="00264229"/>
    <w:rsid w:val="00271696"/>
    <w:rsid w:val="00272C49"/>
    <w:rsid w:val="002731CC"/>
    <w:rsid w:val="00275C39"/>
    <w:rsid w:val="00285C2C"/>
    <w:rsid w:val="002907AB"/>
    <w:rsid w:val="002939B1"/>
    <w:rsid w:val="002966B3"/>
    <w:rsid w:val="002979A3"/>
    <w:rsid w:val="002A1C1C"/>
    <w:rsid w:val="002A2C1B"/>
    <w:rsid w:val="002A34E2"/>
    <w:rsid w:val="002A61BC"/>
    <w:rsid w:val="002A63B7"/>
    <w:rsid w:val="002B1CA0"/>
    <w:rsid w:val="002B34BE"/>
    <w:rsid w:val="002B43E4"/>
    <w:rsid w:val="002B6F8B"/>
    <w:rsid w:val="002C1221"/>
    <w:rsid w:val="002E04D4"/>
    <w:rsid w:val="002E5004"/>
    <w:rsid w:val="002F11A9"/>
    <w:rsid w:val="002F202C"/>
    <w:rsid w:val="002F680B"/>
    <w:rsid w:val="00304EED"/>
    <w:rsid w:val="00306DA6"/>
    <w:rsid w:val="00310F02"/>
    <w:rsid w:val="0031739C"/>
    <w:rsid w:val="00320BE1"/>
    <w:rsid w:val="00325A65"/>
    <w:rsid w:val="00326651"/>
    <w:rsid w:val="00330932"/>
    <w:rsid w:val="00335E22"/>
    <w:rsid w:val="003374E3"/>
    <w:rsid w:val="0034199C"/>
    <w:rsid w:val="00342028"/>
    <w:rsid w:val="003440E9"/>
    <w:rsid w:val="003451BC"/>
    <w:rsid w:val="00345CF5"/>
    <w:rsid w:val="00347D0B"/>
    <w:rsid w:val="00350045"/>
    <w:rsid w:val="00354237"/>
    <w:rsid w:val="003543ED"/>
    <w:rsid w:val="00357D3A"/>
    <w:rsid w:val="00373043"/>
    <w:rsid w:val="00375C78"/>
    <w:rsid w:val="0037784E"/>
    <w:rsid w:val="00383A60"/>
    <w:rsid w:val="00396905"/>
    <w:rsid w:val="00397062"/>
    <w:rsid w:val="00397147"/>
    <w:rsid w:val="00397601"/>
    <w:rsid w:val="003A00B7"/>
    <w:rsid w:val="003B0D2C"/>
    <w:rsid w:val="003B1E96"/>
    <w:rsid w:val="003B71AC"/>
    <w:rsid w:val="003B7AB2"/>
    <w:rsid w:val="003C1CC7"/>
    <w:rsid w:val="003C45F2"/>
    <w:rsid w:val="003C7D57"/>
    <w:rsid w:val="003D4B85"/>
    <w:rsid w:val="003D4CCE"/>
    <w:rsid w:val="003E1720"/>
    <w:rsid w:val="003E1D2F"/>
    <w:rsid w:val="003F10B5"/>
    <w:rsid w:val="003F3F68"/>
    <w:rsid w:val="0040150F"/>
    <w:rsid w:val="00410265"/>
    <w:rsid w:val="00411003"/>
    <w:rsid w:val="00411EA3"/>
    <w:rsid w:val="00423BCE"/>
    <w:rsid w:val="004314BB"/>
    <w:rsid w:val="00435056"/>
    <w:rsid w:val="00435E42"/>
    <w:rsid w:val="00437DDE"/>
    <w:rsid w:val="0044415C"/>
    <w:rsid w:val="00446B7E"/>
    <w:rsid w:val="004558CF"/>
    <w:rsid w:val="00456D57"/>
    <w:rsid w:val="004577AB"/>
    <w:rsid w:val="00460467"/>
    <w:rsid w:val="00461C68"/>
    <w:rsid w:val="00464A3A"/>
    <w:rsid w:val="004700F9"/>
    <w:rsid w:val="00470966"/>
    <w:rsid w:val="004778FC"/>
    <w:rsid w:val="004812B2"/>
    <w:rsid w:val="00481584"/>
    <w:rsid w:val="0048250A"/>
    <w:rsid w:val="00482AC5"/>
    <w:rsid w:val="00487236"/>
    <w:rsid w:val="00491983"/>
    <w:rsid w:val="004A188D"/>
    <w:rsid w:val="004A22FB"/>
    <w:rsid w:val="004A5E25"/>
    <w:rsid w:val="004B2CDB"/>
    <w:rsid w:val="004B4786"/>
    <w:rsid w:val="004B6444"/>
    <w:rsid w:val="004C09E6"/>
    <w:rsid w:val="004C1125"/>
    <w:rsid w:val="004C15FB"/>
    <w:rsid w:val="004D1A58"/>
    <w:rsid w:val="004D240D"/>
    <w:rsid w:val="004F1CC9"/>
    <w:rsid w:val="004F5A62"/>
    <w:rsid w:val="00506C6A"/>
    <w:rsid w:val="0050768B"/>
    <w:rsid w:val="00510FC8"/>
    <w:rsid w:val="00512912"/>
    <w:rsid w:val="00512DB9"/>
    <w:rsid w:val="00515916"/>
    <w:rsid w:val="005211AC"/>
    <w:rsid w:val="0053253A"/>
    <w:rsid w:val="00537AF9"/>
    <w:rsid w:val="0054324B"/>
    <w:rsid w:val="00545350"/>
    <w:rsid w:val="005477E9"/>
    <w:rsid w:val="00547E18"/>
    <w:rsid w:val="00551D38"/>
    <w:rsid w:val="00551D89"/>
    <w:rsid w:val="00563B3A"/>
    <w:rsid w:val="00573566"/>
    <w:rsid w:val="005778C2"/>
    <w:rsid w:val="005947E1"/>
    <w:rsid w:val="0059490C"/>
    <w:rsid w:val="00594D8E"/>
    <w:rsid w:val="005A2174"/>
    <w:rsid w:val="005A322D"/>
    <w:rsid w:val="005A64D6"/>
    <w:rsid w:val="005A7CAE"/>
    <w:rsid w:val="005B27F3"/>
    <w:rsid w:val="005C137F"/>
    <w:rsid w:val="005C2B97"/>
    <w:rsid w:val="005C4276"/>
    <w:rsid w:val="005D0952"/>
    <w:rsid w:val="005D0BCA"/>
    <w:rsid w:val="005D2330"/>
    <w:rsid w:val="005D32D5"/>
    <w:rsid w:val="005D7E18"/>
    <w:rsid w:val="005E71A7"/>
    <w:rsid w:val="005F2B9E"/>
    <w:rsid w:val="005F3194"/>
    <w:rsid w:val="005F6AAB"/>
    <w:rsid w:val="005F727B"/>
    <w:rsid w:val="006039D7"/>
    <w:rsid w:val="00606A5D"/>
    <w:rsid w:val="00613562"/>
    <w:rsid w:val="00613A4E"/>
    <w:rsid w:val="0061692D"/>
    <w:rsid w:val="0062038C"/>
    <w:rsid w:val="00621A81"/>
    <w:rsid w:val="0062201A"/>
    <w:rsid w:val="00623097"/>
    <w:rsid w:val="00634943"/>
    <w:rsid w:val="006413DD"/>
    <w:rsid w:val="00642416"/>
    <w:rsid w:val="0064444F"/>
    <w:rsid w:val="0064589C"/>
    <w:rsid w:val="006508C3"/>
    <w:rsid w:val="006517BB"/>
    <w:rsid w:val="00651946"/>
    <w:rsid w:val="00656ECD"/>
    <w:rsid w:val="00660DFA"/>
    <w:rsid w:val="0066512D"/>
    <w:rsid w:val="006718B6"/>
    <w:rsid w:val="00672B0F"/>
    <w:rsid w:val="006778AC"/>
    <w:rsid w:val="006779FA"/>
    <w:rsid w:val="00681EF6"/>
    <w:rsid w:val="00696112"/>
    <w:rsid w:val="006A2285"/>
    <w:rsid w:val="006B685E"/>
    <w:rsid w:val="006B79E1"/>
    <w:rsid w:val="006C481E"/>
    <w:rsid w:val="006C4A85"/>
    <w:rsid w:val="006D1F66"/>
    <w:rsid w:val="006D34F5"/>
    <w:rsid w:val="006E6D37"/>
    <w:rsid w:val="006E7F47"/>
    <w:rsid w:val="006F7FE2"/>
    <w:rsid w:val="007004CD"/>
    <w:rsid w:val="00701528"/>
    <w:rsid w:val="00702308"/>
    <w:rsid w:val="007056EC"/>
    <w:rsid w:val="0071203E"/>
    <w:rsid w:val="00713032"/>
    <w:rsid w:val="00722DF0"/>
    <w:rsid w:val="007350D5"/>
    <w:rsid w:val="00735981"/>
    <w:rsid w:val="0074406C"/>
    <w:rsid w:val="00744093"/>
    <w:rsid w:val="00745BFD"/>
    <w:rsid w:val="0076110A"/>
    <w:rsid w:val="00771846"/>
    <w:rsid w:val="00773AD3"/>
    <w:rsid w:val="00777E4E"/>
    <w:rsid w:val="00777FC8"/>
    <w:rsid w:val="00780A41"/>
    <w:rsid w:val="00786234"/>
    <w:rsid w:val="007906E9"/>
    <w:rsid w:val="007A006F"/>
    <w:rsid w:val="007A0A09"/>
    <w:rsid w:val="007A2AFA"/>
    <w:rsid w:val="007A7845"/>
    <w:rsid w:val="007B118A"/>
    <w:rsid w:val="007B609B"/>
    <w:rsid w:val="007C296D"/>
    <w:rsid w:val="007C30BF"/>
    <w:rsid w:val="007C33D4"/>
    <w:rsid w:val="007C4A2F"/>
    <w:rsid w:val="007D1A0B"/>
    <w:rsid w:val="007D360A"/>
    <w:rsid w:val="007D62C1"/>
    <w:rsid w:val="007E604F"/>
    <w:rsid w:val="007E72BF"/>
    <w:rsid w:val="007F1ADF"/>
    <w:rsid w:val="007F46DA"/>
    <w:rsid w:val="007F4D92"/>
    <w:rsid w:val="00800856"/>
    <w:rsid w:val="00800D34"/>
    <w:rsid w:val="008017D4"/>
    <w:rsid w:val="0081401D"/>
    <w:rsid w:val="00815D3B"/>
    <w:rsid w:val="0082302B"/>
    <w:rsid w:val="00824ABF"/>
    <w:rsid w:val="00827C67"/>
    <w:rsid w:val="0083149A"/>
    <w:rsid w:val="008352C8"/>
    <w:rsid w:val="00840B1C"/>
    <w:rsid w:val="00847E04"/>
    <w:rsid w:val="00851D0E"/>
    <w:rsid w:val="008548CF"/>
    <w:rsid w:val="0085723A"/>
    <w:rsid w:val="00871597"/>
    <w:rsid w:val="0087214B"/>
    <w:rsid w:val="00873754"/>
    <w:rsid w:val="00873E6F"/>
    <w:rsid w:val="00883301"/>
    <w:rsid w:val="00887ED0"/>
    <w:rsid w:val="0089129B"/>
    <w:rsid w:val="0089330E"/>
    <w:rsid w:val="00897278"/>
    <w:rsid w:val="008A0D1F"/>
    <w:rsid w:val="008A1170"/>
    <w:rsid w:val="008A17D5"/>
    <w:rsid w:val="008A43A4"/>
    <w:rsid w:val="008A454D"/>
    <w:rsid w:val="008A59D3"/>
    <w:rsid w:val="008B3568"/>
    <w:rsid w:val="008B7412"/>
    <w:rsid w:val="008C4335"/>
    <w:rsid w:val="008C6035"/>
    <w:rsid w:val="008C7818"/>
    <w:rsid w:val="008C7F8E"/>
    <w:rsid w:val="008D0346"/>
    <w:rsid w:val="008D1D0C"/>
    <w:rsid w:val="008D4050"/>
    <w:rsid w:val="008E1D58"/>
    <w:rsid w:val="008E5C81"/>
    <w:rsid w:val="008F0327"/>
    <w:rsid w:val="008F3725"/>
    <w:rsid w:val="008F3C52"/>
    <w:rsid w:val="00901742"/>
    <w:rsid w:val="00901E90"/>
    <w:rsid w:val="0091100A"/>
    <w:rsid w:val="00913DF5"/>
    <w:rsid w:val="0092326A"/>
    <w:rsid w:val="00932991"/>
    <w:rsid w:val="00935C03"/>
    <w:rsid w:val="00937639"/>
    <w:rsid w:val="0094083D"/>
    <w:rsid w:val="0094284E"/>
    <w:rsid w:val="00953BEC"/>
    <w:rsid w:val="0095526C"/>
    <w:rsid w:val="00955F81"/>
    <w:rsid w:val="00966DED"/>
    <w:rsid w:val="00977D6D"/>
    <w:rsid w:val="00982384"/>
    <w:rsid w:val="00983093"/>
    <w:rsid w:val="00983974"/>
    <w:rsid w:val="00984641"/>
    <w:rsid w:val="009910EF"/>
    <w:rsid w:val="009925AF"/>
    <w:rsid w:val="0099651B"/>
    <w:rsid w:val="00997673"/>
    <w:rsid w:val="009A01C9"/>
    <w:rsid w:val="009A01E6"/>
    <w:rsid w:val="009A0686"/>
    <w:rsid w:val="009B34E0"/>
    <w:rsid w:val="009B5E5E"/>
    <w:rsid w:val="009C19A1"/>
    <w:rsid w:val="009C3E26"/>
    <w:rsid w:val="009C413B"/>
    <w:rsid w:val="009C5D83"/>
    <w:rsid w:val="009D4E35"/>
    <w:rsid w:val="009D59F9"/>
    <w:rsid w:val="009D5ED7"/>
    <w:rsid w:val="009D72D9"/>
    <w:rsid w:val="009E3CC4"/>
    <w:rsid w:val="009F47A9"/>
    <w:rsid w:val="00A015D7"/>
    <w:rsid w:val="00A05F81"/>
    <w:rsid w:val="00A1071F"/>
    <w:rsid w:val="00A14D4A"/>
    <w:rsid w:val="00A25444"/>
    <w:rsid w:val="00A26313"/>
    <w:rsid w:val="00A263AD"/>
    <w:rsid w:val="00A27138"/>
    <w:rsid w:val="00A30580"/>
    <w:rsid w:val="00A31165"/>
    <w:rsid w:val="00A315AA"/>
    <w:rsid w:val="00A32913"/>
    <w:rsid w:val="00A36FD6"/>
    <w:rsid w:val="00A43B92"/>
    <w:rsid w:val="00A50C8B"/>
    <w:rsid w:val="00A52C3C"/>
    <w:rsid w:val="00A57AC5"/>
    <w:rsid w:val="00A60D6D"/>
    <w:rsid w:val="00A611D8"/>
    <w:rsid w:val="00A6377B"/>
    <w:rsid w:val="00A64957"/>
    <w:rsid w:val="00A706A3"/>
    <w:rsid w:val="00A7269C"/>
    <w:rsid w:val="00A7649C"/>
    <w:rsid w:val="00A81D50"/>
    <w:rsid w:val="00A825B6"/>
    <w:rsid w:val="00A83CDC"/>
    <w:rsid w:val="00A8496D"/>
    <w:rsid w:val="00A86D86"/>
    <w:rsid w:val="00A87A6D"/>
    <w:rsid w:val="00A9480A"/>
    <w:rsid w:val="00A9682E"/>
    <w:rsid w:val="00A968A3"/>
    <w:rsid w:val="00AA3264"/>
    <w:rsid w:val="00AA3773"/>
    <w:rsid w:val="00AA56B2"/>
    <w:rsid w:val="00AB045C"/>
    <w:rsid w:val="00AB71C8"/>
    <w:rsid w:val="00AC749B"/>
    <w:rsid w:val="00AD3066"/>
    <w:rsid w:val="00AD6A2D"/>
    <w:rsid w:val="00AD7D3C"/>
    <w:rsid w:val="00AE1103"/>
    <w:rsid w:val="00AF2276"/>
    <w:rsid w:val="00AF370F"/>
    <w:rsid w:val="00B04D3D"/>
    <w:rsid w:val="00B052A4"/>
    <w:rsid w:val="00B12932"/>
    <w:rsid w:val="00B12E7D"/>
    <w:rsid w:val="00B2130C"/>
    <w:rsid w:val="00B21522"/>
    <w:rsid w:val="00B33948"/>
    <w:rsid w:val="00B40814"/>
    <w:rsid w:val="00B43391"/>
    <w:rsid w:val="00B5049B"/>
    <w:rsid w:val="00B525FF"/>
    <w:rsid w:val="00B5539D"/>
    <w:rsid w:val="00B56903"/>
    <w:rsid w:val="00B57AC2"/>
    <w:rsid w:val="00B57B16"/>
    <w:rsid w:val="00B7087B"/>
    <w:rsid w:val="00B73EDF"/>
    <w:rsid w:val="00B83B26"/>
    <w:rsid w:val="00B878D6"/>
    <w:rsid w:val="00B87E17"/>
    <w:rsid w:val="00BA0B49"/>
    <w:rsid w:val="00BA1734"/>
    <w:rsid w:val="00BA7CCD"/>
    <w:rsid w:val="00BB2CAE"/>
    <w:rsid w:val="00BB38F8"/>
    <w:rsid w:val="00BC2C1C"/>
    <w:rsid w:val="00BC46AB"/>
    <w:rsid w:val="00BC59F6"/>
    <w:rsid w:val="00BC605A"/>
    <w:rsid w:val="00BC6692"/>
    <w:rsid w:val="00BD08CF"/>
    <w:rsid w:val="00BD2ACA"/>
    <w:rsid w:val="00BD2C0E"/>
    <w:rsid w:val="00BD6D97"/>
    <w:rsid w:val="00BE2742"/>
    <w:rsid w:val="00BE7A42"/>
    <w:rsid w:val="00BF5B6F"/>
    <w:rsid w:val="00BF76C8"/>
    <w:rsid w:val="00C06482"/>
    <w:rsid w:val="00C07438"/>
    <w:rsid w:val="00C1581B"/>
    <w:rsid w:val="00C24808"/>
    <w:rsid w:val="00C2486F"/>
    <w:rsid w:val="00C24D73"/>
    <w:rsid w:val="00C33DD2"/>
    <w:rsid w:val="00C37777"/>
    <w:rsid w:val="00C43071"/>
    <w:rsid w:val="00C4759F"/>
    <w:rsid w:val="00C5161B"/>
    <w:rsid w:val="00C522F9"/>
    <w:rsid w:val="00C60611"/>
    <w:rsid w:val="00C60CF0"/>
    <w:rsid w:val="00C630D9"/>
    <w:rsid w:val="00C75A44"/>
    <w:rsid w:val="00C75F40"/>
    <w:rsid w:val="00C77503"/>
    <w:rsid w:val="00C8299F"/>
    <w:rsid w:val="00C83A44"/>
    <w:rsid w:val="00C85B13"/>
    <w:rsid w:val="00C902A9"/>
    <w:rsid w:val="00C976AB"/>
    <w:rsid w:val="00CA4500"/>
    <w:rsid w:val="00CB23C5"/>
    <w:rsid w:val="00CB686A"/>
    <w:rsid w:val="00CB6A41"/>
    <w:rsid w:val="00CC3210"/>
    <w:rsid w:val="00CC38E6"/>
    <w:rsid w:val="00CC3956"/>
    <w:rsid w:val="00CD6250"/>
    <w:rsid w:val="00CE2696"/>
    <w:rsid w:val="00CE48B4"/>
    <w:rsid w:val="00CF1320"/>
    <w:rsid w:val="00CF6018"/>
    <w:rsid w:val="00D01673"/>
    <w:rsid w:val="00D05045"/>
    <w:rsid w:val="00D05E4B"/>
    <w:rsid w:val="00D07CED"/>
    <w:rsid w:val="00D135FF"/>
    <w:rsid w:val="00D13F2E"/>
    <w:rsid w:val="00D14D51"/>
    <w:rsid w:val="00D2211C"/>
    <w:rsid w:val="00D2462A"/>
    <w:rsid w:val="00D26EFB"/>
    <w:rsid w:val="00D313A3"/>
    <w:rsid w:val="00D37E2B"/>
    <w:rsid w:val="00D41D6F"/>
    <w:rsid w:val="00D44237"/>
    <w:rsid w:val="00D4703F"/>
    <w:rsid w:val="00D4730F"/>
    <w:rsid w:val="00D5078A"/>
    <w:rsid w:val="00D5194E"/>
    <w:rsid w:val="00D563F4"/>
    <w:rsid w:val="00D602C8"/>
    <w:rsid w:val="00D62E5C"/>
    <w:rsid w:val="00D64246"/>
    <w:rsid w:val="00D670F1"/>
    <w:rsid w:val="00D74978"/>
    <w:rsid w:val="00D75E76"/>
    <w:rsid w:val="00D809E8"/>
    <w:rsid w:val="00D8199A"/>
    <w:rsid w:val="00D8266D"/>
    <w:rsid w:val="00D8380B"/>
    <w:rsid w:val="00D84A25"/>
    <w:rsid w:val="00D86C09"/>
    <w:rsid w:val="00D86C59"/>
    <w:rsid w:val="00DA01D6"/>
    <w:rsid w:val="00DA178F"/>
    <w:rsid w:val="00DB03BE"/>
    <w:rsid w:val="00DB15F3"/>
    <w:rsid w:val="00DB248E"/>
    <w:rsid w:val="00DB43FE"/>
    <w:rsid w:val="00DB53F6"/>
    <w:rsid w:val="00DB5914"/>
    <w:rsid w:val="00DB72F3"/>
    <w:rsid w:val="00DC71A5"/>
    <w:rsid w:val="00DD0E78"/>
    <w:rsid w:val="00DD4B1A"/>
    <w:rsid w:val="00DE20E9"/>
    <w:rsid w:val="00DF1320"/>
    <w:rsid w:val="00DF17B0"/>
    <w:rsid w:val="00DF5ACA"/>
    <w:rsid w:val="00E014B1"/>
    <w:rsid w:val="00E11093"/>
    <w:rsid w:val="00E15752"/>
    <w:rsid w:val="00E16222"/>
    <w:rsid w:val="00E252FF"/>
    <w:rsid w:val="00E27BF4"/>
    <w:rsid w:val="00E30B66"/>
    <w:rsid w:val="00E31EA3"/>
    <w:rsid w:val="00E35795"/>
    <w:rsid w:val="00E35D98"/>
    <w:rsid w:val="00E4085D"/>
    <w:rsid w:val="00E45988"/>
    <w:rsid w:val="00E5027F"/>
    <w:rsid w:val="00E63B8C"/>
    <w:rsid w:val="00E74ABF"/>
    <w:rsid w:val="00E808C1"/>
    <w:rsid w:val="00E81B18"/>
    <w:rsid w:val="00E86360"/>
    <w:rsid w:val="00E87DFD"/>
    <w:rsid w:val="00E97805"/>
    <w:rsid w:val="00EA10AD"/>
    <w:rsid w:val="00EA3D26"/>
    <w:rsid w:val="00EA5743"/>
    <w:rsid w:val="00EC4D05"/>
    <w:rsid w:val="00ED1B8B"/>
    <w:rsid w:val="00EE5796"/>
    <w:rsid w:val="00EE58B3"/>
    <w:rsid w:val="00EE5C78"/>
    <w:rsid w:val="00EE60D6"/>
    <w:rsid w:val="00EF025C"/>
    <w:rsid w:val="00EF4A3E"/>
    <w:rsid w:val="00EF6C08"/>
    <w:rsid w:val="00F04554"/>
    <w:rsid w:val="00F149A4"/>
    <w:rsid w:val="00F14C81"/>
    <w:rsid w:val="00F21069"/>
    <w:rsid w:val="00F314EE"/>
    <w:rsid w:val="00F42C50"/>
    <w:rsid w:val="00F56528"/>
    <w:rsid w:val="00F56C4A"/>
    <w:rsid w:val="00F61950"/>
    <w:rsid w:val="00F64C1A"/>
    <w:rsid w:val="00F663DF"/>
    <w:rsid w:val="00F74D2A"/>
    <w:rsid w:val="00F770E9"/>
    <w:rsid w:val="00F85BDC"/>
    <w:rsid w:val="00F92DC7"/>
    <w:rsid w:val="00FA0DE1"/>
    <w:rsid w:val="00FA1114"/>
    <w:rsid w:val="00FA4040"/>
    <w:rsid w:val="00FB1BC7"/>
    <w:rsid w:val="00FB2F03"/>
    <w:rsid w:val="00FB4A82"/>
    <w:rsid w:val="00FB4FF4"/>
    <w:rsid w:val="00FC1384"/>
    <w:rsid w:val="00FC5CE7"/>
    <w:rsid w:val="00FC76D4"/>
    <w:rsid w:val="00FE19EE"/>
    <w:rsid w:val="00FE6284"/>
    <w:rsid w:val="00FF1ABE"/>
    <w:rsid w:val="00FF2398"/>
    <w:rsid w:val="00FF2785"/>
    <w:rsid w:val="00FF78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F6398"/>
  <w15:docId w15:val="{CA0CD2AF-F12D-4480-901D-E5DD3263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rsid w:val="00C976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qFormat/>
    <w:rsid w:val="00411003"/>
    <w:pPr>
      <w:spacing w:before="100" w:beforeAutospacing="1" w:after="100" w:afterAutospacing="1"/>
      <w:outlineLvl w:val="1"/>
    </w:pPr>
    <w:rPr>
      <w:b/>
      <w:bCs/>
      <w:sz w:val="36"/>
      <w:szCs w:val="36"/>
    </w:rPr>
  </w:style>
  <w:style w:type="paragraph" w:styleId="Ttulo3">
    <w:name w:val="heading 3"/>
    <w:basedOn w:val="Normal"/>
    <w:next w:val="Normal"/>
    <w:link w:val="Ttulo3Char"/>
    <w:semiHidden/>
    <w:unhideWhenUsed/>
    <w:qFormat/>
    <w:rsid w:val="00B73EDF"/>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11003"/>
    <w:pPr>
      <w:tabs>
        <w:tab w:val="center" w:pos="4252"/>
        <w:tab w:val="right" w:pos="8504"/>
      </w:tabs>
    </w:pPr>
  </w:style>
  <w:style w:type="paragraph" w:styleId="Rodap">
    <w:name w:val="footer"/>
    <w:basedOn w:val="Normal"/>
    <w:link w:val="RodapChar"/>
    <w:uiPriority w:val="99"/>
    <w:rsid w:val="00411003"/>
    <w:pPr>
      <w:tabs>
        <w:tab w:val="center" w:pos="4252"/>
        <w:tab w:val="right" w:pos="8504"/>
      </w:tabs>
    </w:pPr>
  </w:style>
  <w:style w:type="character" w:customStyle="1" w:styleId="titulos1">
    <w:name w:val="titulos1"/>
    <w:rsid w:val="00411003"/>
    <w:rPr>
      <w:rFonts w:ascii="Arial" w:hAnsi="Arial" w:cs="Arial" w:hint="default"/>
      <w:b/>
      <w:bCs/>
      <w:color w:val="1D365F"/>
      <w:sz w:val="27"/>
      <w:szCs w:val="27"/>
    </w:rPr>
  </w:style>
  <w:style w:type="paragraph" w:styleId="NormalWeb">
    <w:name w:val="Normal (Web)"/>
    <w:basedOn w:val="Normal"/>
    <w:rsid w:val="00411003"/>
    <w:pPr>
      <w:spacing w:before="100" w:beforeAutospacing="1" w:after="100" w:afterAutospacing="1"/>
    </w:pPr>
    <w:rPr>
      <w:rFonts w:ascii="Tahoma" w:hAnsi="Tahoma" w:cs="Tahoma"/>
      <w:sz w:val="17"/>
      <w:szCs w:val="17"/>
    </w:rPr>
  </w:style>
  <w:style w:type="paragraph" w:styleId="Corpodetexto">
    <w:name w:val="Body Text"/>
    <w:basedOn w:val="Normal"/>
    <w:link w:val="CorpodetextoChar"/>
    <w:rsid w:val="00411003"/>
    <w:pPr>
      <w:spacing w:before="100" w:beforeAutospacing="1" w:after="100" w:afterAutospacing="1"/>
    </w:pPr>
    <w:rPr>
      <w:rFonts w:ascii="Tahoma" w:hAnsi="Tahoma" w:cs="Tahoma"/>
      <w:sz w:val="17"/>
      <w:szCs w:val="17"/>
    </w:rPr>
  </w:style>
  <w:style w:type="paragraph" w:styleId="Lista">
    <w:name w:val="List"/>
    <w:basedOn w:val="Normal"/>
    <w:rsid w:val="00411003"/>
    <w:pPr>
      <w:spacing w:before="100" w:beforeAutospacing="1" w:after="100" w:afterAutospacing="1"/>
    </w:pPr>
    <w:rPr>
      <w:rFonts w:ascii="Tahoma" w:hAnsi="Tahoma" w:cs="Tahoma"/>
      <w:sz w:val="17"/>
      <w:szCs w:val="17"/>
    </w:rPr>
  </w:style>
  <w:style w:type="paragraph" w:customStyle="1" w:styleId="msolistcxspmiddle">
    <w:name w:val="msolistcxspmiddle"/>
    <w:basedOn w:val="Normal"/>
    <w:rsid w:val="00411003"/>
    <w:pPr>
      <w:spacing w:before="100" w:beforeAutospacing="1" w:after="100" w:afterAutospacing="1"/>
    </w:pPr>
    <w:rPr>
      <w:rFonts w:ascii="Tahoma" w:hAnsi="Tahoma" w:cs="Tahoma"/>
      <w:sz w:val="17"/>
      <w:szCs w:val="17"/>
    </w:rPr>
  </w:style>
  <w:style w:type="paragraph" w:customStyle="1" w:styleId="msolistcxsplast">
    <w:name w:val="msolistcxsplast"/>
    <w:basedOn w:val="Normal"/>
    <w:rsid w:val="00411003"/>
    <w:pPr>
      <w:spacing w:before="100" w:beforeAutospacing="1" w:after="100" w:afterAutospacing="1"/>
    </w:pPr>
    <w:rPr>
      <w:rFonts w:ascii="Tahoma" w:hAnsi="Tahoma" w:cs="Tahoma"/>
      <w:sz w:val="17"/>
      <w:szCs w:val="17"/>
    </w:rPr>
  </w:style>
  <w:style w:type="paragraph" w:customStyle="1" w:styleId="alnea">
    <w:name w:val="alnea"/>
    <w:basedOn w:val="Normal"/>
    <w:rsid w:val="00411003"/>
    <w:pPr>
      <w:spacing w:before="100" w:beforeAutospacing="1" w:after="100" w:afterAutospacing="1"/>
    </w:pPr>
    <w:rPr>
      <w:rFonts w:ascii="Tahoma" w:hAnsi="Tahoma" w:cs="Tahoma"/>
      <w:sz w:val="17"/>
      <w:szCs w:val="17"/>
    </w:rPr>
  </w:style>
  <w:style w:type="paragraph" w:customStyle="1" w:styleId="alneacxspmiddle">
    <w:name w:val="alneacxspmiddle"/>
    <w:basedOn w:val="Normal"/>
    <w:rsid w:val="00411003"/>
    <w:pPr>
      <w:spacing w:before="100" w:beforeAutospacing="1" w:after="100" w:afterAutospacing="1"/>
    </w:pPr>
    <w:rPr>
      <w:rFonts w:ascii="Tahoma" w:hAnsi="Tahoma" w:cs="Tahoma"/>
      <w:sz w:val="17"/>
      <w:szCs w:val="17"/>
    </w:rPr>
  </w:style>
  <w:style w:type="paragraph" w:customStyle="1" w:styleId="alneacxsplast">
    <w:name w:val="alneacxsplast"/>
    <w:basedOn w:val="Normal"/>
    <w:rsid w:val="00411003"/>
    <w:pPr>
      <w:spacing w:before="100" w:beforeAutospacing="1" w:after="100" w:afterAutospacing="1"/>
    </w:pPr>
    <w:rPr>
      <w:rFonts w:ascii="Tahoma" w:hAnsi="Tahoma" w:cs="Tahoma"/>
      <w:sz w:val="17"/>
      <w:szCs w:val="17"/>
    </w:rPr>
  </w:style>
  <w:style w:type="paragraph" w:customStyle="1" w:styleId="figura">
    <w:name w:val="figura"/>
    <w:basedOn w:val="Normal"/>
    <w:rsid w:val="00411003"/>
    <w:pPr>
      <w:spacing w:before="100" w:beforeAutospacing="1" w:after="100" w:afterAutospacing="1"/>
    </w:pPr>
    <w:rPr>
      <w:rFonts w:ascii="Tahoma" w:hAnsi="Tahoma" w:cs="Tahoma"/>
      <w:sz w:val="17"/>
      <w:szCs w:val="17"/>
    </w:rPr>
  </w:style>
  <w:style w:type="paragraph" w:styleId="Legenda">
    <w:name w:val="caption"/>
    <w:basedOn w:val="Normal"/>
    <w:qFormat/>
    <w:rsid w:val="00411003"/>
    <w:pPr>
      <w:spacing w:before="100" w:beforeAutospacing="1" w:after="100" w:afterAutospacing="1"/>
    </w:pPr>
    <w:rPr>
      <w:rFonts w:ascii="Tahoma" w:hAnsi="Tahoma" w:cs="Tahoma"/>
      <w:sz w:val="17"/>
      <w:szCs w:val="17"/>
    </w:rPr>
  </w:style>
  <w:style w:type="paragraph" w:customStyle="1" w:styleId="tabelaespaamento">
    <w:name w:val="tabelaespaamento"/>
    <w:basedOn w:val="Normal"/>
    <w:rsid w:val="00411003"/>
    <w:pPr>
      <w:spacing w:before="100" w:beforeAutospacing="1" w:after="100" w:afterAutospacing="1"/>
    </w:pPr>
    <w:rPr>
      <w:rFonts w:ascii="Tahoma" w:hAnsi="Tahoma" w:cs="Tahoma"/>
      <w:sz w:val="17"/>
      <w:szCs w:val="17"/>
    </w:rPr>
  </w:style>
  <w:style w:type="character" w:styleId="Forte">
    <w:name w:val="Strong"/>
    <w:uiPriority w:val="22"/>
    <w:qFormat/>
    <w:rsid w:val="00411003"/>
    <w:rPr>
      <w:b/>
      <w:bCs/>
    </w:rPr>
  </w:style>
  <w:style w:type="paragraph" w:customStyle="1" w:styleId="tabelacabealho">
    <w:name w:val="tabelacabealho"/>
    <w:basedOn w:val="Normal"/>
    <w:rsid w:val="00411003"/>
    <w:pPr>
      <w:spacing w:before="100" w:beforeAutospacing="1" w:after="100" w:afterAutospacing="1"/>
    </w:pPr>
    <w:rPr>
      <w:rFonts w:ascii="Tahoma" w:hAnsi="Tahoma" w:cs="Tahoma"/>
      <w:sz w:val="17"/>
      <w:szCs w:val="17"/>
    </w:rPr>
  </w:style>
  <w:style w:type="paragraph" w:customStyle="1" w:styleId="tabelacorpo">
    <w:name w:val="tabelacorpo"/>
    <w:basedOn w:val="Normal"/>
    <w:rsid w:val="00411003"/>
    <w:pPr>
      <w:spacing w:before="100" w:beforeAutospacing="1" w:after="100" w:afterAutospacing="1"/>
    </w:pPr>
    <w:rPr>
      <w:rFonts w:ascii="Tahoma" w:hAnsi="Tahoma" w:cs="Tahoma"/>
      <w:sz w:val="17"/>
      <w:szCs w:val="17"/>
    </w:rPr>
  </w:style>
  <w:style w:type="paragraph" w:customStyle="1" w:styleId="bibliografia">
    <w:name w:val="bibliografia"/>
    <w:basedOn w:val="Normal"/>
    <w:rsid w:val="00411003"/>
    <w:pPr>
      <w:spacing w:before="100" w:beforeAutospacing="1" w:after="100" w:afterAutospacing="1"/>
    </w:pPr>
    <w:rPr>
      <w:rFonts w:ascii="Tahoma" w:hAnsi="Tahoma" w:cs="Tahoma"/>
      <w:sz w:val="17"/>
      <w:szCs w:val="17"/>
    </w:rPr>
  </w:style>
  <w:style w:type="character" w:styleId="Refdecomentrio">
    <w:name w:val="annotation reference"/>
    <w:rsid w:val="00272C49"/>
    <w:rPr>
      <w:sz w:val="16"/>
      <w:szCs w:val="16"/>
    </w:rPr>
  </w:style>
  <w:style w:type="paragraph" w:styleId="Textodecomentrio">
    <w:name w:val="annotation text"/>
    <w:basedOn w:val="Normal"/>
    <w:link w:val="TextodecomentrioChar"/>
    <w:rsid w:val="00272C49"/>
    <w:rPr>
      <w:sz w:val="20"/>
      <w:szCs w:val="20"/>
    </w:rPr>
  </w:style>
  <w:style w:type="character" w:customStyle="1" w:styleId="TextodecomentrioChar">
    <w:name w:val="Texto de comentário Char"/>
    <w:basedOn w:val="Fontepargpadro"/>
    <w:link w:val="Textodecomentrio"/>
    <w:rsid w:val="00272C49"/>
  </w:style>
  <w:style w:type="paragraph" w:styleId="Assuntodocomentrio">
    <w:name w:val="annotation subject"/>
    <w:basedOn w:val="Textodecomentrio"/>
    <w:next w:val="Textodecomentrio"/>
    <w:link w:val="AssuntodocomentrioChar"/>
    <w:rsid w:val="00272C49"/>
    <w:rPr>
      <w:b/>
      <w:bCs/>
    </w:rPr>
  </w:style>
  <w:style w:type="character" w:customStyle="1" w:styleId="AssuntodocomentrioChar">
    <w:name w:val="Assunto do comentário Char"/>
    <w:link w:val="Assuntodocomentrio"/>
    <w:rsid w:val="00272C49"/>
    <w:rPr>
      <w:b/>
      <w:bCs/>
    </w:rPr>
  </w:style>
  <w:style w:type="paragraph" w:styleId="Textodebalo">
    <w:name w:val="Balloon Text"/>
    <w:basedOn w:val="Normal"/>
    <w:link w:val="TextodebaloChar"/>
    <w:rsid w:val="00272C49"/>
    <w:rPr>
      <w:rFonts w:ascii="Tahoma" w:hAnsi="Tahoma" w:cs="Tahoma"/>
      <w:sz w:val="16"/>
      <w:szCs w:val="16"/>
    </w:rPr>
  </w:style>
  <w:style w:type="character" w:customStyle="1" w:styleId="TextodebaloChar">
    <w:name w:val="Texto de balão Char"/>
    <w:link w:val="Textodebalo"/>
    <w:rsid w:val="00272C49"/>
    <w:rPr>
      <w:rFonts w:ascii="Tahoma" w:hAnsi="Tahoma" w:cs="Tahoma"/>
      <w:sz w:val="16"/>
      <w:szCs w:val="16"/>
    </w:rPr>
  </w:style>
  <w:style w:type="character" w:customStyle="1" w:styleId="apple-converted-space">
    <w:name w:val="apple-converted-space"/>
    <w:rsid w:val="00BD2ACA"/>
  </w:style>
  <w:style w:type="character" w:customStyle="1" w:styleId="CabealhoChar">
    <w:name w:val="Cabeçalho Char"/>
    <w:link w:val="Cabealho"/>
    <w:uiPriority w:val="99"/>
    <w:rsid w:val="00187BBD"/>
    <w:rPr>
      <w:sz w:val="24"/>
      <w:szCs w:val="24"/>
    </w:rPr>
  </w:style>
  <w:style w:type="character" w:customStyle="1" w:styleId="RodapChar">
    <w:name w:val="Rodapé Char"/>
    <w:link w:val="Rodap"/>
    <w:uiPriority w:val="99"/>
    <w:rsid w:val="00187BBD"/>
    <w:rPr>
      <w:sz w:val="24"/>
      <w:szCs w:val="24"/>
    </w:rPr>
  </w:style>
  <w:style w:type="paragraph" w:customStyle="1" w:styleId="TextodoArtigo">
    <w:name w:val="Texto do Artigo"/>
    <w:basedOn w:val="Normal"/>
    <w:rsid w:val="00FF1ABE"/>
    <w:pPr>
      <w:autoSpaceDE w:val="0"/>
      <w:autoSpaceDN w:val="0"/>
      <w:adjustRightInd w:val="0"/>
      <w:ind w:firstLine="340"/>
      <w:jc w:val="both"/>
    </w:pPr>
    <w:rPr>
      <w:color w:val="000000"/>
      <w:sz w:val="20"/>
      <w:szCs w:val="20"/>
    </w:rPr>
  </w:style>
  <w:style w:type="paragraph" w:customStyle="1" w:styleId="TextoCorrido">
    <w:name w:val="Texto Corrido"/>
    <w:basedOn w:val="Corpodetexto"/>
    <w:link w:val="TextoCorridoChar"/>
    <w:qFormat/>
    <w:rsid w:val="00CC3956"/>
    <w:pPr>
      <w:spacing w:before="0" w:beforeAutospacing="0" w:after="120" w:afterAutospacing="0"/>
      <w:jc w:val="both"/>
    </w:pPr>
    <w:rPr>
      <w:rFonts w:ascii="Times New Roman" w:hAnsi="Times New Roman" w:cs="Times New Roman"/>
      <w:sz w:val="24"/>
      <w:szCs w:val="24"/>
    </w:rPr>
  </w:style>
  <w:style w:type="table" w:styleId="Tabelacomgrade">
    <w:name w:val="Table Grid"/>
    <w:basedOn w:val="Tabelanormal"/>
    <w:uiPriority w:val="39"/>
    <w:rsid w:val="00563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rsid w:val="00CC3956"/>
    <w:rPr>
      <w:rFonts w:ascii="Tahoma" w:hAnsi="Tahoma" w:cs="Tahoma"/>
      <w:sz w:val="17"/>
      <w:szCs w:val="17"/>
    </w:rPr>
  </w:style>
  <w:style w:type="character" w:customStyle="1" w:styleId="TextoCorridoChar">
    <w:name w:val="Texto Corrido Char"/>
    <w:basedOn w:val="CorpodetextoChar"/>
    <w:link w:val="TextoCorrido"/>
    <w:rsid w:val="00CC3956"/>
    <w:rPr>
      <w:rFonts w:ascii="Tahoma" w:hAnsi="Tahoma" w:cs="Tahoma"/>
      <w:sz w:val="24"/>
      <w:szCs w:val="24"/>
    </w:rPr>
  </w:style>
  <w:style w:type="character" w:styleId="Hyperlink">
    <w:name w:val="Hyperlink"/>
    <w:basedOn w:val="Fontepargpadro"/>
    <w:uiPriority w:val="99"/>
    <w:unhideWhenUsed/>
    <w:rsid w:val="00AA3773"/>
    <w:rPr>
      <w:color w:val="0000FF"/>
      <w:u w:val="single"/>
    </w:rPr>
  </w:style>
  <w:style w:type="character" w:customStyle="1" w:styleId="MenoPendente1">
    <w:name w:val="Menção Pendente1"/>
    <w:basedOn w:val="Fontepargpadro"/>
    <w:uiPriority w:val="99"/>
    <w:semiHidden/>
    <w:unhideWhenUsed/>
    <w:rsid w:val="00AA3773"/>
    <w:rPr>
      <w:color w:val="605E5C"/>
      <w:shd w:val="clear" w:color="auto" w:fill="E1DFDD"/>
    </w:rPr>
  </w:style>
  <w:style w:type="character" w:customStyle="1" w:styleId="Ttulo1Char">
    <w:name w:val="Título 1 Char"/>
    <w:basedOn w:val="Fontepargpadro"/>
    <w:link w:val="Ttulo1"/>
    <w:rsid w:val="00C976AB"/>
    <w:rPr>
      <w:rFonts w:asciiTheme="majorHAnsi" w:eastAsiaTheme="majorEastAsia" w:hAnsiTheme="majorHAnsi" w:cstheme="majorBidi"/>
      <w:color w:val="365F91" w:themeColor="accent1" w:themeShade="BF"/>
      <w:sz w:val="32"/>
      <w:szCs w:val="32"/>
    </w:rPr>
  </w:style>
  <w:style w:type="paragraph" w:styleId="Pr-formataoHTML">
    <w:name w:val="HTML Preformatted"/>
    <w:basedOn w:val="Normal"/>
    <w:link w:val="Pr-formataoHTMLChar"/>
    <w:uiPriority w:val="99"/>
    <w:semiHidden/>
    <w:unhideWhenUsed/>
    <w:rsid w:val="008F3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8F3C52"/>
    <w:rPr>
      <w:rFonts w:ascii="Courier New" w:hAnsi="Courier New" w:cs="Courier New"/>
    </w:rPr>
  </w:style>
  <w:style w:type="character" w:customStyle="1" w:styleId="st">
    <w:name w:val="st"/>
    <w:basedOn w:val="Fontepargpadro"/>
    <w:rsid w:val="00D670F1"/>
  </w:style>
  <w:style w:type="character" w:customStyle="1" w:styleId="Ttulo3Char">
    <w:name w:val="Título 3 Char"/>
    <w:basedOn w:val="Fontepargpadro"/>
    <w:link w:val="Ttulo3"/>
    <w:semiHidden/>
    <w:rsid w:val="00B73EDF"/>
    <w:rPr>
      <w:rFonts w:asciiTheme="majorHAnsi" w:eastAsiaTheme="majorEastAsia" w:hAnsiTheme="majorHAnsi" w:cstheme="majorBidi"/>
      <w:color w:val="243F60" w:themeColor="accent1" w:themeShade="7F"/>
      <w:sz w:val="24"/>
      <w:szCs w:val="24"/>
    </w:rPr>
  </w:style>
  <w:style w:type="character" w:customStyle="1" w:styleId="blocktitle">
    <w:name w:val="blocktitle"/>
    <w:basedOn w:val="Fontepargpadro"/>
    <w:rsid w:val="00B73EDF"/>
  </w:style>
  <w:style w:type="paragraph" w:styleId="Partesuperior-zdoformulrio">
    <w:name w:val="HTML Top of Form"/>
    <w:basedOn w:val="Normal"/>
    <w:next w:val="Normal"/>
    <w:link w:val="Partesuperior-zdoformulrioChar"/>
    <w:hidden/>
    <w:uiPriority w:val="99"/>
    <w:semiHidden/>
    <w:unhideWhenUsed/>
    <w:rsid w:val="00B73EDF"/>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B73EDF"/>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B73EDF"/>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B73EDF"/>
    <w:rPr>
      <w:rFonts w:ascii="Arial" w:hAnsi="Arial" w:cs="Arial"/>
      <w:vanish/>
      <w:sz w:val="16"/>
      <w:szCs w:val="16"/>
    </w:rPr>
  </w:style>
  <w:style w:type="character" w:customStyle="1" w:styleId="blocksubtitle">
    <w:name w:val="blocksubtitle"/>
    <w:basedOn w:val="Fontepargpadro"/>
    <w:rsid w:val="00B73EDF"/>
  </w:style>
  <w:style w:type="paragraph" w:customStyle="1" w:styleId="navitem">
    <w:name w:val="navitem"/>
    <w:basedOn w:val="Normal"/>
    <w:rsid w:val="00B73EDF"/>
    <w:pPr>
      <w:spacing w:before="100" w:beforeAutospacing="1" w:after="100" w:afterAutospacing="1"/>
    </w:pPr>
  </w:style>
  <w:style w:type="character" w:styleId="nfase">
    <w:name w:val="Emphasis"/>
    <w:basedOn w:val="Fontepargpadro"/>
    <w:uiPriority w:val="20"/>
    <w:qFormat/>
    <w:rsid w:val="00B73EDF"/>
    <w:rPr>
      <w:i/>
      <w:iCs/>
    </w:rPr>
  </w:style>
  <w:style w:type="paragraph" w:styleId="PargrafodaLista">
    <w:name w:val="List Paragraph"/>
    <w:basedOn w:val="Normal"/>
    <w:uiPriority w:val="34"/>
    <w:qFormat/>
    <w:rsid w:val="00A7269C"/>
    <w:pPr>
      <w:ind w:left="720"/>
      <w:contextualSpacing/>
    </w:pPr>
  </w:style>
  <w:style w:type="character" w:customStyle="1" w:styleId="MenoPendente2">
    <w:name w:val="Menção Pendente2"/>
    <w:basedOn w:val="Fontepargpadro"/>
    <w:uiPriority w:val="99"/>
    <w:semiHidden/>
    <w:unhideWhenUsed/>
    <w:rsid w:val="00642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4852">
      <w:bodyDiv w:val="1"/>
      <w:marLeft w:val="0"/>
      <w:marRight w:val="0"/>
      <w:marTop w:val="0"/>
      <w:marBottom w:val="0"/>
      <w:divBdr>
        <w:top w:val="none" w:sz="0" w:space="0" w:color="auto"/>
        <w:left w:val="none" w:sz="0" w:space="0" w:color="auto"/>
        <w:bottom w:val="none" w:sz="0" w:space="0" w:color="auto"/>
        <w:right w:val="none" w:sz="0" w:space="0" w:color="auto"/>
      </w:divBdr>
    </w:div>
    <w:div w:id="392775051">
      <w:bodyDiv w:val="1"/>
      <w:marLeft w:val="0"/>
      <w:marRight w:val="0"/>
      <w:marTop w:val="0"/>
      <w:marBottom w:val="0"/>
      <w:divBdr>
        <w:top w:val="none" w:sz="0" w:space="0" w:color="auto"/>
        <w:left w:val="none" w:sz="0" w:space="0" w:color="auto"/>
        <w:bottom w:val="none" w:sz="0" w:space="0" w:color="auto"/>
        <w:right w:val="none" w:sz="0" w:space="0" w:color="auto"/>
      </w:divBdr>
    </w:div>
    <w:div w:id="1973752720">
      <w:bodyDiv w:val="1"/>
      <w:marLeft w:val="0"/>
      <w:marRight w:val="0"/>
      <w:marTop w:val="0"/>
      <w:marBottom w:val="0"/>
      <w:divBdr>
        <w:top w:val="none" w:sz="0" w:space="0" w:color="auto"/>
        <w:left w:val="none" w:sz="0" w:space="0" w:color="auto"/>
        <w:bottom w:val="none" w:sz="0" w:space="0" w:color="auto"/>
        <w:right w:val="none" w:sz="0" w:space="0" w:color="auto"/>
      </w:divBdr>
    </w:div>
    <w:div w:id="2127387037">
      <w:bodyDiv w:val="1"/>
      <w:marLeft w:val="0"/>
      <w:marRight w:val="0"/>
      <w:marTop w:val="0"/>
      <w:marBottom w:val="0"/>
      <w:divBdr>
        <w:top w:val="none" w:sz="0" w:space="0" w:color="auto"/>
        <w:left w:val="none" w:sz="0" w:space="0" w:color="auto"/>
        <w:bottom w:val="none" w:sz="0" w:space="0" w:color="auto"/>
        <w:right w:val="none" w:sz="0" w:space="0" w:color="auto"/>
      </w:divBdr>
      <w:divsChild>
        <w:div w:id="1339456259">
          <w:marLeft w:val="0"/>
          <w:marRight w:val="0"/>
          <w:marTop w:val="0"/>
          <w:marBottom w:val="0"/>
          <w:divBdr>
            <w:top w:val="none" w:sz="0" w:space="0" w:color="auto"/>
            <w:left w:val="none" w:sz="0" w:space="0" w:color="auto"/>
            <w:bottom w:val="none" w:sz="0" w:space="0" w:color="auto"/>
            <w:right w:val="none" w:sz="0" w:space="0" w:color="auto"/>
          </w:divBdr>
          <w:divsChild>
            <w:div w:id="1516731134">
              <w:marLeft w:val="0"/>
              <w:marRight w:val="0"/>
              <w:marTop w:val="0"/>
              <w:marBottom w:val="0"/>
              <w:divBdr>
                <w:top w:val="none" w:sz="0" w:space="0" w:color="auto"/>
                <w:left w:val="none" w:sz="0" w:space="0" w:color="auto"/>
                <w:bottom w:val="none" w:sz="0" w:space="0" w:color="auto"/>
                <w:right w:val="none" w:sz="0" w:space="0" w:color="auto"/>
              </w:divBdr>
              <w:divsChild>
                <w:div w:id="663052744">
                  <w:marLeft w:val="0"/>
                  <w:marRight w:val="0"/>
                  <w:marTop w:val="0"/>
                  <w:marBottom w:val="0"/>
                  <w:divBdr>
                    <w:top w:val="none" w:sz="0" w:space="0" w:color="auto"/>
                    <w:left w:val="none" w:sz="0" w:space="0" w:color="auto"/>
                    <w:bottom w:val="none" w:sz="0" w:space="0" w:color="auto"/>
                    <w:right w:val="none" w:sz="0" w:space="0" w:color="auto"/>
                  </w:divBdr>
                </w:div>
              </w:divsChild>
            </w:div>
            <w:div w:id="1560432874">
              <w:marLeft w:val="0"/>
              <w:marRight w:val="0"/>
              <w:marTop w:val="0"/>
              <w:marBottom w:val="0"/>
              <w:divBdr>
                <w:top w:val="none" w:sz="0" w:space="0" w:color="auto"/>
                <w:left w:val="none" w:sz="0" w:space="0" w:color="auto"/>
                <w:bottom w:val="none" w:sz="0" w:space="0" w:color="auto"/>
                <w:right w:val="none" w:sz="0" w:space="0" w:color="auto"/>
              </w:divBdr>
              <w:divsChild>
                <w:div w:id="521088600">
                  <w:marLeft w:val="0"/>
                  <w:marRight w:val="0"/>
                  <w:marTop w:val="0"/>
                  <w:marBottom w:val="0"/>
                  <w:divBdr>
                    <w:top w:val="none" w:sz="0" w:space="0" w:color="auto"/>
                    <w:left w:val="none" w:sz="0" w:space="0" w:color="auto"/>
                    <w:bottom w:val="none" w:sz="0" w:space="0" w:color="auto"/>
                    <w:right w:val="none" w:sz="0" w:space="0" w:color="auto"/>
                  </w:divBdr>
                </w:div>
                <w:div w:id="2106459701">
                  <w:marLeft w:val="0"/>
                  <w:marRight w:val="0"/>
                  <w:marTop w:val="0"/>
                  <w:marBottom w:val="0"/>
                  <w:divBdr>
                    <w:top w:val="none" w:sz="0" w:space="0" w:color="auto"/>
                    <w:left w:val="none" w:sz="0" w:space="0" w:color="auto"/>
                    <w:bottom w:val="none" w:sz="0" w:space="0" w:color="auto"/>
                    <w:right w:val="none" w:sz="0" w:space="0" w:color="auto"/>
                  </w:divBdr>
                </w:div>
                <w:div w:id="14483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3231">
          <w:marLeft w:val="0"/>
          <w:marRight w:val="0"/>
          <w:marTop w:val="0"/>
          <w:marBottom w:val="0"/>
          <w:divBdr>
            <w:top w:val="none" w:sz="0" w:space="0" w:color="auto"/>
            <w:left w:val="none" w:sz="0" w:space="0" w:color="auto"/>
            <w:bottom w:val="none" w:sz="0" w:space="0" w:color="auto"/>
            <w:right w:val="none" w:sz="0" w:space="0" w:color="auto"/>
          </w:divBdr>
        </w:div>
        <w:div w:id="2019844070">
          <w:marLeft w:val="0"/>
          <w:marRight w:val="0"/>
          <w:marTop w:val="0"/>
          <w:marBottom w:val="0"/>
          <w:divBdr>
            <w:top w:val="none" w:sz="0" w:space="0" w:color="auto"/>
            <w:left w:val="none" w:sz="0" w:space="0" w:color="auto"/>
            <w:bottom w:val="none" w:sz="0" w:space="0" w:color="auto"/>
            <w:right w:val="none" w:sz="0" w:space="0" w:color="auto"/>
          </w:divBdr>
        </w:div>
        <w:div w:id="942226199">
          <w:marLeft w:val="0"/>
          <w:marRight w:val="0"/>
          <w:marTop w:val="0"/>
          <w:marBottom w:val="0"/>
          <w:divBdr>
            <w:top w:val="none" w:sz="0" w:space="0" w:color="auto"/>
            <w:left w:val="none" w:sz="0" w:space="0" w:color="auto"/>
            <w:bottom w:val="none" w:sz="0" w:space="0" w:color="auto"/>
            <w:right w:val="none" w:sz="0" w:space="0" w:color="auto"/>
          </w:divBdr>
          <w:divsChild>
            <w:div w:id="1314139978">
              <w:marLeft w:val="0"/>
              <w:marRight w:val="0"/>
              <w:marTop w:val="0"/>
              <w:marBottom w:val="0"/>
              <w:divBdr>
                <w:top w:val="none" w:sz="0" w:space="0" w:color="auto"/>
                <w:left w:val="none" w:sz="0" w:space="0" w:color="auto"/>
                <w:bottom w:val="none" w:sz="0" w:space="0" w:color="auto"/>
                <w:right w:val="none" w:sz="0" w:space="0" w:color="auto"/>
              </w:divBdr>
              <w:divsChild>
                <w:div w:id="2144152517">
                  <w:marLeft w:val="0"/>
                  <w:marRight w:val="0"/>
                  <w:marTop w:val="0"/>
                  <w:marBottom w:val="0"/>
                  <w:divBdr>
                    <w:top w:val="none" w:sz="0" w:space="0" w:color="auto"/>
                    <w:left w:val="none" w:sz="0" w:space="0" w:color="auto"/>
                    <w:bottom w:val="none" w:sz="0" w:space="0" w:color="auto"/>
                    <w:right w:val="none" w:sz="0" w:space="0" w:color="auto"/>
                  </w:divBdr>
                </w:div>
                <w:div w:id="374162482">
                  <w:marLeft w:val="0"/>
                  <w:marRight w:val="0"/>
                  <w:marTop w:val="0"/>
                  <w:marBottom w:val="60"/>
                  <w:divBdr>
                    <w:top w:val="none" w:sz="0" w:space="0" w:color="auto"/>
                    <w:left w:val="none" w:sz="0" w:space="0" w:color="auto"/>
                    <w:bottom w:val="none" w:sz="0" w:space="0" w:color="auto"/>
                    <w:right w:val="none" w:sz="0" w:space="0" w:color="auto"/>
                  </w:divBdr>
                  <w:divsChild>
                    <w:div w:id="9658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8544">
          <w:marLeft w:val="0"/>
          <w:marRight w:val="0"/>
          <w:marTop w:val="0"/>
          <w:marBottom w:val="0"/>
          <w:divBdr>
            <w:top w:val="none" w:sz="0" w:space="0" w:color="auto"/>
            <w:left w:val="none" w:sz="0" w:space="0" w:color="auto"/>
            <w:bottom w:val="none" w:sz="0" w:space="0" w:color="auto"/>
            <w:right w:val="none" w:sz="0" w:space="0" w:color="auto"/>
          </w:divBdr>
          <w:divsChild>
            <w:div w:id="999389944">
              <w:marLeft w:val="0"/>
              <w:marRight w:val="0"/>
              <w:marTop w:val="0"/>
              <w:marBottom w:val="0"/>
              <w:divBdr>
                <w:top w:val="none" w:sz="0" w:space="0" w:color="auto"/>
                <w:left w:val="none" w:sz="0" w:space="0" w:color="auto"/>
                <w:bottom w:val="none" w:sz="0" w:space="0" w:color="auto"/>
                <w:right w:val="none" w:sz="0" w:space="0" w:color="auto"/>
              </w:divBdr>
            </w:div>
            <w:div w:id="389619701">
              <w:marLeft w:val="0"/>
              <w:marRight w:val="0"/>
              <w:marTop w:val="0"/>
              <w:marBottom w:val="0"/>
              <w:divBdr>
                <w:top w:val="none" w:sz="0" w:space="0" w:color="auto"/>
                <w:left w:val="none" w:sz="0" w:space="0" w:color="auto"/>
                <w:bottom w:val="none" w:sz="0" w:space="0" w:color="auto"/>
                <w:right w:val="none" w:sz="0" w:space="0" w:color="auto"/>
              </w:divBdr>
            </w:div>
            <w:div w:id="30540347">
              <w:marLeft w:val="0"/>
              <w:marRight w:val="0"/>
              <w:marTop w:val="0"/>
              <w:marBottom w:val="0"/>
              <w:divBdr>
                <w:top w:val="none" w:sz="0" w:space="0" w:color="auto"/>
                <w:left w:val="none" w:sz="0" w:space="0" w:color="auto"/>
                <w:bottom w:val="none" w:sz="0" w:space="0" w:color="auto"/>
                <w:right w:val="none" w:sz="0" w:space="0" w:color="auto"/>
              </w:divBdr>
              <w:divsChild>
                <w:div w:id="475223143">
                  <w:marLeft w:val="0"/>
                  <w:marRight w:val="0"/>
                  <w:marTop w:val="0"/>
                  <w:marBottom w:val="0"/>
                  <w:divBdr>
                    <w:top w:val="none" w:sz="0" w:space="0" w:color="auto"/>
                    <w:left w:val="none" w:sz="0" w:space="0" w:color="auto"/>
                    <w:bottom w:val="none" w:sz="0" w:space="0" w:color="auto"/>
                    <w:right w:val="none" w:sz="0" w:space="0" w:color="auto"/>
                  </w:divBdr>
                </w:div>
                <w:div w:id="1442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Dropbox\IC%20-%20Silvia\Dados\Dados2019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i="1">
                <a:solidFill>
                  <a:sysClr val="windowText" lastClr="000000"/>
                </a:solidFill>
              </a:rPr>
              <a:t>Market share</a:t>
            </a:r>
            <a:r>
              <a:rPr lang="en-US" sz="1200">
                <a:solidFill>
                  <a:sysClr val="windowText" lastClr="000000"/>
                </a:solidFill>
              </a:rPr>
              <a:t> algodão em pluma - 2017</a:t>
            </a:r>
          </a:p>
        </c:rich>
      </c:tx>
      <c:overlay val="0"/>
      <c:spPr>
        <a:noFill/>
        <a:ln>
          <a:noFill/>
        </a:ln>
        <a:effectLst/>
      </c:spPr>
      <c:txPr>
        <a:bodyPr rot="0" spcFirstLastPara="1" vertOverflow="ellipsis" vert="horz" wrap="square" anchor="ctr" anchorCtr="1"/>
        <a:lstStyle/>
        <a:p>
          <a:pPr>
            <a:defRPr sz="12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pieChart>
        <c:varyColors val="1"/>
        <c:ser>
          <c:idx val="0"/>
          <c:order val="0"/>
          <c:tx>
            <c:strRef>
              <c:f>Pizza!$K$1</c:f>
              <c:strCache>
                <c:ptCount val="1"/>
                <c:pt idx="0">
                  <c:v>% MS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F2D-4E3E-9320-0F60444E411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F2D-4E3E-9320-0F60444E411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F2D-4E3E-9320-0F60444E411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F2D-4E3E-9320-0F60444E411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F2D-4E3E-9320-0F60444E411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DF2D-4E3E-9320-0F60444E411A}"/>
              </c:ext>
            </c:extLst>
          </c:dPt>
          <c:dLbls>
            <c:dLbl>
              <c:idx val="0"/>
              <c:numFmt formatCode="0.0%" sourceLinked="0"/>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DF2D-4E3E-9320-0F60444E411A}"/>
                </c:ext>
              </c:extLst>
            </c:dLbl>
            <c:dLbl>
              <c:idx val="1"/>
              <c:layout>
                <c:manualLayout>
                  <c:x val="1.1111111111111009E-2"/>
                  <c:y val="-1.045751633986928E-2"/>
                </c:manualLayout>
              </c:layout>
              <c:numFmt formatCode="0.0%" sourceLinked="0"/>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pt-B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DF2D-4E3E-9320-0F60444E411A}"/>
                </c:ext>
              </c:extLst>
            </c:dLbl>
            <c:dLbl>
              <c:idx val="2"/>
              <c:numFmt formatCode="0.0%" sourceLinked="0"/>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DF2D-4E3E-9320-0F60444E411A}"/>
                </c:ext>
              </c:extLst>
            </c:dLbl>
            <c:dLbl>
              <c:idx val="3"/>
              <c:numFmt formatCode="0.0%" sourceLinked="0"/>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DF2D-4E3E-9320-0F60444E411A}"/>
                </c:ext>
              </c:extLst>
            </c:dLbl>
            <c:dLbl>
              <c:idx val="4"/>
              <c:layout>
                <c:manualLayout>
                  <c:x val="-8.3333333333333835E-3"/>
                  <c:y val="-5.8252427184466077E-2"/>
                </c:manualLayout>
              </c:layout>
              <c:numFmt formatCode="0.0%" sourceLinked="0"/>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pt-B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DF2D-4E3E-9320-0F60444E411A}"/>
                </c:ext>
              </c:extLst>
            </c:dLbl>
            <c:dLbl>
              <c:idx val="5"/>
              <c:layout>
                <c:manualLayout>
                  <c:x val="0.10833333333333334"/>
                  <c:y val="-2.0206398931316382E-2"/>
                </c:manualLayout>
              </c:layout>
              <c:numFmt formatCode="0.0%" sourceLinked="0"/>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pt-B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DF2D-4E3E-9320-0F60444E411A}"/>
                </c:ext>
              </c:extLst>
            </c:dLbl>
            <c:numFmt formatCode="0.0%" sourceLinked="0"/>
            <c:spPr>
              <a:solidFill>
                <a:sysClr val="window" lastClr="FFFFFF"/>
              </a:solidFill>
              <a:ln>
                <a:solidFill>
                  <a:srgbClr val="5B9BD5"/>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Pizza!$J$2:$J$7</c:f>
              <c:strCache>
                <c:ptCount val="6"/>
                <c:pt idx="0">
                  <c:v>EUA</c:v>
                </c:pt>
                <c:pt idx="1">
                  <c:v>Índia</c:v>
                </c:pt>
                <c:pt idx="2">
                  <c:v>Australia</c:v>
                </c:pt>
                <c:pt idx="3">
                  <c:v>Brasil</c:v>
                </c:pt>
                <c:pt idx="4">
                  <c:v>Grécia</c:v>
                </c:pt>
                <c:pt idx="5">
                  <c:v>Demais Países</c:v>
                </c:pt>
              </c:strCache>
            </c:strRef>
          </c:cat>
          <c:val>
            <c:numRef>
              <c:f>Pizza!$K$2:$K$7</c:f>
              <c:numCache>
                <c:formatCode>0.0%</c:formatCode>
                <c:ptCount val="6"/>
                <c:pt idx="0">
                  <c:v>0.44583720291041012</c:v>
                </c:pt>
                <c:pt idx="1">
                  <c:v>0.1280135254096525</c:v>
                </c:pt>
                <c:pt idx="2">
                  <c:v>0.12373539015803779</c:v>
                </c:pt>
                <c:pt idx="3">
                  <c:v>0.10385922437810992</c:v>
                </c:pt>
                <c:pt idx="4">
                  <c:v>3.014061366097532E-2</c:v>
                </c:pt>
                <c:pt idx="5">
                  <c:v>0.16841404348281439</c:v>
                </c:pt>
              </c:numCache>
            </c:numRef>
          </c:val>
          <c:extLst>
            <c:ext xmlns:c16="http://schemas.microsoft.com/office/drawing/2014/chart" uri="{C3380CC4-5D6E-409C-BE32-E72D297353CC}">
              <c16:uniqueId val="{0000000C-DF2D-4E3E-9320-0F60444E411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t-BR" b="1"/>
              <a:t>IVCR - 2016 e 2017</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tx>
            <c:strRef>
              <c:f>ICS!$W$6</c:f>
              <c:strCache>
                <c:ptCount val="1"/>
                <c:pt idx="0">
                  <c:v>Brasil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ICS!$X$4:$AA$5</c:f>
              <c:multiLvlStrCache>
                <c:ptCount val="2"/>
                <c:lvl>
                  <c:pt idx="0">
                    <c:v>2016</c:v>
                  </c:pt>
                  <c:pt idx="1">
                    <c:v>2017</c:v>
                  </c:pt>
                </c:lvl>
                <c:lvl>
                  <c:pt idx="0">
                    <c:v>IVCR</c:v>
                  </c:pt>
                </c:lvl>
              </c:multiLvlStrCache>
            </c:multiLvlStrRef>
          </c:cat>
          <c:val>
            <c:numRef>
              <c:f>ICS!$X$6:$AA$6</c:f>
              <c:numCache>
                <c:formatCode>0.000</c:formatCode>
                <c:ptCount val="2"/>
                <c:pt idx="0">
                  <c:v>10.360565956510957</c:v>
                </c:pt>
                <c:pt idx="1">
                  <c:v>7.814550492800354</c:v>
                </c:pt>
              </c:numCache>
            </c:numRef>
          </c:val>
          <c:extLst>
            <c:ext xmlns:c16="http://schemas.microsoft.com/office/drawing/2014/chart" uri="{C3380CC4-5D6E-409C-BE32-E72D297353CC}">
              <c16:uniqueId val="{00000000-984B-48EE-8B6E-BB69F20B9D97}"/>
            </c:ext>
          </c:extLst>
        </c:ser>
        <c:ser>
          <c:idx val="1"/>
          <c:order val="1"/>
          <c:tx>
            <c:strRef>
              <c:f>ICS!$W$7</c:f>
              <c:strCache>
                <c:ptCount val="1"/>
                <c:pt idx="0">
                  <c:v>EUA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ICS!$X$4:$AA$5</c:f>
              <c:multiLvlStrCache>
                <c:ptCount val="2"/>
                <c:lvl>
                  <c:pt idx="0">
                    <c:v>2016</c:v>
                  </c:pt>
                  <c:pt idx="1">
                    <c:v>2017</c:v>
                  </c:pt>
                </c:lvl>
                <c:lvl>
                  <c:pt idx="0">
                    <c:v>IVCR</c:v>
                  </c:pt>
                </c:lvl>
              </c:multiLvlStrCache>
            </c:multiLvlStrRef>
          </c:cat>
          <c:val>
            <c:numRef>
              <c:f>ICS!$X$7:$AA$7</c:f>
              <c:numCache>
                <c:formatCode>0.000</c:formatCode>
                <c:ptCount val="2"/>
                <c:pt idx="0">
                  <c:v>4.3099542851549604</c:v>
                </c:pt>
                <c:pt idx="1">
                  <c:v>4.7257650579144492</c:v>
                </c:pt>
              </c:numCache>
            </c:numRef>
          </c:val>
          <c:extLst>
            <c:ext xmlns:c16="http://schemas.microsoft.com/office/drawing/2014/chart" uri="{C3380CC4-5D6E-409C-BE32-E72D297353CC}">
              <c16:uniqueId val="{00000001-984B-48EE-8B6E-BB69F20B9D97}"/>
            </c:ext>
          </c:extLst>
        </c:ser>
        <c:ser>
          <c:idx val="2"/>
          <c:order val="2"/>
          <c:tx>
            <c:strRef>
              <c:f>ICS!$W$8</c:f>
              <c:strCache>
                <c:ptCount val="1"/>
                <c:pt idx="0">
                  <c:v>Índia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ICS!$X$4:$AA$5</c:f>
              <c:multiLvlStrCache>
                <c:ptCount val="2"/>
                <c:lvl>
                  <c:pt idx="0">
                    <c:v>2016</c:v>
                  </c:pt>
                  <c:pt idx="1">
                    <c:v>2017</c:v>
                  </c:pt>
                </c:lvl>
                <c:lvl>
                  <c:pt idx="0">
                    <c:v>IVCR</c:v>
                  </c:pt>
                </c:lvl>
              </c:multiLvlStrCache>
            </c:multiLvlStrRef>
          </c:cat>
          <c:val>
            <c:numRef>
              <c:f>ICS!$X$8:$AA$8</c:f>
              <c:numCache>
                <c:formatCode>0.000</c:formatCode>
                <c:ptCount val="2"/>
                <c:pt idx="0">
                  <c:v>8.1632167505931861</c:v>
                </c:pt>
                <c:pt idx="1">
                  <c:v>7.1246895124831857</c:v>
                </c:pt>
              </c:numCache>
            </c:numRef>
          </c:val>
          <c:extLst>
            <c:ext xmlns:c16="http://schemas.microsoft.com/office/drawing/2014/chart" uri="{C3380CC4-5D6E-409C-BE32-E72D297353CC}">
              <c16:uniqueId val="{00000002-984B-48EE-8B6E-BB69F20B9D97}"/>
            </c:ext>
          </c:extLst>
        </c:ser>
        <c:dLbls>
          <c:dLblPos val="outEnd"/>
          <c:showLegendKey val="0"/>
          <c:showVal val="1"/>
          <c:showCatName val="0"/>
          <c:showSerName val="0"/>
          <c:showPercent val="0"/>
          <c:showBubbleSize val="0"/>
        </c:dLbls>
        <c:gapWidth val="219"/>
        <c:overlap val="-27"/>
        <c:axId val="378938720"/>
        <c:axId val="378935768"/>
      </c:barChart>
      <c:catAx>
        <c:axId val="37893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78935768"/>
        <c:crosses val="autoZero"/>
        <c:auto val="1"/>
        <c:lblAlgn val="ctr"/>
        <c:lblOffset val="100"/>
        <c:noMultiLvlLbl val="0"/>
      </c:catAx>
      <c:valAx>
        <c:axId val="378935768"/>
        <c:scaling>
          <c:orientation val="minMax"/>
        </c:scaling>
        <c:delete val="1"/>
        <c:axPos val="l"/>
        <c:numFmt formatCode="0.000" sourceLinked="1"/>
        <c:majorTickMark val="none"/>
        <c:minorTickMark val="none"/>
        <c:tickLblPos val="nextTo"/>
        <c:crossAx val="37893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t-BR" b="1"/>
              <a:t>ICS - 2016 e 2017</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tx>
            <c:strRef>
              <c:f>ICS!$W$6</c:f>
              <c:strCache>
                <c:ptCount val="1"/>
                <c:pt idx="0">
                  <c:v>Brasil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ICS!$X$4:$AA$5</c:f>
              <c:multiLvlStrCache>
                <c:ptCount val="2"/>
                <c:lvl>
                  <c:pt idx="0">
                    <c:v>2016</c:v>
                  </c:pt>
                  <c:pt idx="1">
                    <c:v>2017</c:v>
                  </c:pt>
                </c:lvl>
                <c:lvl>
                  <c:pt idx="0">
                    <c:v>ICS</c:v>
                  </c:pt>
                </c:lvl>
              </c:multiLvlStrCache>
            </c:multiLvlStrRef>
          </c:cat>
          <c:val>
            <c:numRef>
              <c:f>ICS!$X$6:$AA$6</c:f>
              <c:numCache>
                <c:formatCode>0.000</c:formatCode>
                <c:ptCount val="2"/>
                <c:pt idx="0">
                  <c:v>0.55149464238328627</c:v>
                </c:pt>
                <c:pt idx="1">
                  <c:v>0.50679365777073637</c:v>
                </c:pt>
              </c:numCache>
            </c:numRef>
          </c:val>
          <c:extLst>
            <c:ext xmlns:c16="http://schemas.microsoft.com/office/drawing/2014/chart" uri="{C3380CC4-5D6E-409C-BE32-E72D297353CC}">
              <c16:uniqueId val="{00000000-2F38-430B-8FA1-BB840DC7CEDB}"/>
            </c:ext>
          </c:extLst>
        </c:ser>
        <c:ser>
          <c:idx val="1"/>
          <c:order val="1"/>
          <c:tx>
            <c:strRef>
              <c:f>ICS!$W$7</c:f>
              <c:strCache>
                <c:ptCount val="1"/>
                <c:pt idx="0">
                  <c:v>EUA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ICS!$X$4:$AA$5</c:f>
              <c:multiLvlStrCache>
                <c:ptCount val="2"/>
                <c:lvl>
                  <c:pt idx="0">
                    <c:v>2016</c:v>
                  </c:pt>
                  <c:pt idx="1">
                    <c:v>2017</c:v>
                  </c:pt>
                </c:lvl>
                <c:lvl>
                  <c:pt idx="0">
                    <c:v>ICS</c:v>
                  </c:pt>
                </c:lvl>
              </c:multiLvlStrCache>
            </c:multiLvlStrRef>
          </c:cat>
          <c:val>
            <c:numRef>
              <c:f>ICS!$X$7:$AA$7</c:f>
              <c:numCache>
                <c:formatCode>0.000</c:formatCode>
                <c:ptCount val="2"/>
                <c:pt idx="0">
                  <c:v>0.25677211865649718</c:v>
                </c:pt>
                <c:pt idx="1">
                  <c:v>0.36418344244255846</c:v>
                </c:pt>
              </c:numCache>
            </c:numRef>
          </c:val>
          <c:extLst>
            <c:ext xmlns:c16="http://schemas.microsoft.com/office/drawing/2014/chart" uri="{C3380CC4-5D6E-409C-BE32-E72D297353CC}">
              <c16:uniqueId val="{00000001-2F38-430B-8FA1-BB840DC7CEDB}"/>
            </c:ext>
          </c:extLst>
        </c:ser>
        <c:ser>
          <c:idx val="2"/>
          <c:order val="2"/>
          <c:tx>
            <c:strRef>
              <c:f>ICS!$W$8</c:f>
              <c:strCache>
                <c:ptCount val="1"/>
                <c:pt idx="0">
                  <c:v>Índia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ICS!$X$4:$AA$5</c:f>
              <c:multiLvlStrCache>
                <c:ptCount val="2"/>
                <c:lvl>
                  <c:pt idx="0">
                    <c:v>2016</c:v>
                  </c:pt>
                  <c:pt idx="1">
                    <c:v>2017</c:v>
                  </c:pt>
                </c:lvl>
                <c:lvl>
                  <c:pt idx="0">
                    <c:v>ICS</c:v>
                  </c:pt>
                </c:lvl>
              </c:multiLvlStrCache>
            </c:multiLvlStrRef>
          </c:cat>
          <c:val>
            <c:numRef>
              <c:f>ICS!$X$8:$AA$8</c:f>
              <c:numCache>
                <c:formatCode>0.000</c:formatCode>
                <c:ptCount val="2"/>
                <c:pt idx="0">
                  <c:v>0.35568590942146661</c:v>
                </c:pt>
                <c:pt idx="1">
                  <c:v>0.47145168873107152</c:v>
                </c:pt>
              </c:numCache>
            </c:numRef>
          </c:val>
          <c:extLst>
            <c:ext xmlns:c16="http://schemas.microsoft.com/office/drawing/2014/chart" uri="{C3380CC4-5D6E-409C-BE32-E72D297353CC}">
              <c16:uniqueId val="{00000002-2F38-430B-8FA1-BB840DC7CEDB}"/>
            </c:ext>
          </c:extLst>
        </c:ser>
        <c:dLbls>
          <c:dLblPos val="outEnd"/>
          <c:showLegendKey val="0"/>
          <c:showVal val="1"/>
          <c:showCatName val="0"/>
          <c:showSerName val="0"/>
          <c:showPercent val="0"/>
          <c:showBubbleSize val="0"/>
        </c:dLbls>
        <c:gapWidth val="219"/>
        <c:overlap val="-27"/>
        <c:axId val="378938720"/>
        <c:axId val="378935768"/>
      </c:barChart>
      <c:catAx>
        <c:axId val="37893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78935768"/>
        <c:crosses val="autoZero"/>
        <c:auto val="1"/>
        <c:lblAlgn val="ctr"/>
        <c:lblOffset val="100"/>
        <c:noMultiLvlLbl val="0"/>
      </c:catAx>
      <c:valAx>
        <c:axId val="378935768"/>
        <c:scaling>
          <c:orientation val="minMax"/>
        </c:scaling>
        <c:delete val="1"/>
        <c:axPos val="l"/>
        <c:numFmt formatCode="0.000" sourceLinked="1"/>
        <c:majorTickMark val="none"/>
        <c:minorTickMark val="none"/>
        <c:tickLblPos val="nextTo"/>
        <c:crossAx val="37893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DF39-E539-4C8C-99AF-98234509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6227</Words>
  <Characters>33628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Modelo de formatação de artigo</vt:lpstr>
    </vt:vector>
  </TitlesOfParts>
  <Company>Home</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formatação de artigo</dc:title>
  <dc:creator>Emmanuel</dc:creator>
  <cp:lastModifiedBy>Silvia</cp:lastModifiedBy>
  <cp:revision>6</cp:revision>
  <dcterms:created xsi:type="dcterms:W3CDTF">2020-08-01T12:12:00Z</dcterms:created>
  <dcterms:modified xsi:type="dcterms:W3CDTF">2020-08-01T12:27:00Z</dcterms:modified>
</cp:coreProperties>
</file>