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CB" w:rsidRPr="00EB73C8" w:rsidRDefault="009600E9" w:rsidP="00791D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3C8">
        <w:rPr>
          <w:rFonts w:ascii="Arial" w:hAnsi="Arial" w:cs="Arial"/>
          <w:b/>
          <w:sz w:val="24"/>
          <w:szCs w:val="24"/>
        </w:rPr>
        <w:t>UM OLHAR SOBRE OS CONSELHOS MUNICIPAIS DE EDUCAÇÃO ENTREVISTA COM CARLOS ROBERTO JAMIL CURY</w:t>
      </w:r>
    </w:p>
    <w:p w:rsidR="00DF6520" w:rsidRPr="00EB73C8" w:rsidRDefault="00DF6520" w:rsidP="00791D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6520" w:rsidRPr="00EB73C8" w:rsidRDefault="00DF6520" w:rsidP="00791DC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73C8">
        <w:rPr>
          <w:rFonts w:ascii="Arial" w:hAnsi="Arial" w:cs="Arial"/>
          <w:sz w:val="24"/>
          <w:szCs w:val="24"/>
        </w:rPr>
        <w:t>A LOOK AT THE MUNICIPAL COUNCILS OF EDUCATION INTERVIEW WITH CARLOS ROBERTO JAMIL CURY</w:t>
      </w:r>
    </w:p>
    <w:p w:rsidR="00791DCB" w:rsidRPr="00EB73C8" w:rsidRDefault="00791DCB" w:rsidP="00233CF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91DCB" w:rsidRPr="00EB73C8" w:rsidRDefault="00126115" w:rsidP="00EB73C8">
      <w:pPr>
        <w:spacing w:after="0"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EB73C8">
        <w:rPr>
          <w:rFonts w:ascii="Arial" w:hAnsi="Arial" w:cs="Arial"/>
          <w:sz w:val="24"/>
          <w:szCs w:val="24"/>
        </w:rPr>
        <w:t>Fabio PERBONI</w:t>
      </w:r>
      <w:r w:rsidR="0047108E" w:rsidRPr="00EB73C8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126115" w:rsidRPr="00EB73C8" w:rsidRDefault="00126115" w:rsidP="00EB73C8">
      <w:pPr>
        <w:spacing w:after="0" w:line="36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126115" w:rsidRPr="00EB73C8" w:rsidRDefault="00126115" w:rsidP="00233CF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26115" w:rsidRPr="00EB73C8" w:rsidRDefault="00126115" w:rsidP="00EB73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3C8">
        <w:rPr>
          <w:rFonts w:ascii="Arial" w:hAnsi="Arial" w:cs="Arial"/>
          <w:b/>
          <w:sz w:val="24"/>
          <w:szCs w:val="24"/>
        </w:rPr>
        <w:t>Resumo</w:t>
      </w:r>
    </w:p>
    <w:p w:rsidR="001D53F2" w:rsidRPr="00EB73C8" w:rsidRDefault="001D53F2" w:rsidP="00EB73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3F2" w:rsidRPr="00EB73C8" w:rsidRDefault="001D53F2" w:rsidP="00EB73C8">
      <w:pPr>
        <w:spacing w:after="0" w:line="24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 professor Carlos Roberto Jamil Cury tem larga experiência no campo da pesquisa analisando as políticas educacionais</w:t>
      </w:r>
      <w:r w:rsidR="001E6E32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com ênfase no direito à educação analisado em toda sua complexidade a partir da legislação e de sua efetivação. Além disso tem participação ativa em diferentes instancias de discussão e deliberação da educação Nacional, com destaque para sua presença CAPES, do Conselho Nacional de Educação e da SBPC. Com base nesta experiência que articula a pesquisa acadêmica e atuação ativa na política educacional partiu o convite para esta entrevista em que </w:t>
      </w: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 Professor Cury, discorre sobre os Conselhos Municipais de Educação no contexto atual da educação brasileira.</w:t>
      </w:r>
    </w:p>
    <w:p w:rsidR="009600E9" w:rsidRPr="00EB73C8" w:rsidRDefault="009600E9" w:rsidP="00EB73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115" w:rsidRPr="00EB73C8" w:rsidRDefault="00126115" w:rsidP="00EB73C8">
      <w:pPr>
        <w:spacing w:after="0" w:line="24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Palavras Chave: </w:t>
      </w: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Concelhos Municipais de Educação,</w:t>
      </w:r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 </w:t>
      </w: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Plano Nacional de Educação</w:t>
      </w:r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, </w:t>
      </w:r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>Qualidade Social da Educação</w:t>
      </w:r>
    </w:p>
    <w:p w:rsidR="00126115" w:rsidRPr="00EB73C8" w:rsidRDefault="00126115" w:rsidP="00EB73C8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DF6520" w:rsidRPr="00EB73C8" w:rsidRDefault="00DF6520" w:rsidP="00EB73C8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DF6520" w:rsidRPr="00EB73C8" w:rsidRDefault="00DF6520" w:rsidP="00DF6520">
      <w:pPr>
        <w:spacing w:after="0" w:line="360" w:lineRule="auto"/>
        <w:jc w:val="center"/>
        <w:rPr>
          <w:rFonts w:ascii="Arial" w:hAnsi="Arial" w:cs="Arial"/>
          <w:b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Abstract</w:t>
      </w:r>
    </w:p>
    <w:p w:rsidR="00DF6520" w:rsidRPr="00EB73C8" w:rsidRDefault="00DF6520" w:rsidP="00DF6520">
      <w:pPr>
        <w:spacing w:after="0" w:line="360" w:lineRule="auto"/>
        <w:jc w:val="center"/>
        <w:rPr>
          <w:rFonts w:ascii="Arial" w:hAnsi="Arial" w:cs="Arial"/>
          <w:b/>
          <w:color w:val="333333"/>
          <w:spacing w:val="-10"/>
          <w:sz w:val="24"/>
          <w:szCs w:val="24"/>
        </w:rPr>
      </w:pPr>
    </w:p>
    <w:p w:rsidR="00DF6520" w:rsidRPr="00EB73C8" w:rsidRDefault="00DF6520" w:rsidP="00EB73C8">
      <w:pPr>
        <w:spacing w:after="0" w:line="24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Professor Carlos Roberto Jamil Cury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has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extensive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experience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field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research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by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analyzing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educational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policies,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with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emphasis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right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to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analyzed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all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its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complexity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based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legislation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its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effectiveness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.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addition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it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has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active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participation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different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instances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discussion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deliberation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National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with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emphasis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its CAPES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presence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National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Council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SBPC.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Based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this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experience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that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articulates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academic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research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and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active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action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educational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policy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invitation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to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this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interview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which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Professor Cury,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discusses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Municipal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Councils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in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the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current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context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Brazilian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started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.</w:t>
      </w:r>
    </w:p>
    <w:p w:rsidR="00DF6520" w:rsidRPr="00EB73C8" w:rsidRDefault="00DF6520" w:rsidP="00EB73C8">
      <w:pPr>
        <w:spacing w:after="0" w:line="24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1D53F2" w:rsidRPr="00EB73C8" w:rsidRDefault="00DF6520" w:rsidP="00EB73C8">
      <w:pPr>
        <w:spacing w:after="0" w:line="24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proofErr w:type="spellStart"/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Keywords</w:t>
      </w:r>
      <w:proofErr w:type="spellEnd"/>
      <w:r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Municipal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Councils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National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Education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Plan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,</w:t>
      </w:r>
      <w:r w:rsidR="00DC61D9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 xml:space="preserve">Social </w:t>
      </w:r>
      <w:proofErr w:type="spellStart"/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>Quality</w:t>
      </w:r>
      <w:proofErr w:type="spellEnd"/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>of</w:t>
      </w:r>
      <w:proofErr w:type="spellEnd"/>
      <w:r w:rsidR="00DC61D9" w:rsidRPr="00DC61D9">
        <w:rPr>
          <w:rFonts w:ascii="Arial" w:hAnsi="Arial" w:cs="Arial"/>
          <w:color w:val="333333"/>
          <w:spacing w:val="-10"/>
          <w:sz w:val="24"/>
          <w:szCs w:val="24"/>
        </w:rPr>
        <w:t xml:space="preserve"> Education</w:t>
      </w:r>
      <w:bookmarkStart w:id="0" w:name="_GoBack"/>
      <w:bookmarkEnd w:id="0"/>
    </w:p>
    <w:p w:rsidR="00DF6520" w:rsidRPr="00EB73C8" w:rsidRDefault="00DF6520" w:rsidP="00ED4430">
      <w:pPr>
        <w:spacing w:after="0" w:line="360" w:lineRule="auto"/>
        <w:jc w:val="center"/>
        <w:rPr>
          <w:rFonts w:ascii="Arial" w:hAnsi="Arial" w:cs="Arial"/>
          <w:b/>
          <w:color w:val="333333"/>
          <w:spacing w:val="-10"/>
          <w:sz w:val="24"/>
          <w:szCs w:val="24"/>
        </w:rPr>
      </w:pPr>
    </w:p>
    <w:p w:rsidR="00DF6520" w:rsidRPr="00EB73C8" w:rsidRDefault="00DF6520" w:rsidP="00ED4430">
      <w:pPr>
        <w:spacing w:after="0" w:line="360" w:lineRule="auto"/>
        <w:jc w:val="center"/>
        <w:rPr>
          <w:rFonts w:ascii="Arial" w:hAnsi="Arial" w:cs="Arial"/>
          <w:b/>
          <w:color w:val="333333"/>
          <w:spacing w:val="-10"/>
          <w:sz w:val="24"/>
          <w:szCs w:val="24"/>
        </w:rPr>
      </w:pPr>
    </w:p>
    <w:p w:rsidR="00ED4430" w:rsidRPr="00EB73C8" w:rsidRDefault="00EB73C8" w:rsidP="00EB73C8">
      <w:pPr>
        <w:spacing w:after="0" w:line="360" w:lineRule="auto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APRESENTAÇÃO </w:t>
      </w:r>
    </w:p>
    <w:p w:rsidR="001D53F2" w:rsidRPr="00EB73C8" w:rsidRDefault="001D53F2" w:rsidP="00ED4430">
      <w:pPr>
        <w:spacing w:after="0" w:line="360" w:lineRule="auto"/>
        <w:jc w:val="center"/>
        <w:rPr>
          <w:rFonts w:ascii="Arial" w:hAnsi="Arial" w:cs="Arial"/>
          <w:b/>
          <w:color w:val="333333"/>
          <w:spacing w:val="-10"/>
          <w:sz w:val="24"/>
          <w:szCs w:val="24"/>
        </w:rPr>
      </w:pPr>
    </w:p>
    <w:p w:rsidR="001D53F2" w:rsidRPr="00EB73C8" w:rsidRDefault="001D53F2" w:rsidP="001D53F2">
      <w:pPr>
        <w:spacing w:after="0" w:line="360" w:lineRule="auto"/>
        <w:ind w:firstLine="1418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Possui graduação em Filosofia pela Faculdade de Filosofia Ciências e Letras Nossa Senhora Medianeira (1971), mestrado em Educação: História, Política, Sociedade pela Pontifícia Universidade Católica de São Paulo (1977) e doutorado em Educação: História, Política, Sociedade pela Pontifícia Universidade Católica de São Paulo (1979). Fez quatro estudos de pós-doutorado, em 1994, junto à Faculdade de Direito do Largo S. Francisco – USP, em </w:t>
      </w:r>
      <w:proofErr w:type="gram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1995,  na</w:t>
      </w:r>
      <w:proofErr w:type="gram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Université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de Paris (René Descartes, em 1995. Entre 1998-1999 na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École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des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Hauts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Études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en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Sciences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proofErr w:type="spellStart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>Sociales</w:t>
      </w:r>
      <w:proofErr w:type="spellEnd"/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EHESS, França e em 2011, um estágio pós-doutoral na UFRJ. </w:t>
      </w:r>
    </w:p>
    <w:p w:rsidR="001D53F2" w:rsidRPr="00EB73C8" w:rsidRDefault="001D53F2" w:rsidP="001D53F2">
      <w:pPr>
        <w:spacing w:after="0" w:line="360" w:lineRule="auto"/>
        <w:ind w:firstLine="1418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É docente titular (aposentado) da Faculdade de Educação da UFMG da qual é professor emérito. Também foi pró-reitor adjunto de pesquisa desta universidade. Atualmente atua na Pontifícia Universidade Católica de Minas Gerais junto à Graduação e Pós-Graduação (mestrado e doutorado). </w:t>
      </w:r>
    </w:p>
    <w:p w:rsidR="001D53F2" w:rsidRPr="00EB73C8" w:rsidRDefault="001D53F2" w:rsidP="001D53F2">
      <w:pPr>
        <w:spacing w:after="0" w:line="360" w:lineRule="auto"/>
        <w:ind w:firstLine="1418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Foi membro do Conselho Estadual de Educação de Minas Gerais. Entre 1996 e 2004 foi membro do Conselho Nacional de Educação</w:t>
      </w:r>
      <w:r w:rsidR="0032787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(CNE) na Câmara de Educação Básica (CEB) da qual foi seu presidente por duas vezes. Foi Presidente da CAPES em 2003 e membro do CTC da Educação Básica (2009-2011) da CAPES. Foi membro da Comissão de Educação da SBPC. Foi também membro da Câmara de Ciências Humanas da FAPEMIG. É membro do Conselho Superior da CAPES</w:t>
      </w:r>
      <w:r w:rsidR="00DF6520">
        <w:rPr>
          <w:rFonts w:ascii="Arial" w:hAnsi="Arial" w:cs="Arial"/>
          <w:color w:val="333333"/>
          <w:spacing w:val="-10"/>
          <w:sz w:val="24"/>
          <w:szCs w:val="24"/>
        </w:rPr>
        <w:t xml:space="preserve"> e Vice-Presidente da SBPC.</w:t>
      </w:r>
    </w:p>
    <w:p w:rsidR="001D53F2" w:rsidRDefault="001D53F2" w:rsidP="001D53F2">
      <w:pPr>
        <w:spacing w:after="0" w:line="360" w:lineRule="auto"/>
        <w:ind w:firstLine="1418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>Tem experiência na área de Direito à Educação, atuando principalmente nos seguintes temas: lei de diretrizes e bases, política educacional, legislação educacional e educação de jovens e adultos. Pesquisador 1A do CNPq, é professor há 52 anos.</w:t>
      </w:r>
    </w:p>
    <w:p w:rsidR="00DF6520" w:rsidRPr="00EB73C8" w:rsidRDefault="00DF6520" w:rsidP="001D53F2">
      <w:pPr>
        <w:spacing w:after="0" w:line="360" w:lineRule="auto"/>
        <w:ind w:firstLine="1418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1D53F2" w:rsidRPr="00EB73C8" w:rsidRDefault="00EB73C8" w:rsidP="00EB73C8">
      <w:pPr>
        <w:spacing w:after="0" w:line="360" w:lineRule="auto"/>
        <w:rPr>
          <w:rFonts w:ascii="Arial" w:hAnsi="Arial" w:cs="Arial"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ENTREVISTA </w:t>
      </w:r>
    </w:p>
    <w:p w:rsidR="001D53F2" w:rsidRPr="00EB73C8" w:rsidRDefault="001D53F2" w:rsidP="00233CF0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8E175B" w:rsidRPr="00EB73C8" w:rsidRDefault="00DF6520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ED443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Os Conselhos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Municipais de Educação </w:t>
      </w:r>
      <w:r w:rsidR="00ED443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não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configuram </w:t>
      </w:r>
      <w:r w:rsidR="00ED443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uma experiência nova, existem com diferentes formatos e objetivos ao longo da história.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Na sua percepção qual o papel que o CME desempenha</w:t>
      </w:r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na atualidade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?</w:t>
      </w:r>
    </w:p>
    <w:p w:rsidR="00C2348D" w:rsidRPr="00EB73C8" w:rsidRDefault="00C2348D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C6674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7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791DCB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 </w:t>
      </w:r>
      <w:r w:rsidR="00C6674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Os CME ainda são colegiados novos na medida em que nem todos os Municípios de </w:t>
      </w:r>
      <w:r w:rsidR="00C32420" w:rsidRPr="00EB73C8">
        <w:rPr>
          <w:rFonts w:ascii="Arial" w:hAnsi="Arial" w:cs="Arial"/>
          <w:color w:val="333333"/>
          <w:spacing w:val="-10"/>
          <w:sz w:val="24"/>
          <w:szCs w:val="24"/>
        </w:rPr>
        <w:t>constituíram</w:t>
      </w:r>
      <w:r w:rsidR="00C6674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como sistemas. Como entes federativos autônomos, os Municípios são o primeiro elo com os cidadãos. </w:t>
      </w:r>
      <w:proofErr w:type="spellStart"/>
      <w:r w:rsidR="00C6674B" w:rsidRPr="00EB73C8">
        <w:rPr>
          <w:rFonts w:ascii="Arial" w:hAnsi="Arial" w:cs="Arial"/>
          <w:color w:val="333333"/>
          <w:spacing w:val="-10"/>
          <w:sz w:val="24"/>
          <w:szCs w:val="24"/>
        </w:rPr>
        <w:t>Ouví-los</w:t>
      </w:r>
      <w:proofErr w:type="spellEnd"/>
      <w:r w:rsidR="00C6674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, por meio de suas associações, organizações e mesmo Câmaras, outros Conselhos, a fim de aperfeiçoar as atribuições municipais em matéria de educação escolar, é uma ação que torna efetiva um aspecto da gestão democrática.  </w:t>
      </w:r>
    </w:p>
    <w:p w:rsidR="00ED4430" w:rsidRPr="00EB73C8" w:rsidRDefault="00ED443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8E175B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126115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 </w:t>
      </w:r>
      <w:r w:rsidR="00ED443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atual conjuntura política do Brasil, após o </w:t>
      </w:r>
      <w:r w:rsidR="005E586C" w:rsidRPr="00EB73C8">
        <w:rPr>
          <w:rFonts w:ascii="Arial" w:hAnsi="Arial" w:cs="Arial"/>
          <w:sz w:val="24"/>
          <w:szCs w:val="24"/>
        </w:rPr>
        <w:t>golpe jurídico-midiático-parlamentar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(SAVIANI, 2016, p. 390) </w:t>
      </w:r>
      <w:r w:rsidR="00ED4430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que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destituiu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>P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residenta Dilma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Rousseff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do </w:t>
      </w:r>
      <w:r w:rsidR="005E586C" w:rsidRPr="00EB73C8">
        <w:rPr>
          <w:rFonts w:ascii="Arial" w:hAnsi="Arial" w:cs="Arial"/>
          <w:color w:val="333333"/>
          <w:spacing w:val="-10"/>
          <w:sz w:val="24"/>
          <w:szCs w:val="24"/>
        </w:rPr>
        <w:t>cargo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é muito complexa e com alguns ret</w:t>
      </w:r>
      <w:r w:rsidR="00A21872" w:rsidRPr="00EB73C8">
        <w:rPr>
          <w:rFonts w:ascii="Arial" w:hAnsi="Arial" w:cs="Arial"/>
          <w:color w:val="333333"/>
          <w:spacing w:val="-10"/>
          <w:sz w:val="24"/>
          <w:szCs w:val="24"/>
        </w:rPr>
        <w:t>rocessos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como</w:t>
      </w:r>
      <w:r w:rsidR="00A21872" w:rsidRPr="00EB73C8">
        <w:rPr>
          <w:rFonts w:ascii="Arial" w:hAnsi="Arial" w:cs="Arial"/>
          <w:color w:val="333333"/>
          <w:spacing w:val="-10"/>
          <w:sz w:val="24"/>
          <w:szCs w:val="24"/>
        </w:rPr>
        <w:t>,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por exemplo</w:t>
      </w:r>
      <w:r w:rsidR="00A21872" w:rsidRPr="00EB73C8">
        <w:rPr>
          <w:rFonts w:ascii="Arial" w:hAnsi="Arial" w:cs="Arial"/>
          <w:color w:val="333333"/>
          <w:spacing w:val="-10"/>
          <w:sz w:val="24"/>
          <w:szCs w:val="24"/>
        </w:rPr>
        <w:t>,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a modificação da composição do CNE e do Fórum Nacional de Educação.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O senhor acha que tal conjuntura implica</w:t>
      </w:r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em mudanças em relação aos CME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? 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C6674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8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126115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C6674B" w:rsidRPr="00EB73C8">
        <w:rPr>
          <w:rFonts w:ascii="Arial" w:hAnsi="Arial" w:cs="Arial"/>
          <w:color w:val="333333"/>
          <w:spacing w:val="-10"/>
          <w:sz w:val="24"/>
          <w:szCs w:val="24"/>
        </w:rPr>
        <w:t>Sim e não. De um lado, o regime de colaboração fica comprometido na medida em que o PNE está praticamente esquecido</w:t>
      </w:r>
      <w:r w:rsidR="00EA4688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. De outro lado, os CME, dentro da autonomia relativa dos Municípios tem o dever de levar adiante, à luz de suas atribuições, tanto o registro das limitações advindas das políticas vigentes quanto o buscar efetivar o que for possível. O pior dos mundos é o que ocorreu durante o regime militar: sair dos Conselhos ou não participar deles é deixar o espaço aberto para que tais políticas ganhem terreno nos municípios.  </w:t>
      </w:r>
    </w:p>
    <w:p w:rsidR="00791DCB" w:rsidRPr="00EB73C8" w:rsidRDefault="00791DCB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8E175B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126115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>Um dos temas presente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>s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nos debates das </w:t>
      </w:r>
      <w:proofErr w:type="spellStart"/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>CONAE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>’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>s</w:t>
      </w:r>
      <w:proofErr w:type="spellEnd"/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(2010 e 2014) foi a qualidade educacional, que nos documentos aprovados passou a ser designada como qua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lidade socialmente referenciada. Quais 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são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as características da educação de qualidade socialmente referenciada? 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EA4688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9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: </w:t>
      </w:r>
      <w:r w:rsidR="00EA4688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 qualidade socialmente referenciada tem a ver com vários fatores. Um deles (que não é competência direta dos Conselhos e das Secretarias Municipais) é a formação docente, sólida, fundamentada, contextualizada e capaz de efetivar práticas relevantes na relação ensino/aprendizagem. Um outro tem a ver com as condições de trabalho dos docentes que devem atender aos pressupostos da legislação que abranjam tanto salários condignos e carreira atraente quanto espaços pedagógicos adequados no interior das unidades escolares. É também dever das municipalidades a </w:t>
      </w:r>
      <w:r w:rsidR="00EA4688" w:rsidRPr="00EB73C8">
        <w:rPr>
          <w:rFonts w:ascii="Arial" w:hAnsi="Arial" w:cs="Arial"/>
          <w:color w:val="333333"/>
          <w:spacing w:val="-10"/>
          <w:sz w:val="24"/>
          <w:szCs w:val="24"/>
        </w:rPr>
        <w:lastRenderedPageBreak/>
        <w:t>oferta de formação continuada a partir das necessidades sentidas pelo corpo docente. Aqui o papel dos CME é fundamental.</w:t>
      </w:r>
    </w:p>
    <w:p w:rsidR="000D4826" w:rsidRPr="00EB73C8" w:rsidRDefault="000D4826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0D4826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126115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Os</w:t>
      </w:r>
      <w:r w:rsidR="00BB1F93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Conselhos Municipais de E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ducação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conseguem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atuar no sentido de garantir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uma educação</w:t>
      </w:r>
      <w:r w:rsidR="00BB1F93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de </w:t>
      </w:r>
      <w:r w:rsidR="000D4826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qualidade socialmente referenciada? 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04010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10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: </w:t>
      </w:r>
      <w:r w:rsidR="0004010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Eles não podem "garantir" a não ser dentro de suas atribuições e funções. Daí a importância de uma gestão nos CME que seja uma espécie de "Ouvidoria" dos docentes, discente e suas famílias, bem como um papel reflexivo junto aos órgãos executivos, legislativos e judiciários. Os Conselhos são de lei e devem estar a salvo da rotatividade dos governos mantendo o espírito das leis e das normas da educação escolar. Por fim, cabe a eles traduzir em normas próprias, aclimatadas às especificidades locais, as diretrizes nacionais, entre as quais a base curricular.     </w:t>
      </w:r>
    </w:p>
    <w:p w:rsidR="000D4826" w:rsidRPr="00EB73C8" w:rsidRDefault="000D4826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F1365C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126115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Os Conselhos Municipais de Educação atuam em âmbito local, em municípios heterogêneos quanto ao tamanho, capacidade técnica e condições de funcionamento dos próprios conselhos. Em sua opinião como dever ser (ou como se dá) a relação entre os executivos municipais e seus </w:t>
      </w:r>
      <w:proofErr w:type="spellStart"/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CMEs</w:t>
      </w:r>
      <w:proofErr w:type="spellEnd"/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?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04010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11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126115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:  </w:t>
      </w:r>
      <w:r w:rsidR="0004010B" w:rsidRPr="00EB73C8">
        <w:rPr>
          <w:rFonts w:ascii="Arial" w:hAnsi="Arial" w:cs="Arial"/>
          <w:color w:val="333333"/>
          <w:spacing w:val="-10"/>
          <w:sz w:val="24"/>
          <w:szCs w:val="24"/>
        </w:rPr>
        <w:t>Os CME atuam junto a outros Conselhos como o do FUNDEB, o da Merenda, o Tutelar aos quais cabe uma ação específica. Por sua vez, os conselheiros devem assumir sua função conhecendo melhor o seu município em termos de territorialidade, demografia e estratificação social, afora o conhecimentos das leis e das normas. Um mínimo de conhecimento de orçamento público lhes é indispensável. Se não houver domínio de conhecimentos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a relação torna-se muito desigual.</w:t>
      </w:r>
      <w:r w:rsidR="0004010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>O</w:t>
      </w:r>
      <w:r w:rsidR="0004010B" w:rsidRPr="00EB73C8">
        <w:rPr>
          <w:rFonts w:ascii="Arial" w:hAnsi="Arial" w:cs="Arial"/>
          <w:color w:val="333333"/>
          <w:spacing w:val="-10"/>
          <w:sz w:val="24"/>
          <w:szCs w:val="24"/>
        </w:rPr>
        <w:t>s conselheiros poderão atuar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mas a boa vontade é insuficiente.</w:t>
      </w:r>
      <w:r w:rsidR="0004010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</w:p>
    <w:p w:rsidR="00126115" w:rsidRPr="00EB73C8" w:rsidRDefault="00126115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784CCE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C2348D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8E175B" w:rsidRPr="00EB73C8">
        <w:rPr>
          <w:rFonts w:ascii="Arial" w:hAnsi="Arial" w:cs="Arial"/>
          <w:color w:val="333333"/>
          <w:spacing w:val="-10"/>
          <w:sz w:val="24"/>
          <w:szCs w:val="24"/>
        </w:rPr>
        <w:t>Como o senhor ana</w:t>
      </w:r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lisa a forma como são constituídos os </w:t>
      </w:r>
      <w:proofErr w:type="spellStart"/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>CMEs</w:t>
      </w:r>
      <w:proofErr w:type="spellEnd"/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e a composição de seus membros?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2A1CD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12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C2348D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Isto tem tido grandes variações, seja em número, seja na composição e até mesmo na forma de nomeação. Ressalvados atos autoritários como os havidos com o CNE e o FNE, creio que mirar-se nas </w:t>
      </w:r>
      <w:proofErr w:type="gramStart"/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>normas  que</w:t>
      </w:r>
      <w:proofErr w:type="gramEnd"/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regem o CNE, pode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lastRenderedPageBreak/>
        <w:t>ser um bom início de conversa... De todo o modo, a composição plural necessária não elide a necessidade de estudos para ir se tornando conselheiro.</w:t>
      </w:r>
    </w:p>
    <w:p w:rsidR="00784CCE" w:rsidRPr="00EB73C8" w:rsidRDefault="00784CCE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791DCB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C2348D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Uma das tarefas dos </w:t>
      </w:r>
      <w:proofErr w:type="spellStart"/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>CMEs</w:t>
      </w:r>
      <w:proofErr w:type="spellEnd"/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é o controle social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>. E</w:t>
      </w:r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>m sua opinião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>,</w:t>
      </w:r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os </w:t>
      </w:r>
      <w:proofErr w:type="spellStart"/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>CMEs</w:t>
      </w:r>
      <w:proofErr w:type="spellEnd"/>
      <w:r w:rsidR="00791DC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desempenham esta tarefa a contento? 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2A1CDB" w:rsidRPr="00EB73C8" w:rsidRDefault="00A36326" w:rsidP="00791DCB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13" w:history="1">
        <w:r w:rsidR="00791DCB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: 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Tal tarefa ainda está por exigir uma investigação mais precisa a fim de aquilatar se o desempenho se dá a contento. Esta talvez seja uma ação interessante para articular a UNCME e as universidades. </w:t>
      </w:r>
    </w:p>
    <w:p w:rsidR="00784CCE" w:rsidRPr="00EB73C8" w:rsidRDefault="00784CCE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784CCE" w:rsidRPr="00EB73C8" w:rsidRDefault="00DF6520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r>
        <w:rPr>
          <w:rFonts w:ascii="Arial" w:hAnsi="Arial" w:cs="Arial"/>
          <w:b/>
          <w:color w:val="333333"/>
          <w:spacing w:val="-10"/>
          <w:sz w:val="24"/>
          <w:szCs w:val="24"/>
        </w:rPr>
        <w:t>Fabio Perboni</w:t>
      </w:r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C2348D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Em sua opinião o que </w:t>
      </w:r>
      <w:r w:rsidR="00CE6588" w:rsidRPr="00EB73C8">
        <w:rPr>
          <w:rFonts w:ascii="Arial" w:hAnsi="Arial" w:cs="Arial"/>
          <w:color w:val="333333"/>
          <w:spacing w:val="-10"/>
          <w:sz w:val="24"/>
          <w:szCs w:val="24"/>
        </w:rPr>
        <w:t>podemos esperar da atuação dos C</w:t>
      </w:r>
      <w:r w:rsidR="00784CCE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onselhos em relação ao monitoramento dos Planos Municipais de Educação.  </w:t>
      </w:r>
    </w:p>
    <w:p w:rsidR="00C2348D" w:rsidRPr="00EB73C8" w:rsidRDefault="00C2348D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</w:p>
    <w:p w:rsidR="002A1CDB" w:rsidRPr="00EB73C8" w:rsidRDefault="00A36326" w:rsidP="00CF0FCE">
      <w:pPr>
        <w:spacing w:after="0" w:line="360" w:lineRule="auto"/>
        <w:jc w:val="both"/>
        <w:rPr>
          <w:rFonts w:ascii="Arial" w:hAnsi="Arial" w:cs="Arial"/>
          <w:color w:val="333333"/>
          <w:spacing w:val="-10"/>
          <w:sz w:val="24"/>
          <w:szCs w:val="24"/>
        </w:rPr>
      </w:pPr>
      <w:hyperlink r:id="rId14" w:history="1">
        <w:r w:rsidR="00C32420" w:rsidRPr="00EB73C8">
          <w:rPr>
            <w:rFonts w:ascii="Arial" w:hAnsi="Arial" w:cs="Arial"/>
            <w:b/>
            <w:color w:val="333333"/>
            <w:spacing w:val="-10"/>
            <w:sz w:val="24"/>
            <w:szCs w:val="24"/>
          </w:rPr>
          <w:t>Carlos Roberto Jamil Cury</w:t>
        </w:r>
      </w:hyperlink>
      <w:r w:rsidR="00C2348D" w:rsidRPr="00EB73C8">
        <w:rPr>
          <w:rFonts w:ascii="Arial" w:hAnsi="Arial" w:cs="Arial"/>
          <w:b/>
          <w:color w:val="333333"/>
          <w:spacing w:val="-10"/>
          <w:sz w:val="24"/>
          <w:szCs w:val="24"/>
        </w:rPr>
        <w:t>:</w:t>
      </w:r>
      <w:r w:rsidR="00C2348D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Sofremos um verdadeiro choque ao tomarmos ciência de que o atual ocupante da Presidência da República vetou o financiamento de um dos "corações" do PNE: o custo-aluno-qualidade inicial. Isto limita o </w:t>
      </w:r>
      <w:proofErr w:type="spellStart"/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>transfert</w:t>
      </w:r>
      <w:proofErr w:type="spellEnd"/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de recursos que a União e os Estados deveriam repassar para a consecução da meta 1 e de outras de domínio conexo. Apesar disto, é possível dar continuidade aos PME</w:t>
      </w:r>
      <w:r w:rsidR="00F304FF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dentro dos recursos disponíveis. Isto me conduz de volta à questão de número 5. O CME, nesse e noutros campos, não pode atuar sozinho. </w:t>
      </w:r>
      <w:r w:rsidR="002A1CDB" w:rsidRPr="00EB73C8">
        <w:rPr>
          <w:rFonts w:ascii="Arial" w:hAnsi="Arial" w:cs="Arial"/>
          <w:color w:val="333333"/>
          <w:spacing w:val="-10"/>
          <w:sz w:val="24"/>
          <w:szCs w:val="24"/>
        </w:rPr>
        <w:t xml:space="preserve">  </w:t>
      </w:r>
    </w:p>
    <w:p w:rsidR="00C0122D" w:rsidRPr="00EB73C8" w:rsidRDefault="00C0122D" w:rsidP="00791D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122D" w:rsidRDefault="00C0122D" w:rsidP="00C0122D">
      <w:pPr>
        <w:pStyle w:val="Default"/>
        <w:rPr>
          <w:rFonts w:ascii="Arial" w:hAnsi="Arial" w:cs="Arial"/>
          <w:b/>
          <w:bCs/>
        </w:rPr>
      </w:pPr>
      <w:r w:rsidRPr="00EB73C8">
        <w:rPr>
          <w:rFonts w:ascii="Arial" w:hAnsi="Arial" w:cs="Arial"/>
          <w:b/>
          <w:bCs/>
        </w:rPr>
        <w:t xml:space="preserve">Seleção de Publicações do Entrevistado </w:t>
      </w:r>
    </w:p>
    <w:p w:rsidR="00DF6520" w:rsidRPr="00EB73C8" w:rsidRDefault="00DF6520" w:rsidP="00C0122D">
      <w:pPr>
        <w:pStyle w:val="Default"/>
        <w:rPr>
          <w:rFonts w:ascii="Arial" w:hAnsi="Arial" w:cs="Arial"/>
        </w:rPr>
      </w:pPr>
    </w:p>
    <w:p w:rsidR="00C0122D" w:rsidRPr="00EB73C8" w:rsidRDefault="00C0122D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 xml:space="preserve">CURY, C. R. J. </w:t>
      </w:r>
      <w:r w:rsidRPr="00EB73C8">
        <w:rPr>
          <w:rFonts w:ascii="Arial" w:hAnsi="Arial" w:cs="Arial"/>
          <w:i/>
          <w:iCs/>
        </w:rPr>
        <w:t>Educação e direito à educação no Brasil</w:t>
      </w:r>
      <w:r w:rsidRPr="00EB73C8">
        <w:rPr>
          <w:rFonts w:ascii="Arial" w:hAnsi="Arial" w:cs="Arial"/>
          <w:i/>
        </w:rPr>
        <w:t>: um histórico pelas Constituições</w:t>
      </w:r>
      <w:r w:rsidRPr="00EB73C8">
        <w:rPr>
          <w:rFonts w:ascii="Arial" w:hAnsi="Arial" w:cs="Arial"/>
        </w:rPr>
        <w:t xml:space="preserve">. 1a. ed. Belo Horizonte: </w:t>
      </w:r>
      <w:proofErr w:type="spellStart"/>
      <w:r w:rsidRPr="00EB73C8">
        <w:rPr>
          <w:rFonts w:ascii="Arial" w:hAnsi="Arial" w:cs="Arial"/>
        </w:rPr>
        <w:t>Mazza</w:t>
      </w:r>
      <w:proofErr w:type="spellEnd"/>
      <w:r w:rsidRPr="00EB73C8">
        <w:rPr>
          <w:rFonts w:ascii="Arial" w:hAnsi="Arial" w:cs="Arial"/>
        </w:rPr>
        <w:t xml:space="preserve"> edições, 2014.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 </w:t>
      </w:r>
      <w:r w:rsidR="00C0122D" w:rsidRPr="00EB73C8">
        <w:rPr>
          <w:rFonts w:ascii="Arial" w:hAnsi="Arial" w:cs="Arial"/>
          <w:i/>
          <w:iCs/>
        </w:rPr>
        <w:t>Por um sistema nacional de educação</w:t>
      </w:r>
      <w:r w:rsidR="00C0122D" w:rsidRPr="00EB73C8">
        <w:rPr>
          <w:rFonts w:ascii="Arial" w:hAnsi="Arial" w:cs="Arial"/>
          <w:b/>
        </w:rPr>
        <w:t>.</w:t>
      </w:r>
      <w:r w:rsidR="00C0122D" w:rsidRPr="00EB73C8">
        <w:rPr>
          <w:rFonts w:ascii="Arial" w:hAnsi="Arial" w:cs="Arial"/>
        </w:rPr>
        <w:t xml:space="preserve"> 1a. ed. São Paulo: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 </w:t>
      </w:r>
      <w:r w:rsidR="00C0122D" w:rsidRPr="00EB73C8">
        <w:rPr>
          <w:rFonts w:ascii="Arial" w:hAnsi="Arial" w:cs="Arial"/>
          <w:i/>
          <w:iCs/>
        </w:rPr>
        <w:t>Lazer, Cidadania e Responsabilidade Social</w:t>
      </w:r>
      <w:r w:rsidR="00C0122D" w:rsidRPr="00EB73C8">
        <w:rPr>
          <w:rFonts w:ascii="Arial" w:hAnsi="Arial" w:cs="Arial"/>
        </w:rPr>
        <w:t xml:space="preserve">. 1. ed. Brasília: SESI/DN, 2006.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 </w:t>
      </w:r>
      <w:r w:rsidR="00C0122D" w:rsidRPr="00EB73C8">
        <w:rPr>
          <w:rFonts w:ascii="Arial" w:hAnsi="Arial" w:cs="Arial"/>
          <w:i/>
          <w:iCs/>
        </w:rPr>
        <w:t>Os Fora de série na escola</w:t>
      </w:r>
      <w:r w:rsidR="00C0122D" w:rsidRPr="00EB73C8">
        <w:rPr>
          <w:rFonts w:ascii="Arial" w:hAnsi="Arial" w:cs="Arial"/>
          <w:b/>
        </w:rPr>
        <w:t>.</w:t>
      </w:r>
      <w:r w:rsidR="00C0122D" w:rsidRPr="00EB73C8">
        <w:rPr>
          <w:rFonts w:ascii="Arial" w:hAnsi="Arial" w:cs="Arial"/>
        </w:rPr>
        <w:t xml:space="preserve"> 1a.. ed. Campinas: Autores Associados, 2005.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</w:t>
      </w:r>
      <w:r w:rsidR="00C0122D" w:rsidRPr="00EB73C8">
        <w:rPr>
          <w:rFonts w:ascii="Arial" w:hAnsi="Arial" w:cs="Arial"/>
          <w:i/>
          <w:iCs/>
        </w:rPr>
        <w:t>A Educação na Revisão Constitucional de 1925-1926</w:t>
      </w:r>
      <w:r w:rsidR="00C0122D" w:rsidRPr="00EB73C8">
        <w:rPr>
          <w:rFonts w:ascii="Arial" w:hAnsi="Arial" w:cs="Arial"/>
        </w:rPr>
        <w:t xml:space="preserve">. Bragança Paulista, SP: Universidade São Francisco, 2003.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</w:t>
      </w:r>
      <w:r w:rsidR="00C0122D" w:rsidRPr="00EB73C8">
        <w:rPr>
          <w:rFonts w:ascii="Arial" w:hAnsi="Arial" w:cs="Arial"/>
          <w:i/>
          <w:iCs/>
        </w:rPr>
        <w:t>Educação, legislação e cidadania</w:t>
      </w:r>
      <w:r w:rsidR="00C0122D" w:rsidRPr="00EB73C8">
        <w:rPr>
          <w:rFonts w:ascii="Arial" w:hAnsi="Arial" w:cs="Arial"/>
        </w:rPr>
        <w:t xml:space="preserve">. Recife-Pernambuco: Editora Universitária da UPFPE, 2001.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lastRenderedPageBreak/>
        <w:t>CURY, C. R. J</w:t>
      </w:r>
      <w:r w:rsidR="00C0122D" w:rsidRPr="00EB73C8">
        <w:rPr>
          <w:rFonts w:ascii="Arial" w:hAnsi="Arial" w:cs="Arial"/>
        </w:rPr>
        <w:t xml:space="preserve">. </w:t>
      </w:r>
      <w:r w:rsidR="00C0122D" w:rsidRPr="00EB73C8">
        <w:rPr>
          <w:rFonts w:ascii="Arial" w:hAnsi="Arial" w:cs="Arial"/>
          <w:i/>
          <w:iCs/>
        </w:rPr>
        <w:t>Legislação educacional brasileira</w:t>
      </w:r>
      <w:r w:rsidR="00C0122D" w:rsidRPr="00EB73C8">
        <w:rPr>
          <w:rFonts w:ascii="Arial" w:hAnsi="Arial" w:cs="Arial"/>
        </w:rPr>
        <w:t xml:space="preserve">. 1. Ed. Rio de Janeiro: DP&amp;A, 2000.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</w:t>
      </w:r>
      <w:r w:rsidR="00C0122D" w:rsidRPr="00EB73C8">
        <w:rPr>
          <w:rFonts w:ascii="Arial" w:hAnsi="Arial" w:cs="Arial"/>
          <w:i/>
          <w:iCs/>
        </w:rPr>
        <w:t>Ideologia e educação brasileira</w:t>
      </w:r>
      <w:r w:rsidR="00C0122D" w:rsidRPr="00EB73C8">
        <w:rPr>
          <w:rFonts w:ascii="Arial" w:hAnsi="Arial" w:cs="Arial"/>
          <w:b/>
        </w:rPr>
        <w:t>:</w:t>
      </w:r>
      <w:r w:rsidR="00C0122D" w:rsidRPr="00EB73C8">
        <w:rPr>
          <w:rFonts w:ascii="Arial" w:hAnsi="Arial" w:cs="Arial"/>
        </w:rPr>
        <w:t xml:space="preserve"> Católicos e Liberais(1930-1935). 5. ed. São Paulo: Cortez e Associados, 1995.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</w:t>
      </w:r>
      <w:r w:rsidR="00C0122D" w:rsidRPr="00EB73C8">
        <w:rPr>
          <w:rFonts w:ascii="Arial" w:hAnsi="Arial" w:cs="Arial"/>
          <w:i/>
          <w:iCs/>
        </w:rPr>
        <w:t>Educação e contradição</w:t>
      </w:r>
      <w:r w:rsidR="00C0122D" w:rsidRPr="00EB73C8">
        <w:rPr>
          <w:rFonts w:ascii="Arial" w:hAnsi="Arial" w:cs="Arial"/>
          <w:i/>
        </w:rPr>
        <w:t>: elementos teórico-metodológico para uma teoria crítica do fenômeno educativo</w:t>
      </w:r>
      <w:r w:rsidR="00C0122D" w:rsidRPr="00EB73C8">
        <w:rPr>
          <w:rFonts w:ascii="Arial" w:hAnsi="Arial" w:cs="Arial"/>
        </w:rPr>
        <w:t xml:space="preserve">. 6. ed. São Paulo: Cortez e Associados, 1989.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>. Brasil: que educação, para que país</w:t>
      </w:r>
      <w:proofErr w:type="gramStart"/>
      <w:r w:rsidR="00C0122D" w:rsidRPr="00EB73C8">
        <w:rPr>
          <w:rFonts w:ascii="Arial" w:hAnsi="Arial" w:cs="Arial"/>
        </w:rPr>
        <w:t xml:space="preserve"> ?.</w:t>
      </w:r>
      <w:proofErr w:type="gramEnd"/>
      <w:r w:rsidR="00C0122D" w:rsidRPr="00EB73C8">
        <w:rPr>
          <w:rFonts w:ascii="Arial" w:hAnsi="Arial" w:cs="Arial"/>
        </w:rPr>
        <w:t xml:space="preserve"> In: Hercules Pimenta dos Santos e Raquel Menezes Pacheco. (Org.). </w:t>
      </w:r>
      <w:r w:rsidR="00C0122D" w:rsidRPr="00EB73C8">
        <w:rPr>
          <w:rFonts w:ascii="Arial" w:hAnsi="Arial" w:cs="Arial"/>
          <w:i/>
          <w:iCs/>
        </w:rPr>
        <w:t xml:space="preserve">Brasil, que educação, para que </w:t>
      </w:r>
      <w:proofErr w:type="gramStart"/>
      <w:r w:rsidR="00C0122D" w:rsidRPr="00EB73C8">
        <w:rPr>
          <w:rFonts w:ascii="Arial" w:hAnsi="Arial" w:cs="Arial"/>
          <w:i/>
          <w:iCs/>
        </w:rPr>
        <w:t>país</w:t>
      </w:r>
      <w:r w:rsidR="00C0122D" w:rsidRPr="00EB73C8">
        <w:rPr>
          <w:rFonts w:ascii="Arial" w:hAnsi="Arial" w:cs="Arial"/>
          <w:i/>
        </w:rPr>
        <w:t>?.</w:t>
      </w:r>
      <w:proofErr w:type="gramEnd"/>
      <w:r w:rsidR="00C0122D" w:rsidRPr="00EB73C8">
        <w:rPr>
          <w:rFonts w:ascii="Arial" w:hAnsi="Arial" w:cs="Arial"/>
          <w:i/>
        </w:rPr>
        <w:t xml:space="preserve"> </w:t>
      </w:r>
      <w:r w:rsidR="00C0122D" w:rsidRPr="00EB73C8">
        <w:rPr>
          <w:rFonts w:ascii="Arial" w:hAnsi="Arial" w:cs="Arial"/>
        </w:rPr>
        <w:t xml:space="preserve">1ed.Belo Horizonte: </w:t>
      </w:r>
      <w:proofErr w:type="spellStart"/>
      <w:r w:rsidR="00C0122D" w:rsidRPr="00EB73C8">
        <w:rPr>
          <w:rFonts w:ascii="Arial" w:hAnsi="Arial" w:cs="Arial"/>
        </w:rPr>
        <w:t>Mazza</w:t>
      </w:r>
      <w:proofErr w:type="spellEnd"/>
      <w:r w:rsidR="00C0122D" w:rsidRPr="00EB73C8">
        <w:rPr>
          <w:rFonts w:ascii="Arial" w:hAnsi="Arial" w:cs="Arial"/>
        </w:rPr>
        <w:t xml:space="preserve"> Edições, 2015.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Por um PNE nacional, democrático e federativo. </w:t>
      </w:r>
      <w:r w:rsidR="00C0122D" w:rsidRPr="00EB73C8">
        <w:rPr>
          <w:rFonts w:ascii="Arial" w:hAnsi="Arial" w:cs="Arial"/>
          <w:i/>
          <w:iCs/>
        </w:rPr>
        <w:t>Educação Revista</w:t>
      </w:r>
      <w:r w:rsidR="00C0122D" w:rsidRPr="00EB73C8">
        <w:rPr>
          <w:rFonts w:ascii="Arial" w:hAnsi="Arial" w:cs="Arial"/>
          <w:b/>
        </w:rPr>
        <w:t>,</w:t>
      </w:r>
      <w:r w:rsidR="00C0122D" w:rsidRPr="00EB73C8">
        <w:rPr>
          <w:rFonts w:ascii="Arial" w:hAnsi="Arial" w:cs="Arial"/>
        </w:rPr>
        <w:t xml:space="preserve"> v. 2, p. 51-56, 2014.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A qualidade da educação brasileira como direito. </w:t>
      </w:r>
      <w:r w:rsidR="00C0122D" w:rsidRPr="00EB73C8">
        <w:rPr>
          <w:rFonts w:ascii="Arial" w:hAnsi="Arial" w:cs="Arial"/>
          <w:i/>
          <w:iCs/>
        </w:rPr>
        <w:t xml:space="preserve">Educação &amp; Sociedade </w:t>
      </w:r>
      <w:r w:rsidR="00C0122D" w:rsidRPr="00EB73C8">
        <w:rPr>
          <w:rFonts w:ascii="Arial" w:hAnsi="Arial" w:cs="Arial"/>
        </w:rPr>
        <w:t xml:space="preserve">(Impresso), v. 35, p. 1053-1066, 2014.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Fundamentos de uma educação para os direitos humanos. </w:t>
      </w:r>
      <w:r w:rsidR="00C0122D" w:rsidRPr="00EB73C8">
        <w:rPr>
          <w:rFonts w:ascii="Arial" w:hAnsi="Arial" w:cs="Arial"/>
          <w:i/>
          <w:iCs/>
        </w:rPr>
        <w:t xml:space="preserve">Revista do </w:t>
      </w:r>
      <w:proofErr w:type="gramStart"/>
      <w:r w:rsidR="00C0122D" w:rsidRPr="00EB73C8">
        <w:rPr>
          <w:rFonts w:ascii="Arial" w:hAnsi="Arial" w:cs="Arial"/>
          <w:i/>
          <w:iCs/>
        </w:rPr>
        <w:t xml:space="preserve">COGEIME </w:t>
      </w:r>
      <w:r w:rsidR="00C0122D" w:rsidRPr="00EB73C8">
        <w:rPr>
          <w:rFonts w:ascii="Arial" w:hAnsi="Arial" w:cs="Arial"/>
        </w:rPr>
        <w:t>,</w:t>
      </w:r>
      <w:proofErr w:type="gramEnd"/>
      <w:r w:rsidR="00C0122D" w:rsidRPr="00EB73C8">
        <w:rPr>
          <w:rFonts w:ascii="Arial" w:hAnsi="Arial" w:cs="Arial"/>
        </w:rPr>
        <w:t xml:space="preserve">v. 41, p. 131-144, 2013.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Os sentidos da Constituição. </w:t>
      </w:r>
      <w:r w:rsidR="00C0122D" w:rsidRPr="00EB73C8">
        <w:rPr>
          <w:rFonts w:ascii="Arial" w:hAnsi="Arial" w:cs="Arial"/>
          <w:i/>
          <w:iCs/>
        </w:rPr>
        <w:t>Revista Brasileira de Política e Administração da Educação</w:t>
      </w:r>
      <w:r w:rsidR="00C0122D" w:rsidRPr="00EB73C8">
        <w:rPr>
          <w:rFonts w:ascii="Arial" w:hAnsi="Arial" w:cs="Arial"/>
        </w:rPr>
        <w:t xml:space="preserve">, v. 29, p. 195-206, 2013.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 xml:space="preserve">. Laicidade, direitos humanos e democracia. </w:t>
      </w:r>
      <w:r w:rsidR="00C0122D" w:rsidRPr="00EB73C8">
        <w:rPr>
          <w:rFonts w:ascii="Arial" w:hAnsi="Arial" w:cs="Arial"/>
          <w:i/>
          <w:iCs/>
        </w:rPr>
        <w:t>Revista Contemporânea de Educação</w:t>
      </w:r>
      <w:r w:rsidR="00C0122D" w:rsidRPr="00EB73C8">
        <w:rPr>
          <w:rFonts w:ascii="Arial" w:hAnsi="Arial" w:cs="Arial"/>
          <w:b/>
        </w:rPr>
        <w:t>,</w:t>
      </w:r>
      <w:r w:rsidR="00C0122D" w:rsidRPr="00EB73C8">
        <w:rPr>
          <w:rFonts w:ascii="Arial" w:hAnsi="Arial" w:cs="Arial"/>
        </w:rPr>
        <w:t xml:space="preserve"> v. 8, p. 36-59, 2013. </w:t>
      </w:r>
    </w:p>
    <w:p w:rsidR="00C0122D" w:rsidRDefault="00EB73C8" w:rsidP="00EB73C8">
      <w:pPr>
        <w:pStyle w:val="Default"/>
        <w:spacing w:before="240"/>
        <w:jc w:val="both"/>
        <w:rPr>
          <w:rFonts w:ascii="Arial" w:hAnsi="Arial" w:cs="Arial"/>
          <w:bCs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</w:rPr>
        <w:t>. Lei de Responsabilidade Educacional</w:t>
      </w:r>
      <w:r w:rsidR="00C0122D" w:rsidRPr="00EB73C8">
        <w:rPr>
          <w:rFonts w:ascii="Arial" w:hAnsi="Arial" w:cs="Arial"/>
          <w:b/>
          <w:i/>
        </w:rPr>
        <w:t>.</w:t>
      </w:r>
      <w:r w:rsidR="00C0122D" w:rsidRPr="00EB73C8">
        <w:rPr>
          <w:rFonts w:ascii="Arial" w:hAnsi="Arial" w:cs="Arial"/>
          <w:i/>
        </w:rPr>
        <w:t xml:space="preserve"> </w:t>
      </w:r>
      <w:r w:rsidR="00C0122D" w:rsidRPr="00EB73C8">
        <w:rPr>
          <w:rFonts w:ascii="Arial" w:hAnsi="Arial" w:cs="Arial"/>
          <w:i/>
          <w:iCs/>
        </w:rPr>
        <w:t xml:space="preserve">Direito e Sociedade </w:t>
      </w:r>
      <w:r w:rsidR="00C0122D" w:rsidRPr="00EB73C8">
        <w:rPr>
          <w:rFonts w:ascii="Arial" w:hAnsi="Arial" w:cs="Arial"/>
          <w:i/>
        </w:rPr>
        <w:t>(Catanduva</w:t>
      </w:r>
      <w:r w:rsidR="00C0122D" w:rsidRPr="00EB73C8">
        <w:rPr>
          <w:rFonts w:ascii="Arial" w:hAnsi="Arial" w:cs="Arial"/>
          <w:b/>
        </w:rPr>
        <w:t>),</w:t>
      </w:r>
      <w:r w:rsidR="00C0122D" w:rsidRPr="00EB73C8">
        <w:rPr>
          <w:rFonts w:ascii="Arial" w:hAnsi="Arial" w:cs="Arial"/>
        </w:rPr>
        <w:t xml:space="preserve"> v. 7, p. 9-18, 2012. </w:t>
      </w:r>
      <w:proofErr w:type="spellStart"/>
      <w:r w:rsidR="00C0122D" w:rsidRPr="00EB73C8">
        <w:rPr>
          <w:rFonts w:ascii="Arial" w:hAnsi="Arial" w:cs="Arial"/>
          <w:bCs/>
        </w:rPr>
        <w:t>Zenilde</w:t>
      </w:r>
      <w:proofErr w:type="spellEnd"/>
      <w:r w:rsidR="00C0122D" w:rsidRPr="00EB73C8">
        <w:rPr>
          <w:rFonts w:ascii="Arial" w:hAnsi="Arial" w:cs="Arial"/>
          <w:bCs/>
        </w:rPr>
        <w:t xml:space="preserve"> DURLI, Vanessa do Socorro Silva COSTA, Ana Lúcia SANCHES Um olhar sobre o momento atual da educação brasileira: entrevista com Carlos Roberto Jamil Cury 921 </w:t>
      </w:r>
    </w:p>
    <w:p w:rsidR="00DF6520" w:rsidRPr="0039166C" w:rsidRDefault="00EB73C8" w:rsidP="00DF6520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DF6520" w:rsidRPr="0039166C">
        <w:rPr>
          <w:rFonts w:ascii="Arial" w:hAnsi="Arial" w:cs="Arial"/>
          <w:color w:val="auto"/>
        </w:rPr>
        <w:t xml:space="preserve">. Da cidadania aos direitos humanos. </w:t>
      </w:r>
      <w:r w:rsidR="00DF6520" w:rsidRPr="00EB73C8">
        <w:rPr>
          <w:rFonts w:ascii="Arial" w:hAnsi="Arial" w:cs="Arial"/>
          <w:i/>
          <w:iCs/>
          <w:color w:val="auto"/>
        </w:rPr>
        <w:t>Revista do Instituto de Ciências Humanas</w:t>
      </w:r>
      <w:r w:rsidR="00DF6520" w:rsidRPr="0039166C">
        <w:rPr>
          <w:rFonts w:ascii="Arial" w:hAnsi="Arial" w:cs="Arial"/>
          <w:b/>
          <w:color w:val="auto"/>
        </w:rPr>
        <w:t>,</w:t>
      </w:r>
      <w:r w:rsidR="00DF6520" w:rsidRPr="0039166C">
        <w:rPr>
          <w:rFonts w:ascii="Arial" w:hAnsi="Arial" w:cs="Arial"/>
          <w:color w:val="auto"/>
        </w:rPr>
        <w:t xml:space="preserve"> v. 6, p. 13-20, 2011.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Por um novo Plano Nacional de Educação. </w:t>
      </w:r>
      <w:r w:rsidR="00C0122D" w:rsidRPr="00EB73C8">
        <w:rPr>
          <w:rFonts w:ascii="Arial" w:hAnsi="Arial" w:cs="Arial"/>
          <w:i/>
          <w:iCs/>
          <w:color w:val="auto"/>
        </w:rPr>
        <w:t xml:space="preserve">Cadernos de Pesquisa </w:t>
      </w:r>
      <w:r w:rsidR="00C0122D" w:rsidRPr="00EB73C8">
        <w:rPr>
          <w:rFonts w:ascii="Arial" w:hAnsi="Arial" w:cs="Arial"/>
          <w:i/>
          <w:color w:val="auto"/>
        </w:rPr>
        <w:t>(Fundação Carlos Chagas. Impresso),</w:t>
      </w:r>
      <w:r w:rsidR="00C0122D" w:rsidRPr="00EB73C8">
        <w:rPr>
          <w:rFonts w:ascii="Arial" w:hAnsi="Arial" w:cs="Arial"/>
          <w:color w:val="auto"/>
        </w:rPr>
        <w:t xml:space="preserve"> v. 41, p. 792-813, 2011.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O debate sobre a pesquisa e a avaliação da pós-graduação em educação. </w:t>
      </w:r>
      <w:r w:rsidR="00C0122D" w:rsidRPr="00EB73C8">
        <w:rPr>
          <w:rFonts w:ascii="Arial" w:hAnsi="Arial" w:cs="Arial"/>
          <w:i/>
          <w:iCs/>
          <w:color w:val="auto"/>
        </w:rPr>
        <w:t>Revista Brasileira de Educação</w:t>
      </w:r>
      <w:r w:rsidR="00C0122D" w:rsidRPr="00EB73C8">
        <w:rPr>
          <w:rFonts w:ascii="Arial" w:hAnsi="Arial" w:cs="Arial"/>
          <w:color w:val="auto"/>
        </w:rPr>
        <w:t xml:space="preserve">, v. 15, p. 162-165,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República - Educação - Cidadania: tensões e conflitos. </w:t>
      </w:r>
      <w:r w:rsidR="00C0122D" w:rsidRPr="00EB73C8">
        <w:rPr>
          <w:rFonts w:ascii="Arial" w:hAnsi="Arial" w:cs="Arial"/>
          <w:i/>
          <w:iCs/>
          <w:color w:val="auto"/>
        </w:rPr>
        <w:t xml:space="preserve">Cadernos de História da Educação </w:t>
      </w:r>
      <w:r w:rsidR="00C0122D" w:rsidRPr="00EB73C8">
        <w:rPr>
          <w:rFonts w:ascii="Arial" w:hAnsi="Arial" w:cs="Arial"/>
          <w:i/>
          <w:color w:val="auto"/>
        </w:rPr>
        <w:t>(UFU. Impresso)</w:t>
      </w:r>
      <w:r w:rsidR="00C0122D" w:rsidRPr="00EB73C8">
        <w:rPr>
          <w:rFonts w:ascii="Arial" w:hAnsi="Arial" w:cs="Arial"/>
          <w:b/>
          <w:color w:val="auto"/>
        </w:rPr>
        <w:t>,</w:t>
      </w:r>
      <w:r w:rsidR="00C0122D" w:rsidRPr="00EB73C8">
        <w:rPr>
          <w:rFonts w:ascii="Arial" w:hAnsi="Arial" w:cs="Arial"/>
          <w:color w:val="auto"/>
        </w:rPr>
        <w:t xml:space="preserve"> v. 9, p. 31-43,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Educação e crise: perspectivas para o Brasil. </w:t>
      </w:r>
      <w:r w:rsidR="00C0122D" w:rsidRPr="00EB73C8">
        <w:rPr>
          <w:rFonts w:ascii="Arial" w:hAnsi="Arial" w:cs="Arial"/>
          <w:i/>
          <w:iCs/>
          <w:color w:val="auto"/>
        </w:rPr>
        <w:t xml:space="preserve">Educação &amp; Sociedade </w:t>
      </w:r>
      <w:r w:rsidR="00C0122D" w:rsidRPr="00EB73C8">
        <w:rPr>
          <w:rFonts w:ascii="Arial" w:hAnsi="Arial" w:cs="Arial"/>
          <w:color w:val="auto"/>
        </w:rPr>
        <w:t xml:space="preserve">(Impresso), v. 31, p. 1089-1098,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FERREIRA, L.A.M. Obrigatoriedade da educação das crianças e adolescentes: uma questão de oferta ou de efetivo atendimento. </w:t>
      </w:r>
      <w:r w:rsidR="00C0122D" w:rsidRPr="00EB73C8">
        <w:rPr>
          <w:rFonts w:ascii="Arial" w:hAnsi="Arial" w:cs="Arial"/>
          <w:i/>
          <w:iCs/>
          <w:color w:val="auto"/>
        </w:rPr>
        <w:t xml:space="preserve">Nuances </w:t>
      </w:r>
      <w:r w:rsidR="00C0122D" w:rsidRPr="00EB73C8">
        <w:rPr>
          <w:rFonts w:ascii="Arial" w:hAnsi="Arial" w:cs="Arial"/>
          <w:i/>
          <w:color w:val="auto"/>
        </w:rPr>
        <w:t>(UNESP Presidente Prudente)</w:t>
      </w:r>
      <w:r w:rsidR="00C0122D" w:rsidRPr="00EB73C8">
        <w:rPr>
          <w:rFonts w:ascii="Arial" w:hAnsi="Arial" w:cs="Arial"/>
          <w:color w:val="auto"/>
        </w:rPr>
        <w:t xml:space="preserve">, v. 17, p. 125-144,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lastRenderedPageBreak/>
        <w:t>CURY, C. R. J</w:t>
      </w:r>
      <w:r w:rsidR="00C0122D" w:rsidRPr="00EB73C8">
        <w:rPr>
          <w:rFonts w:ascii="Arial" w:hAnsi="Arial" w:cs="Arial"/>
          <w:color w:val="auto"/>
        </w:rPr>
        <w:t xml:space="preserve">. Qualidade em Educação. </w:t>
      </w:r>
      <w:r w:rsidR="00C0122D" w:rsidRPr="00EB73C8">
        <w:rPr>
          <w:rFonts w:ascii="Arial" w:hAnsi="Arial" w:cs="Arial"/>
          <w:i/>
          <w:iCs/>
          <w:color w:val="auto"/>
        </w:rPr>
        <w:t xml:space="preserve">Nuances </w:t>
      </w:r>
      <w:r w:rsidR="00C0122D" w:rsidRPr="00EB73C8">
        <w:rPr>
          <w:rFonts w:ascii="Arial" w:hAnsi="Arial" w:cs="Arial"/>
          <w:color w:val="auto"/>
        </w:rPr>
        <w:t xml:space="preserve">(UNESP Presidente Prudente), v. 17, p. 17-34, 2010. </w:t>
      </w:r>
    </w:p>
    <w:p w:rsidR="00C0122D" w:rsidRPr="00EB73C8" w:rsidRDefault="00EB73C8" w:rsidP="00EB73C8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EB73C8">
        <w:rPr>
          <w:rFonts w:ascii="Arial" w:hAnsi="Arial" w:cs="Arial"/>
        </w:rPr>
        <w:t>CURY, C. R. J</w:t>
      </w:r>
      <w:r w:rsidR="00C0122D" w:rsidRPr="00EB73C8">
        <w:rPr>
          <w:rFonts w:ascii="Arial" w:hAnsi="Arial" w:cs="Arial"/>
          <w:color w:val="auto"/>
        </w:rPr>
        <w:t xml:space="preserve">. Educação Básica no Brasil como desafio. </w:t>
      </w:r>
      <w:proofErr w:type="spellStart"/>
      <w:r w:rsidR="00C0122D" w:rsidRPr="00EB73C8">
        <w:rPr>
          <w:rFonts w:ascii="Arial" w:hAnsi="Arial" w:cs="Arial"/>
          <w:i/>
          <w:iCs/>
          <w:color w:val="auto"/>
        </w:rPr>
        <w:t>Propuesta</w:t>
      </w:r>
      <w:proofErr w:type="spellEnd"/>
      <w:r w:rsidR="00C0122D" w:rsidRPr="00EB73C8">
        <w:rPr>
          <w:rFonts w:ascii="Arial" w:hAnsi="Arial" w:cs="Arial"/>
          <w:i/>
          <w:iCs/>
          <w:color w:val="auto"/>
        </w:rPr>
        <w:t xml:space="preserve"> Educativa </w:t>
      </w:r>
      <w:r w:rsidR="00C0122D" w:rsidRPr="00EB73C8">
        <w:rPr>
          <w:rFonts w:ascii="Arial" w:hAnsi="Arial" w:cs="Arial"/>
          <w:i/>
          <w:color w:val="auto"/>
        </w:rPr>
        <w:t>(Buenos Aires),</w:t>
      </w:r>
      <w:r w:rsidR="00C0122D" w:rsidRPr="00EB73C8">
        <w:rPr>
          <w:rFonts w:ascii="Arial" w:hAnsi="Arial" w:cs="Arial"/>
          <w:color w:val="auto"/>
        </w:rPr>
        <w:t xml:space="preserve"> v.34, p. 25-36, 2010. </w:t>
      </w:r>
    </w:p>
    <w:p w:rsidR="00791DCB" w:rsidRPr="00EB73C8" w:rsidRDefault="00EB73C8" w:rsidP="00EB73C8">
      <w:pPr>
        <w:spacing w:before="240" w:after="0" w:line="240" w:lineRule="auto"/>
        <w:jc w:val="both"/>
        <w:rPr>
          <w:rFonts w:ascii="Arial" w:hAnsi="Arial" w:cs="Arial"/>
          <w:b/>
          <w:color w:val="333333"/>
          <w:spacing w:val="-10"/>
          <w:sz w:val="24"/>
          <w:szCs w:val="24"/>
        </w:rPr>
      </w:pPr>
      <w:r w:rsidRPr="00EB73C8">
        <w:rPr>
          <w:rFonts w:ascii="Arial" w:hAnsi="Arial" w:cs="Arial"/>
          <w:sz w:val="24"/>
          <w:szCs w:val="24"/>
        </w:rPr>
        <w:t>CURY, C. R. J</w:t>
      </w:r>
      <w:r w:rsidR="00C0122D" w:rsidRPr="00EB73C8">
        <w:rPr>
          <w:rFonts w:ascii="Arial" w:hAnsi="Arial" w:cs="Arial"/>
          <w:sz w:val="24"/>
          <w:szCs w:val="24"/>
        </w:rPr>
        <w:t xml:space="preserve">. O Plano Nacional de Educação: o compromisso da universidade. </w:t>
      </w:r>
      <w:r w:rsidR="00C0122D" w:rsidRPr="00EB73C8">
        <w:rPr>
          <w:rFonts w:ascii="Arial" w:hAnsi="Arial" w:cs="Arial"/>
          <w:i/>
          <w:iCs/>
          <w:sz w:val="24"/>
          <w:szCs w:val="24"/>
        </w:rPr>
        <w:t xml:space="preserve">Revista e-Curriculum </w:t>
      </w:r>
      <w:r w:rsidR="00C0122D" w:rsidRPr="00EB73C8">
        <w:rPr>
          <w:rFonts w:ascii="Arial" w:hAnsi="Arial" w:cs="Arial"/>
          <w:i/>
          <w:sz w:val="24"/>
          <w:szCs w:val="24"/>
        </w:rPr>
        <w:t>(PUCSP),</w:t>
      </w:r>
      <w:r w:rsidR="00C0122D" w:rsidRPr="00EB73C8">
        <w:rPr>
          <w:rFonts w:ascii="Arial" w:hAnsi="Arial" w:cs="Arial"/>
          <w:b/>
          <w:sz w:val="24"/>
          <w:szCs w:val="24"/>
        </w:rPr>
        <w:t xml:space="preserve"> </w:t>
      </w:r>
      <w:r w:rsidR="00C0122D" w:rsidRPr="00EB73C8">
        <w:rPr>
          <w:rFonts w:ascii="Arial" w:hAnsi="Arial" w:cs="Arial"/>
          <w:sz w:val="24"/>
          <w:szCs w:val="24"/>
        </w:rPr>
        <w:t xml:space="preserve">v. 6, p. 1-9, 2010. </w:t>
      </w:r>
    </w:p>
    <w:sectPr w:rsidR="00791DCB" w:rsidRPr="00EB73C8" w:rsidSect="00963803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26" w:rsidRDefault="00A36326" w:rsidP="0047108E">
      <w:pPr>
        <w:spacing w:after="0" w:line="240" w:lineRule="auto"/>
      </w:pPr>
      <w:r>
        <w:separator/>
      </w:r>
    </w:p>
  </w:endnote>
  <w:endnote w:type="continuationSeparator" w:id="0">
    <w:p w:rsidR="00A36326" w:rsidRDefault="00A36326" w:rsidP="0047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26" w:rsidRDefault="00A36326" w:rsidP="0047108E">
      <w:pPr>
        <w:spacing w:after="0" w:line="240" w:lineRule="auto"/>
      </w:pPr>
      <w:r>
        <w:separator/>
      </w:r>
    </w:p>
  </w:footnote>
  <w:footnote w:type="continuationSeparator" w:id="0">
    <w:p w:rsidR="00A36326" w:rsidRDefault="00A36326" w:rsidP="0047108E">
      <w:pPr>
        <w:spacing w:after="0" w:line="240" w:lineRule="auto"/>
      </w:pPr>
      <w:r>
        <w:continuationSeparator/>
      </w:r>
    </w:p>
  </w:footnote>
  <w:footnote w:id="1">
    <w:p w:rsidR="0047108E" w:rsidRPr="00EB73C8" w:rsidRDefault="0047108E" w:rsidP="00EB73C8">
      <w:pPr>
        <w:pStyle w:val="Textodenotaderodap"/>
        <w:jc w:val="both"/>
        <w:rPr>
          <w:rFonts w:ascii="Arial" w:hAnsi="Arial" w:cs="Arial"/>
        </w:rPr>
      </w:pPr>
      <w:r w:rsidRPr="00EB73C8">
        <w:rPr>
          <w:rStyle w:val="Refdenotaderodap"/>
          <w:rFonts w:ascii="Arial" w:hAnsi="Arial" w:cs="Arial"/>
        </w:rPr>
        <w:footnoteRef/>
      </w:r>
      <w:r w:rsidRPr="00EB73C8">
        <w:rPr>
          <w:rFonts w:ascii="Arial" w:hAnsi="Arial" w:cs="Arial"/>
        </w:rPr>
        <w:t xml:space="preserve"> Doutor em Educação atua como docente do Programa de Pós-Graduação em Educação da Faculdade de Educação da Universidade Federal da Grande Dourados (FAED/UFGD), e da disciplina de política e gestão educacional em cursos de graduação nas licenciaturas da mesma instituição.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73604"/>
      <w:docPartObj>
        <w:docPartGallery w:val="Page Numbers (Top of Page)"/>
        <w:docPartUnique/>
      </w:docPartObj>
    </w:sdtPr>
    <w:sdtEndPr/>
    <w:sdtContent>
      <w:p w:rsidR="00780E95" w:rsidRDefault="00780E9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D9">
          <w:rPr>
            <w:noProof/>
          </w:rPr>
          <w:t>1</w:t>
        </w:r>
        <w:r>
          <w:fldChar w:fldCharType="end"/>
        </w:r>
      </w:p>
    </w:sdtContent>
  </w:sdt>
  <w:p w:rsidR="00780E95" w:rsidRDefault="00780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09"/>
    <w:rsid w:val="0004010B"/>
    <w:rsid w:val="00087D09"/>
    <w:rsid w:val="000D4826"/>
    <w:rsid w:val="00126115"/>
    <w:rsid w:val="0018576E"/>
    <w:rsid w:val="001D0C57"/>
    <w:rsid w:val="001D53F2"/>
    <w:rsid w:val="001E6E32"/>
    <w:rsid w:val="00220255"/>
    <w:rsid w:val="00233CF0"/>
    <w:rsid w:val="002A1CDB"/>
    <w:rsid w:val="00327870"/>
    <w:rsid w:val="0047108E"/>
    <w:rsid w:val="005E586C"/>
    <w:rsid w:val="00683BF7"/>
    <w:rsid w:val="007361ED"/>
    <w:rsid w:val="00780E95"/>
    <w:rsid w:val="00784CCE"/>
    <w:rsid w:val="00791DCB"/>
    <w:rsid w:val="008E175B"/>
    <w:rsid w:val="008E69DC"/>
    <w:rsid w:val="009600E9"/>
    <w:rsid w:val="00961549"/>
    <w:rsid w:val="00963803"/>
    <w:rsid w:val="00A064EC"/>
    <w:rsid w:val="00A21872"/>
    <w:rsid w:val="00A36326"/>
    <w:rsid w:val="00AB32AB"/>
    <w:rsid w:val="00AD75FB"/>
    <w:rsid w:val="00B04FFD"/>
    <w:rsid w:val="00B3372D"/>
    <w:rsid w:val="00BB1F93"/>
    <w:rsid w:val="00BF7A67"/>
    <w:rsid w:val="00C0122D"/>
    <w:rsid w:val="00C2348D"/>
    <w:rsid w:val="00C26609"/>
    <w:rsid w:val="00C32420"/>
    <w:rsid w:val="00C613B8"/>
    <w:rsid w:val="00C6674B"/>
    <w:rsid w:val="00CA72CE"/>
    <w:rsid w:val="00CE6588"/>
    <w:rsid w:val="00CF0FCE"/>
    <w:rsid w:val="00D12E23"/>
    <w:rsid w:val="00DC1E64"/>
    <w:rsid w:val="00DC61D9"/>
    <w:rsid w:val="00DF6520"/>
    <w:rsid w:val="00E04657"/>
    <w:rsid w:val="00E61D0B"/>
    <w:rsid w:val="00EA4688"/>
    <w:rsid w:val="00EB73C8"/>
    <w:rsid w:val="00EC5E41"/>
    <w:rsid w:val="00ED4430"/>
    <w:rsid w:val="00EE1A46"/>
    <w:rsid w:val="00F1365C"/>
    <w:rsid w:val="00F304FF"/>
    <w:rsid w:val="00F63576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356B-7A3F-478D-8B76-0BDDAE1A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03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791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FCE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A218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18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2187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18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2187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187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link w:val="Ttulo3"/>
    <w:uiPriority w:val="9"/>
    <w:rsid w:val="00791DCB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791DC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0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08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7108E"/>
    <w:rPr>
      <w:vertAlign w:val="superscript"/>
    </w:rPr>
  </w:style>
  <w:style w:type="paragraph" w:customStyle="1" w:styleId="Default">
    <w:name w:val="Default"/>
    <w:rsid w:val="00C012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8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9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13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12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Relationship Id="rId14" Type="http://schemas.openxmlformats.org/officeDocument/2006/relationships/hyperlink" Target="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49D6-285D-4D40-827F-88F40D4C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2280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14567</CharactersWithSpaces>
  <SharedDoc>false</SharedDoc>
  <HLinks>
    <vt:vector size="54" baseType="variant">
      <vt:variant>
        <vt:i4>7405685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br/url?sa=t&amp;rct=j&amp;q=&amp;esrc=s&amp;source=web&amp;cd=1&amp;cad=rja&amp;uact=8&amp;ved=0ahUKEwi579LAmP_VAhUKiJAKHerBBZMQFggnMAA&amp;url=https%3A%2F%2Fwww.escavador.com%2Fsobre%2F7116374%2Fcarlos-roberto-jamil-cury&amp;usg=AFQjCNEK2S8V8f_l3wvfJ9GamHGlllOSw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Perboni</dc:creator>
  <cp:lastModifiedBy>Fabio Perboni</cp:lastModifiedBy>
  <cp:revision>12</cp:revision>
  <dcterms:created xsi:type="dcterms:W3CDTF">2017-09-20T13:58:00Z</dcterms:created>
  <dcterms:modified xsi:type="dcterms:W3CDTF">2017-10-09T13:04:00Z</dcterms:modified>
</cp:coreProperties>
</file>