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BF101" w14:textId="53279B3E" w:rsidR="00262F7F" w:rsidRPr="00571475" w:rsidRDefault="00F157C3" w:rsidP="00571475">
      <w:pPr>
        <w:pStyle w:val="HOLOS-ttulodoartigo"/>
      </w:pPr>
      <w:r w:rsidRPr="00F157C3">
        <w:t>FORMAS DE EVALUACIÓN COMO ESTRATEGIAS DE CONTROL EN LA EDUCACIÓN SUPERIOR EN COLOMBIA</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2A1C7" w:themeFill="accent4" w:themeFillTint="99"/>
        <w:tblCellMar>
          <w:top w:w="85" w:type="dxa"/>
          <w:bottom w:w="170" w:type="dxa"/>
        </w:tblCellMar>
        <w:tblLook w:val="04A0" w:firstRow="1" w:lastRow="0" w:firstColumn="1" w:lastColumn="0" w:noHBand="0" w:noVBand="1"/>
      </w:tblPr>
      <w:tblGrid>
        <w:gridCol w:w="9400"/>
      </w:tblGrid>
      <w:tr w:rsidR="00262F7F" w:rsidRPr="0027469E" w14:paraId="7112297A" w14:textId="77777777" w:rsidTr="00E96513">
        <w:trPr>
          <w:jc w:val="center"/>
        </w:trPr>
        <w:tc>
          <w:tcPr>
            <w:tcW w:w="9400" w:type="dxa"/>
            <w:shd w:val="clear" w:color="auto" w:fill="B2A1C7" w:themeFill="accent4" w:themeFillTint="99"/>
          </w:tcPr>
          <w:p w14:paraId="186F9AB3" w14:textId="330FABB5" w:rsidR="00E96513" w:rsidRPr="004E5789" w:rsidRDefault="00E96513" w:rsidP="00E96513">
            <w:pPr>
              <w:pStyle w:val="Padro"/>
              <w:tabs>
                <w:tab w:val="clear" w:pos="709"/>
                <w:tab w:val="left" w:pos="720"/>
                <w:tab w:val="left" w:pos="786"/>
              </w:tabs>
              <w:autoSpaceDE w:val="0"/>
              <w:spacing w:line="240" w:lineRule="auto"/>
              <w:jc w:val="right"/>
              <w:rPr>
                <w:rFonts w:ascii="Bookman Old Style" w:hAnsi="Bookman Old Style" w:cs="Times New Roman"/>
                <w:b/>
                <w:sz w:val="20"/>
                <w:szCs w:val="20"/>
              </w:rPr>
            </w:pPr>
            <w:r w:rsidRPr="004E5789">
              <w:rPr>
                <w:rFonts w:ascii="Bookman Old Style" w:hAnsi="Bookman Old Style" w:cs="Times New Roman"/>
                <w:b/>
                <w:sz w:val="20"/>
                <w:szCs w:val="20"/>
              </w:rPr>
              <w:t xml:space="preserve">Dr. </w:t>
            </w:r>
            <w:r w:rsidR="00F157C3">
              <w:rPr>
                <w:rFonts w:ascii="Bookman Old Style" w:hAnsi="Bookman Old Style" w:cs="Times New Roman"/>
                <w:b/>
                <w:sz w:val="20"/>
                <w:szCs w:val="20"/>
              </w:rPr>
              <w:t>Tomás Sánchez Amaya</w:t>
            </w:r>
            <w:r w:rsidR="004E5789" w:rsidRPr="004E5789">
              <w:rPr>
                <w:rFonts w:ascii="Bookman Old Style" w:hAnsi="Bookman Old Style" w:cs="Times New Roman"/>
                <w:b/>
                <w:sz w:val="20"/>
                <w:szCs w:val="20"/>
              </w:rPr>
              <w:t xml:space="preserve"> </w:t>
            </w:r>
            <w:r w:rsidR="004E5789" w:rsidRPr="004E5789">
              <w:rPr>
                <w:rFonts w:ascii="Bookman Old Style" w:hAnsi="Bookman Old Style" w:cs="Times New Roman"/>
                <w:b/>
                <w:noProof/>
                <w:sz w:val="20"/>
                <w:szCs w:val="20"/>
              </w:rPr>
              <w:drawing>
                <wp:inline distT="0" distB="0" distL="0" distR="0" wp14:anchorId="72097482" wp14:editId="6FC78D4B">
                  <wp:extent cx="76712" cy="77884"/>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cid_500x500.png"/>
                          <pic:cNvPicPr/>
                        </pic:nvPicPr>
                        <pic:blipFill>
                          <a:blip r:embed="rId8"/>
                          <a:stretch>
                            <a:fillRect/>
                          </a:stretch>
                        </pic:blipFill>
                        <pic:spPr>
                          <a:xfrm flipH="1">
                            <a:off x="0" y="0"/>
                            <a:ext cx="105938" cy="107557"/>
                          </a:xfrm>
                          <a:prstGeom prst="rect">
                            <a:avLst/>
                          </a:prstGeom>
                        </pic:spPr>
                      </pic:pic>
                    </a:graphicData>
                  </a:graphic>
                </wp:inline>
              </w:drawing>
            </w:r>
            <w:r w:rsidR="007A7F9B">
              <w:rPr>
                <w:rFonts w:ascii="Bookman Old Style" w:hAnsi="Bookman Old Style" w:cs="AvantGardeMdBT"/>
                <w:sz w:val="20"/>
                <w:szCs w:val="20"/>
              </w:rPr>
              <w:t xml:space="preserve"> (</w:t>
            </w:r>
            <w:hyperlink r:id="rId9" w:history="1">
              <w:r w:rsidR="00F20251" w:rsidRPr="00F20251">
                <w:rPr>
                  <w:rFonts w:ascii="Bookman Old Style" w:hAnsi="Bookman Old Style" w:cs="AvantGardeMdBT"/>
                  <w:sz w:val="20"/>
                  <w:szCs w:val="20"/>
                </w:rPr>
                <w:t>0000-0003-1258-4333</w:t>
              </w:r>
            </w:hyperlink>
            <w:r w:rsidR="007A7F9B">
              <w:rPr>
                <w:rFonts w:ascii="Bookman Old Style" w:hAnsi="Bookman Old Style" w:cs="AvantGardeMdBT"/>
                <w:sz w:val="20"/>
                <w:szCs w:val="20"/>
              </w:rPr>
              <w:t>)</w:t>
            </w:r>
            <w:r w:rsidRPr="004E5789">
              <w:rPr>
                <w:rFonts w:ascii="Bookman Old Style" w:hAnsi="Bookman Old Style" w:cs="Times New Roman"/>
                <w:b/>
                <w:sz w:val="20"/>
                <w:szCs w:val="20"/>
              </w:rPr>
              <w:t xml:space="preserve"> </w:t>
            </w:r>
          </w:p>
          <w:p w14:paraId="01889D96" w14:textId="6DBBD789" w:rsidR="00E96513" w:rsidRPr="0027469E" w:rsidRDefault="00E96513" w:rsidP="00E96513">
            <w:pPr>
              <w:pStyle w:val="Padro"/>
              <w:tabs>
                <w:tab w:val="left" w:pos="786"/>
              </w:tabs>
              <w:autoSpaceDE w:val="0"/>
              <w:spacing w:line="240" w:lineRule="auto"/>
              <w:jc w:val="right"/>
              <w:rPr>
                <w:rFonts w:ascii="Bookman Old Style" w:hAnsi="Bookman Old Style" w:cs="Times New Roman"/>
                <w:sz w:val="20"/>
                <w:szCs w:val="20"/>
              </w:rPr>
            </w:pPr>
            <w:r>
              <w:rPr>
                <w:rFonts w:ascii="Bookman Old Style" w:hAnsi="Bookman Old Style" w:cs="Times New Roman"/>
                <w:sz w:val="20"/>
                <w:szCs w:val="20"/>
              </w:rPr>
              <w:t xml:space="preserve">Universidade </w:t>
            </w:r>
            <w:r w:rsidR="00DE0C27">
              <w:rPr>
                <w:rFonts w:ascii="Bookman Old Style" w:hAnsi="Bookman Old Style" w:cs="Times New Roman"/>
                <w:sz w:val="20"/>
                <w:szCs w:val="20"/>
              </w:rPr>
              <w:t>Distrital Francisco José de Caldas Bogotá-</w:t>
            </w:r>
            <w:proofErr w:type="spellStart"/>
            <w:r w:rsidR="00DE0C27">
              <w:rPr>
                <w:rFonts w:ascii="Bookman Old Style" w:hAnsi="Bookman Old Style" w:cs="Times New Roman"/>
                <w:sz w:val="20"/>
                <w:szCs w:val="20"/>
              </w:rPr>
              <w:t>Colombia</w:t>
            </w:r>
            <w:proofErr w:type="spellEnd"/>
          </w:p>
        </w:tc>
      </w:tr>
    </w:tbl>
    <w:p w14:paraId="260696E7" w14:textId="77777777" w:rsidR="00277264" w:rsidRPr="0027469E" w:rsidRDefault="00277264" w:rsidP="002622A6">
      <w:pPr>
        <w:pStyle w:val="Sinespaciado"/>
        <w:spacing w:before="0" w:after="0" w:line="240" w:lineRule="auto"/>
        <w:ind w:firstLine="0"/>
        <w:rPr>
          <w:rFonts w:ascii="Bookman Old Style" w:hAnsi="Bookman Old Style" w:cstheme="minorHAnsi"/>
          <w:b/>
          <w:sz w:val="6"/>
          <w:szCs w:val="10"/>
        </w:rPr>
      </w:pPr>
    </w:p>
    <w:tbl>
      <w:tblPr>
        <w:tblStyle w:val="Tablaconcuadrcula"/>
        <w:tblW w:w="9597" w:type="dxa"/>
        <w:jc w:val="center"/>
        <w:tblBorders>
          <w:top w:val="none" w:sz="0" w:space="0" w:color="auto"/>
          <w:left w:val="none" w:sz="0" w:space="0" w:color="auto"/>
          <w:bottom w:val="single" w:sz="8" w:space="0" w:color="D9D9D9" w:themeColor="background1" w:themeShade="D9"/>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597"/>
      </w:tblGrid>
      <w:tr w:rsidR="00277264" w:rsidRPr="0027469E" w14:paraId="28BF87DE" w14:textId="77777777" w:rsidTr="000D3545">
        <w:trPr>
          <w:trHeight w:val="394"/>
          <w:jc w:val="center"/>
        </w:trPr>
        <w:tc>
          <w:tcPr>
            <w:tcW w:w="9597" w:type="dxa"/>
            <w:shd w:val="clear" w:color="auto" w:fill="FFFFFF" w:themeFill="background1"/>
            <w:vAlign w:val="center"/>
          </w:tcPr>
          <w:p w14:paraId="65D7F42E" w14:textId="33A3862D" w:rsidR="000C10CF" w:rsidRPr="0027469E" w:rsidRDefault="000C10CF" w:rsidP="00DD40FD">
            <w:pPr>
              <w:pStyle w:val="Sinespaciado"/>
              <w:spacing w:after="0" w:line="240" w:lineRule="auto"/>
              <w:ind w:firstLine="0"/>
              <w:jc w:val="center"/>
              <w:rPr>
                <w:rFonts w:ascii="Bookman Old Style" w:hAnsi="Bookman Old Style" w:cstheme="minorHAnsi"/>
                <w:sz w:val="18"/>
                <w:szCs w:val="18"/>
              </w:rPr>
            </w:pPr>
          </w:p>
        </w:tc>
      </w:tr>
    </w:tbl>
    <w:p w14:paraId="048D50AF" w14:textId="77777777" w:rsidR="00277264" w:rsidRPr="0027469E" w:rsidRDefault="00277264" w:rsidP="002622A6">
      <w:pPr>
        <w:rPr>
          <w:rFonts w:ascii="Bookman Old Style" w:hAnsi="Bookman Old Style"/>
          <w:b/>
        </w:rPr>
      </w:pPr>
    </w:p>
    <w:p w14:paraId="0C953BEA" w14:textId="7E6AA5C5" w:rsidR="00262F7F" w:rsidRPr="0027469E" w:rsidRDefault="00262F7F" w:rsidP="0027469E">
      <w:pPr>
        <w:rPr>
          <w:rFonts w:ascii="Bookman Old Style" w:hAnsi="Bookman Old Style" w:cstheme="minorHAnsi"/>
        </w:rPr>
        <w:sectPr w:rsidR="00262F7F" w:rsidRPr="0027469E" w:rsidSect="00E96513">
          <w:headerReference w:type="default" r:id="rId10"/>
          <w:footerReference w:type="default" r:id="rId11"/>
          <w:footerReference w:type="first" r:id="rId12"/>
          <w:type w:val="continuous"/>
          <w:pgSz w:w="11906" w:h="16838"/>
          <w:pgMar w:top="1418" w:right="1191" w:bottom="1418" w:left="1191" w:header="539" w:footer="539" w:gutter="0"/>
          <w:cols w:space="708"/>
          <w:docGrid w:linePitch="360"/>
        </w:sectPr>
      </w:pPr>
    </w:p>
    <w:p w14:paraId="06CCE4DC" w14:textId="230D783C" w:rsidR="00583BB2" w:rsidRDefault="0027469E" w:rsidP="006B0AED">
      <w:pPr>
        <w:spacing w:before="120" w:after="120"/>
        <w:rPr>
          <w:rFonts w:ascii="Bookman Old Style" w:hAnsi="Bookman Old Style" w:cs="Times New Roman"/>
          <w:sz w:val="20"/>
          <w:szCs w:val="20"/>
          <w:lang w:val="es-MX"/>
        </w:rPr>
      </w:pPr>
      <w:r w:rsidRPr="00583BB2">
        <w:rPr>
          <w:rFonts w:ascii="Bookman Old Style" w:hAnsi="Bookman Old Style"/>
          <w:b/>
          <w:lang w:val="es-CO"/>
        </w:rPr>
        <w:t>RESUM</w:t>
      </w:r>
      <w:r w:rsidR="008D3F38" w:rsidRPr="00583BB2">
        <w:rPr>
          <w:rFonts w:ascii="Bookman Old Style" w:hAnsi="Bookman Old Style"/>
          <w:b/>
          <w:lang w:val="es-CO"/>
        </w:rPr>
        <w:t>EN</w:t>
      </w:r>
      <w:r w:rsidRPr="00583BB2">
        <w:rPr>
          <w:rFonts w:ascii="Bookman Old Style" w:hAnsi="Bookman Old Style"/>
          <w:b/>
          <w:lang w:val="es-CO"/>
        </w:rPr>
        <w:t>:</w:t>
      </w:r>
      <w:r w:rsidRPr="00583BB2">
        <w:rPr>
          <w:rFonts w:ascii="Bookman Old Style" w:hAnsi="Bookman Old Style"/>
          <w:lang w:val="es-CO"/>
        </w:rPr>
        <w:t xml:space="preserve"> </w:t>
      </w:r>
      <w:r w:rsidR="00583BB2" w:rsidRPr="006B0AED">
        <w:rPr>
          <w:rFonts w:ascii="Bookman Old Style" w:hAnsi="Bookman Old Style" w:cs="Times New Roman"/>
          <w:sz w:val="20"/>
          <w:szCs w:val="20"/>
          <w:lang w:val="es-MX"/>
        </w:rPr>
        <w:t xml:space="preserve">Asistimos a una época histórica caracterizada por la disciplina y el control, o mejor, podríamos decir, a un tiempo en que transitamos diversos regímenes </w:t>
      </w:r>
      <w:proofErr w:type="spellStart"/>
      <w:r w:rsidR="00583BB2" w:rsidRPr="006B0AED">
        <w:rPr>
          <w:rFonts w:ascii="Bookman Old Style" w:hAnsi="Bookman Old Style" w:cs="Times New Roman"/>
          <w:sz w:val="20"/>
          <w:szCs w:val="20"/>
          <w:lang w:val="es-MX"/>
        </w:rPr>
        <w:t>controlatorios</w:t>
      </w:r>
      <w:proofErr w:type="spellEnd"/>
      <w:r w:rsidR="00583BB2" w:rsidRPr="006B0AED">
        <w:rPr>
          <w:rFonts w:ascii="Bookman Old Style" w:hAnsi="Bookman Old Style" w:cs="Times New Roman"/>
          <w:sz w:val="20"/>
          <w:szCs w:val="20"/>
          <w:lang w:val="es-MX"/>
        </w:rPr>
        <w:t xml:space="preserve">, en los cuales la evaluación </w:t>
      </w:r>
      <w:bookmarkStart w:id="0" w:name="_GoBack"/>
      <w:bookmarkEnd w:id="0"/>
      <w:r w:rsidR="00583BB2" w:rsidRPr="006B0AED">
        <w:rPr>
          <w:rFonts w:ascii="Bookman Old Style" w:hAnsi="Bookman Old Style" w:cs="Times New Roman"/>
          <w:sz w:val="20"/>
          <w:szCs w:val="20"/>
          <w:lang w:val="es-MX"/>
        </w:rPr>
        <w:t>de múltiples modos hace presencia y funge como dispositivo de regulación, de disciplina, de sanción social, de inclusión, de exclusión; un mecanismo a través del cual a cada cosa, a cada institución, a cada sujeto, a cada saber, a cada proyecto… se le ubica en un lugar determinado y se le caracteriza, de unas formas preestablecidas.</w:t>
      </w:r>
    </w:p>
    <w:p w14:paraId="1A2BA016" w14:textId="728B8CCA" w:rsidR="00C469B7" w:rsidRDefault="00C469B7" w:rsidP="00C469B7">
      <w:pPr>
        <w:ind w:firstLine="709"/>
        <w:rPr>
          <w:rFonts w:ascii="Bookman Old Style" w:hAnsi="Bookman Old Style" w:cs="Times New Roman"/>
          <w:sz w:val="20"/>
          <w:szCs w:val="18"/>
          <w:lang w:val="es-MX"/>
        </w:rPr>
      </w:pPr>
      <w:r w:rsidRPr="00C469B7">
        <w:rPr>
          <w:rFonts w:ascii="Bookman Old Style" w:hAnsi="Bookman Old Style" w:cs="Times New Roman"/>
          <w:sz w:val="20"/>
          <w:szCs w:val="18"/>
          <w:lang w:val="es-MX"/>
        </w:rPr>
        <w:t xml:space="preserve">Bien podríamos decir que en las sociedades modernas, la evaluación </w:t>
      </w:r>
      <w:r w:rsidRPr="00C469B7">
        <w:rPr>
          <w:rFonts w:ascii="Bookman Old Style" w:hAnsi="Bookman Old Style" w:cs="Times New Roman"/>
          <w:sz w:val="20"/>
          <w:szCs w:val="18"/>
          <w:lang w:val="es-CO"/>
        </w:rPr>
        <w:t xml:space="preserve">en virtud de su omnipresencia, se ha constituido en un acontecimiento relevante, por ser ese novedoso sistema que procura la vigilancia permanente de los individuos y de las colectividades, aquella maquinaria extendida por doquier, que somete a la población a una regulación instantánea; ese enjambrazón de dispositivos que serpentean por </w:t>
      </w:r>
      <w:r w:rsidRPr="00C469B7">
        <w:rPr>
          <w:rFonts w:ascii="Bookman Old Style" w:hAnsi="Bookman Old Style" w:cs="Times New Roman"/>
          <w:sz w:val="20"/>
          <w:szCs w:val="18"/>
          <w:lang w:val="es-CO"/>
        </w:rPr>
        <w:t xml:space="preserve">todas partes, que operan de diversas formas, que gobiernan, regulan, vigilan y controlan, no ya los individuos unitarios sino la multitud, induciéndola, como señaló Foucault, a “un estado consciente y permanente de visibilidad que garantiza el funcionamiento automático del poder” (1976, p. 204). O, podríamos decir a </w:t>
      </w:r>
      <w:r w:rsidRPr="00C469B7">
        <w:rPr>
          <w:rFonts w:ascii="Bookman Old Style" w:hAnsi="Bookman Old Style" w:cs="Times New Roman"/>
          <w:sz w:val="20"/>
          <w:szCs w:val="18"/>
          <w:lang w:val="es-MX"/>
        </w:rPr>
        <w:t xml:space="preserve">Gabriel García Márquez, la evaluación, a través de un conjunto casi infinito de formas, ciñe y constriñe nuestra existencia “de la cuna a la tumba”, incluso más allá de estas, vigilándolo todo, regulándolo todo, controlándolo todo. </w:t>
      </w:r>
    </w:p>
    <w:p w14:paraId="4FE98A88" w14:textId="77777777" w:rsidR="0022024A" w:rsidRPr="0022024A" w:rsidRDefault="0022024A" w:rsidP="0022024A">
      <w:pPr>
        <w:ind w:firstLine="709"/>
        <w:rPr>
          <w:rFonts w:ascii="Bookman Old Style" w:hAnsi="Bookman Old Style" w:cs="Times New Roman"/>
          <w:sz w:val="20"/>
          <w:szCs w:val="18"/>
          <w:lang w:val="es-MX"/>
        </w:rPr>
      </w:pPr>
      <w:r w:rsidRPr="0022024A">
        <w:rPr>
          <w:rFonts w:ascii="Bookman Old Style" w:hAnsi="Bookman Old Style" w:cs="Times New Roman"/>
          <w:sz w:val="20"/>
          <w:szCs w:val="18"/>
          <w:lang w:val="es-MX"/>
        </w:rPr>
        <w:t xml:space="preserve">La perspectiva metodológica puesta en escena en esta indagación dice relación con la caja de herramientas </w:t>
      </w:r>
      <w:proofErr w:type="spellStart"/>
      <w:r w:rsidRPr="0022024A">
        <w:rPr>
          <w:rFonts w:ascii="Bookman Old Style" w:hAnsi="Bookman Old Style" w:cs="Times New Roman"/>
          <w:sz w:val="20"/>
          <w:szCs w:val="18"/>
          <w:lang w:val="es-MX"/>
        </w:rPr>
        <w:t>foucaultiana</w:t>
      </w:r>
      <w:proofErr w:type="spellEnd"/>
      <w:r w:rsidRPr="0022024A">
        <w:rPr>
          <w:rFonts w:ascii="Bookman Old Style" w:hAnsi="Bookman Old Style" w:cs="Times New Roman"/>
          <w:sz w:val="20"/>
          <w:szCs w:val="18"/>
          <w:lang w:val="es-MX"/>
        </w:rPr>
        <w:t xml:space="preserve"> constituida por la arqueología, la genealogía y la subjetividad, a partir de un triple análisis: de las modalidades enunciativas acerca de lo efectivamente dicho y escrito sobre la evaluación -en la educación superior; de las relaciones de poder que comportan sus prácticas; y de los sujetos que agencia. </w:t>
      </w:r>
    </w:p>
    <w:p w14:paraId="1CF9C66B" w14:textId="77777777" w:rsidR="001823A5" w:rsidRPr="00905D10" w:rsidRDefault="001823A5" w:rsidP="0022024A">
      <w:pPr>
        <w:pStyle w:val="Sinespaciado"/>
        <w:ind w:firstLine="0"/>
        <w:rPr>
          <w:rFonts w:ascii="Bookman Old Style" w:hAnsi="Bookman Old Style" w:cstheme="minorHAnsi"/>
          <w:lang w:val="es-CO"/>
        </w:rPr>
        <w:sectPr w:rsidR="001823A5" w:rsidRPr="00905D10" w:rsidSect="00905D10">
          <w:headerReference w:type="default" r:id="rId13"/>
          <w:footerReference w:type="default" r:id="rId14"/>
          <w:footerReference w:type="first" r:id="rId15"/>
          <w:type w:val="continuous"/>
          <w:pgSz w:w="11906" w:h="16838"/>
          <w:pgMar w:top="1701" w:right="1134" w:bottom="1418" w:left="1134" w:header="539" w:footer="539" w:gutter="0"/>
          <w:cols w:num="2" w:space="282"/>
          <w:docGrid w:linePitch="360"/>
        </w:sectPr>
      </w:pPr>
    </w:p>
    <w:p w14:paraId="701FDF7B" w14:textId="432FD48C" w:rsidR="00262F7F" w:rsidRPr="00905D10" w:rsidRDefault="00262F7F" w:rsidP="00262F7F">
      <w:pPr>
        <w:pStyle w:val="Sinespaciado"/>
        <w:rPr>
          <w:rFonts w:ascii="Bookman Old Style" w:hAnsi="Bookman Old Style" w:cstheme="minorHAnsi"/>
          <w:lang w:val="es-CO"/>
        </w:rPr>
      </w:pPr>
    </w:p>
    <w:tbl>
      <w:tblPr>
        <w:tblStyle w:val="Cuadrculaclara"/>
        <w:tblW w:w="9498"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shd w:val="clear" w:color="auto" w:fill="B2A1C7" w:themeFill="accent4" w:themeFillTint="99"/>
        <w:tblLayout w:type="fixed"/>
        <w:tblLook w:val="04A0" w:firstRow="1" w:lastRow="0" w:firstColumn="1" w:lastColumn="0" w:noHBand="0" w:noVBand="1"/>
      </w:tblPr>
      <w:tblGrid>
        <w:gridCol w:w="9498"/>
      </w:tblGrid>
      <w:tr w:rsidR="0033335C" w:rsidRPr="00905D10" w14:paraId="1F139B2E" w14:textId="77777777" w:rsidTr="001F601B">
        <w:trPr>
          <w:cnfStyle w:val="100000000000" w:firstRow="1" w:lastRow="0" w:firstColumn="0" w:lastColumn="0" w:oddVBand="0" w:evenVBand="0" w:oddHBand="0"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left w:val="none" w:sz="0" w:space="0" w:color="auto"/>
              <w:bottom w:val="none" w:sz="0" w:space="0" w:color="auto"/>
              <w:right w:val="none" w:sz="0" w:space="0" w:color="auto"/>
            </w:tcBorders>
            <w:shd w:val="clear" w:color="auto" w:fill="B2A1C7" w:themeFill="accent4" w:themeFillTint="99"/>
            <w:vAlign w:val="center"/>
          </w:tcPr>
          <w:p w14:paraId="19CB15E4" w14:textId="362ED06A" w:rsidR="0033335C" w:rsidRPr="00783577" w:rsidRDefault="00783577" w:rsidP="001F601B">
            <w:pPr>
              <w:pStyle w:val="Sinespaciado"/>
              <w:spacing w:line="240" w:lineRule="auto"/>
              <w:ind w:firstLine="0"/>
              <w:rPr>
                <w:rFonts w:ascii="Bookman Old Style" w:hAnsi="Bookman Old Style" w:cstheme="minorHAnsi"/>
                <w:sz w:val="20"/>
                <w:szCs w:val="20"/>
                <w:lang w:val="es-CO"/>
              </w:rPr>
            </w:pPr>
            <w:r w:rsidRPr="00783577">
              <w:rPr>
                <w:rFonts w:ascii="Bookman Old Style" w:hAnsi="Bookman Old Style" w:cstheme="minorHAnsi"/>
                <w:sz w:val="20"/>
                <w:szCs w:val="20"/>
                <w:lang w:val="es-CO"/>
              </w:rPr>
              <w:t>PALABRAS CALVE</w:t>
            </w:r>
            <w:r w:rsidRPr="00FC4872">
              <w:rPr>
                <w:rFonts w:ascii="Bookman Old Style" w:hAnsi="Bookman Old Style" w:cstheme="minorHAnsi"/>
                <w:sz w:val="20"/>
                <w:szCs w:val="20"/>
                <w:lang w:val="es-CO"/>
              </w:rPr>
              <w:t xml:space="preserve">: </w:t>
            </w:r>
            <w:r w:rsidRPr="00FE3E04">
              <w:rPr>
                <w:rFonts w:ascii="Bookman Old Style" w:hAnsi="Bookman Old Style" w:cs="Times New Roman"/>
                <w:b w:val="0"/>
                <w:bCs w:val="0"/>
                <w:sz w:val="20"/>
                <w:szCs w:val="20"/>
                <w:lang w:val="es-MX"/>
              </w:rPr>
              <w:t>evaluación; sujeto; control</w:t>
            </w:r>
            <w:r w:rsidR="0033335C" w:rsidRPr="00FE3E04">
              <w:rPr>
                <w:rFonts w:ascii="Bookman Old Style" w:hAnsi="Bookman Old Style" w:cs="Times New Roman"/>
                <w:b w:val="0"/>
                <w:bCs w:val="0"/>
                <w:sz w:val="20"/>
                <w:szCs w:val="20"/>
                <w:lang w:val="es-CO"/>
              </w:rPr>
              <w:t>.</w:t>
            </w:r>
          </w:p>
        </w:tc>
      </w:tr>
    </w:tbl>
    <w:p w14:paraId="2EFAF186" w14:textId="748EAAD1" w:rsidR="001823A5" w:rsidRPr="001703A4" w:rsidRDefault="00124A5B" w:rsidP="001703A4">
      <w:pPr>
        <w:pStyle w:val="HOLOS-ttulodoartigo"/>
        <w:rPr>
          <w:lang w:val="pt-BR"/>
        </w:rPr>
      </w:pPr>
      <w:r w:rsidRPr="00124A5B">
        <w:rPr>
          <w:lang w:val="pt-BR"/>
        </w:rPr>
        <w:t>FORMAS DE AVALIAÇÃO COMO ESTRATÉGIAS DE CONTROLE NO ENSINO SUPERIOR NA COLÔMBIA</w:t>
      </w:r>
    </w:p>
    <w:tbl>
      <w:tblPr>
        <w:tblStyle w:val="Tablaconcuadrcula"/>
        <w:tblW w:w="9597" w:type="dxa"/>
        <w:jc w:val="center"/>
        <w:tblBorders>
          <w:top w:val="none" w:sz="0" w:space="0" w:color="auto"/>
          <w:left w:val="none" w:sz="0" w:space="0" w:color="auto"/>
          <w:bottom w:val="single" w:sz="8" w:space="0" w:color="D9D9D9" w:themeColor="background1" w:themeShade="D9"/>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597"/>
      </w:tblGrid>
      <w:tr w:rsidR="001823A5" w:rsidRPr="0027469E" w14:paraId="4F738E15" w14:textId="77777777" w:rsidTr="001F601B">
        <w:trPr>
          <w:trHeight w:val="394"/>
          <w:jc w:val="center"/>
        </w:trPr>
        <w:tc>
          <w:tcPr>
            <w:tcW w:w="9597" w:type="dxa"/>
            <w:shd w:val="clear" w:color="auto" w:fill="FFFFFF" w:themeFill="background1"/>
            <w:vAlign w:val="center"/>
          </w:tcPr>
          <w:p w14:paraId="6C107C0A" w14:textId="77777777" w:rsidR="001823A5" w:rsidRPr="0027469E" w:rsidRDefault="001823A5" w:rsidP="001F601B">
            <w:pPr>
              <w:pStyle w:val="Sinespaciado"/>
              <w:spacing w:after="0" w:line="240" w:lineRule="auto"/>
              <w:ind w:firstLine="0"/>
              <w:jc w:val="center"/>
              <w:rPr>
                <w:rFonts w:ascii="Bookman Old Style" w:hAnsi="Bookman Old Style" w:cstheme="minorHAnsi"/>
                <w:sz w:val="18"/>
                <w:szCs w:val="18"/>
              </w:rPr>
            </w:pPr>
          </w:p>
        </w:tc>
      </w:tr>
    </w:tbl>
    <w:p w14:paraId="1F1E9E9D" w14:textId="77777777" w:rsidR="001823A5" w:rsidRPr="0027469E" w:rsidRDefault="001823A5" w:rsidP="001823A5">
      <w:pPr>
        <w:rPr>
          <w:rFonts w:ascii="Bookman Old Style" w:hAnsi="Bookman Old Style"/>
          <w:b/>
        </w:rPr>
      </w:pPr>
    </w:p>
    <w:p w14:paraId="74B79E7C" w14:textId="77777777" w:rsidR="001823A5" w:rsidRPr="0027469E" w:rsidRDefault="001823A5" w:rsidP="001823A5">
      <w:pPr>
        <w:rPr>
          <w:rFonts w:ascii="Bookman Old Style" w:hAnsi="Bookman Old Style" w:cstheme="minorHAnsi"/>
        </w:rPr>
        <w:sectPr w:rsidR="001823A5" w:rsidRPr="0027469E" w:rsidSect="00E96513">
          <w:type w:val="continuous"/>
          <w:pgSz w:w="11906" w:h="16838"/>
          <w:pgMar w:top="1418" w:right="1191" w:bottom="1418" w:left="1191" w:header="539" w:footer="539" w:gutter="0"/>
          <w:cols w:space="708"/>
          <w:docGrid w:linePitch="360"/>
        </w:sectPr>
      </w:pPr>
    </w:p>
    <w:p w14:paraId="18ED2DD5" w14:textId="77777777" w:rsidR="00AC44D4" w:rsidRPr="00AC44D4" w:rsidRDefault="001823A5" w:rsidP="00124A5B">
      <w:pPr>
        <w:pStyle w:val="HOLOS-ResumoeAbstract"/>
        <w:spacing w:before="120" w:after="120"/>
        <w:rPr>
          <w:rFonts w:ascii="Bookman Old Style" w:hAnsi="Bookman Old Style"/>
          <w:lang w:val="pt-BR"/>
        </w:rPr>
      </w:pPr>
      <w:r w:rsidRPr="0027469E">
        <w:rPr>
          <w:rFonts w:ascii="Bookman Old Style" w:hAnsi="Bookman Old Style"/>
          <w:b/>
          <w:lang w:val="pt-BR"/>
        </w:rPr>
        <w:t>RESUMO:</w:t>
      </w:r>
      <w:r>
        <w:rPr>
          <w:rFonts w:ascii="Bookman Old Style" w:hAnsi="Bookman Old Style"/>
          <w:lang w:val="pt-BR"/>
        </w:rPr>
        <w:t xml:space="preserve"> </w:t>
      </w:r>
      <w:r w:rsidR="00AC44D4" w:rsidRPr="00AC44D4">
        <w:rPr>
          <w:rFonts w:ascii="Bookman Old Style" w:hAnsi="Bookman Old Style"/>
          <w:lang w:val="pt-BR"/>
        </w:rPr>
        <w:t xml:space="preserve">Estamos testemunhando uma época histórica caracterizada por disciplina e controle, ou melhor, poderíamos dizer, em um momento em que passamos por vários regimes regulatórios, nos quais a avaliação de várias maneiras está presente e serve como um dispositivo para regulamentação, disciplina, </w:t>
      </w:r>
      <w:r w:rsidR="00AC44D4" w:rsidRPr="00AC44D4">
        <w:rPr>
          <w:rFonts w:ascii="Bookman Old Style" w:hAnsi="Bookman Old Style"/>
          <w:lang w:val="pt-BR"/>
        </w:rPr>
        <w:t>sanção social, inclusão, exclusão; um mecanismo através do qual cada coisa, cada instituição, cada sujeito, cada conhecimento, cada projeto ... está localizado em um determinado local e é caracterizado, de maneiras pré-estabelecidas.</w:t>
      </w:r>
    </w:p>
    <w:p w14:paraId="5E03F4DB" w14:textId="3E41C84F" w:rsidR="00AC44D4" w:rsidRPr="00AC44D4" w:rsidRDefault="00AC44D4" w:rsidP="00124A5B">
      <w:pPr>
        <w:pStyle w:val="HOLOS-ResumoeAbstract"/>
        <w:spacing w:before="120" w:after="120"/>
        <w:ind w:firstLine="709"/>
        <w:rPr>
          <w:rFonts w:ascii="Bookman Old Style" w:hAnsi="Bookman Old Style"/>
          <w:lang w:val="pt-BR"/>
        </w:rPr>
      </w:pPr>
      <w:r w:rsidRPr="00AC44D4">
        <w:rPr>
          <w:rFonts w:ascii="Bookman Old Style" w:hAnsi="Bookman Old Style"/>
          <w:lang w:val="pt-BR"/>
        </w:rPr>
        <w:lastRenderedPageBreak/>
        <w:t xml:space="preserve">Poderíamos dizer que, nas sociedades modernas, a avaliação em virtude de sua onipresença se tornou um evento relevante, por ser aquele novo sistema que busca a vigilância permanente de indivíduos e comunidades, que máquinas espalhadas por toda parte, que sujeita a população a regulação instantânea; aquele enxame de dispositivos que serpenteiam por toda parte, que operam de maneiras diferentes, que governam, regulam, vigiam e controlam, não apenas os indivíduos unitários, mas a multidão, induzindo-o, como Foucault apontou, a "um estado consciente e permanente de visibilidade que garante a operação automática do poder ”(1976, p. 204). Ou, poderíamos dizer a Gabriel García Márquez, a </w:t>
      </w:r>
      <w:r w:rsidRPr="00AC44D4">
        <w:rPr>
          <w:rFonts w:ascii="Bookman Old Style" w:hAnsi="Bookman Old Style"/>
          <w:lang w:val="pt-BR"/>
        </w:rPr>
        <w:t>avaliação, através de um conjunto quase infinito de formas, circunda e restringe nossa existência "do berço ao túmulo", mesmo além delas, vigiando tudo, regulando tudo, controlando tudo.</w:t>
      </w:r>
    </w:p>
    <w:p w14:paraId="4347F6C1" w14:textId="5684C336" w:rsidR="001823A5" w:rsidRPr="0027469E" w:rsidRDefault="00AC44D4" w:rsidP="00124A5B">
      <w:pPr>
        <w:pStyle w:val="HOLOS-ResumoeAbstract"/>
        <w:spacing w:before="120" w:after="120"/>
        <w:ind w:firstLine="709"/>
        <w:rPr>
          <w:rFonts w:ascii="Bookman Old Style" w:hAnsi="Bookman Old Style"/>
          <w:lang w:val="pt-BR"/>
        </w:rPr>
      </w:pPr>
      <w:r w:rsidRPr="00AC44D4">
        <w:rPr>
          <w:rFonts w:ascii="Bookman Old Style" w:hAnsi="Bookman Old Style"/>
          <w:lang w:val="pt-BR"/>
        </w:rPr>
        <w:t>A perspectiva metodológica encadeada nesta investigação está relacionada à caixa de ferramentas foucaultiana que consiste em arqueologia, genealogia e subjetividade, com base em uma análise tripla: das modalidades enunciativas sobre o que é realmente dito e escrito sobre avaliação - no ensino superior; das relações de poder que suas práticas envolvem; e dos assuntos que agência.</w:t>
      </w:r>
      <w:r w:rsidR="001823A5" w:rsidRPr="0027469E">
        <w:rPr>
          <w:rFonts w:ascii="Bookman Old Style" w:hAnsi="Bookman Old Style"/>
          <w:lang w:val="pt-BR"/>
        </w:rPr>
        <w:t xml:space="preserve"> </w:t>
      </w:r>
    </w:p>
    <w:p w14:paraId="2446597D" w14:textId="111868E8" w:rsidR="001823A5" w:rsidRPr="0027469E" w:rsidRDefault="001823A5" w:rsidP="00262F7F">
      <w:pPr>
        <w:pStyle w:val="Sinespaciado"/>
        <w:rPr>
          <w:rFonts w:ascii="Bookman Old Style" w:hAnsi="Bookman Old Style" w:cstheme="minorHAnsi"/>
        </w:rPr>
        <w:sectPr w:rsidR="001823A5" w:rsidRPr="0027469E" w:rsidSect="003E05CC">
          <w:type w:val="continuous"/>
          <w:pgSz w:w="11906" w:h="16838"/>
          <w:pgMar w:top="1418" w:right="1191" w:bottom="1418" w:left="1191" w:header="426" w:footer="709" w:gutter="0"/>
          <w:cols w:num="2" w:space="282"/>
          <w:docGrid w:linePitch="360"/>
        </w:sectPr>
      </w:pPr>
    </w:p>
    <w:p w14:paraId="39E3E12F" w14:textId="77777777" w:rsidR="00262F7F" w:rsidRPr="0027469E" w:rsidRDefault="00262F7F" w:rsidP="002622A6">
      <w:pPr>
        <w:pStyle w:val="Sinespaciado"/>
        <w:spacing w:before="0" w:after="0" w:line="240" w:lineRule="auto"/>
        <w:ind w:firstLine="0"/>
        <w:rPr>
          <w:rFonts w:ascii="Bookman Old Style" w:hAnsi="Bookman Old Style" w:cstheme="minorHAnsi"/>
          <w:b/>
          <w:sz w:val="10"/>
          <w:szCs w:val="10"/>
        </w:rPr>
      </w:pPr>
    </w:p>
    <w:p w14:paraId="76429A91" w14:textId="77777777" w:rsidR="00262F7F" w:rsidRPr="0027469E" w:rsidRDefault="00262F7F" w:rsidP="002622A6">
      <w:pPr>
        <w:pStyle w:val="Sinespaciado"/>
        <w:spacing w:before="0" w:after="0" w:line="240" w:lineRule="auto"/>
        <w:ind w:firstLine="0"/>
        <w:rPr>
          <w:rFonts w:ascii="Bookman Old Style" w:hAnsi="Bookman Old Style" w:cstheme="minorHAnsi"/>
          <w:b/>
          <w:sz w:val="10"/>
          <w:szCs w:val="10"/>
        </w:rPr>
      </w:pPr>
    </w:p>
    <w:tbl>
      <w:tblPr>
        <w:tblStyle w:val="Cuadrculaclara"/>
        <w:tblW w:w="9498"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shd w:val="clear" w:color="auto" w:fill="B2A1C7" w:themeFill="accent4" w:themeFillTint="99"/>
        <w:tblLayout w:type="fixed"/>
        <w:tblLook w:val="04A0" w:firstRow="1" w:lastRow="0" w:firstColumn="1" w:lastColumn="0" w:noHBand="0" w:noVBand="1"/>
      </w:tblPr>
      <w:tblGrid>
        <w:gridCol w:w="9498"/>
      </w:tblGrid>
      <w:tr w:rsidR="00262F7F" w:rsidRPr="0027469E" w14:paraId="0A50E652" w14:textId="77777777" w:rsidTr="00E96513">
        <w:trPr>
          <w:cnfStyle w:val="100000000000" w:firstRow="1" w:lastRow="0" w:firstColumn="0" w:lastColumn="0" w:oddVBand="0" w:evenVBand="0" w:oddHBand="0"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left w:val="none" w:sz="0" w:space="0" w:color="auto"/>
              <w:bottom w:val="none" w:sz="0" w:space="0" w:color="auto"/>
              <w:right w:val="none" w:sz="0" w:space="0" w:color="auto"/>
            </w:tcBorders>
            <w:shd w:val="clear" w:color="auto" w:fill="B2A1C7" w:themeFill="accent4" w:themeFillTint="99"/>
            <w:vAlign w:val="center"/>
          </w:tcPr>
          <w:p w14:paraId="7430AC5A" w14:textId="44CA1C30" w:rsidR="00262F7F" w:rsidRPr="0027469E" w:rsidRDefault="00262F7F" w:rsidP="0027469E">
            <w:pPr>
              <w:pStyle w:val="Sinespaciado"/>
              <w:spacing w:line="240" w:lineRule="auto"/>
              <w:ind w:firstLine="0"/>
              <w:rPr>
                <w:rFonts w:ascii="Bookman Old Style" w:hAnsi="Bookman Old Style" w:cstheme="minorHAnsi"/>
                <w:sz w:val="20"/>
                <w:szCs w:val="20"/>
              </w:rPr>
            </w:pPr>
            <w:bookmarkStart w:id="1" w:name="_Hlk35331366"/>
            <w:r w:rsidRPr="0027469E">
              <w:rPr>
                <w:rFonts w:ascii="Bookman Old Style" w:hAnsi="Bookman Old Style" w:cstheme="minorHAnsi"/>
                <w:sz w:val="20"/>
                <w:szCs w:val="20"/>
              </w:rPr>
              <w:t xml:space="preserve">PALAVRAS-CHAVE: </w:t>
            </w:r>
            <w:r w:rsidR="003244E2" w:rsidRPr="003244E2">
              <w:rPr>
                <w:rFonts w:ascii="Bookman Old Style" w:hAnsi="Bookman Old Style" w:cs="Times New Roman"/>
                <w:b w:val="0"/>
                <w:sz w:val="20"/>
                <w:szCs w:val="20"/>
              </w:rPr>
              <w:t>avaliação; sujeito; controle</w:t>
            </w:r>
            <w:r w:rsidRPr="0027469E">
              <w:rPr>
                <w:rFonts w:ascii="Bookman Old Style" w:hAnsi="Bookman Old Style" w:cs="Times New Roman"/>
                <w:b w:val="0"/>
                <w:sz w:val="20"/>
                <w:szCs w:val="20"/>
              </w:rPr>
              <w:t>.</w:t>
            </w:r>
          </w:p>
        </w:tc>
      </w:tr>
    </w:tbl>
    <w:bookmarkEnd w:id="1"/>
    <w:p w14:paraId="56FF5081" w14:textId="29985973" w:rsidR="00262F7F" w:rsidRPr="00AF71BA" w:rsidRDefault="00AF71BA" w:rsidP="00AF71BA">
      <w:pPr>
        <w:pStyle w:val="HOLOS-ttulodoartigo"/>
        <w:rPr>
          <w:rStyle w:val="apple-style-span"/>
          <w:b w:val="0"/>
          <w:szCs w:val="32"/>
          <w:lang w:val="en-US"/>
        </w:rPr>
        <w:sectPr w:rsidR="00262F7F" w:rsidRPr="00AF71BA" w:rsidSect="003E05CC">
          <w:type w:val="continuous"/>
          <w:pgSz w:w="11906" w:h="16838"/>
          <w:pgMar w:top="1418" w:right="1191" w:bottom="1418" w:left="1191" w:header="426" w:footer="709" w:gutter="0"/>
          <w:cols w:space="708"/>
          <w:docGrid w:linePitch="360"/>
        </w:sectPr>
      </w:pPr>
      <w:r w:rsidRPr="00AF71BA">
        <w:rPr>
          <w:lang w:val="en-US"/>
        </w:rPr>
        <w:t>EVALUATION FORMS AS CONTROL STRATEGIES IN HIGHER EDUCATION IN COLOMBIA</w:t>
      </w:r>
      <w:r>
        <w:rPr>
          <w:lang w:val="en-US"/>
        </w:rPr>
        <w:t xml:space="preserve"> </w:t>
      </w:r>
    </w:p>
    <w:p w14:paraId="242775BC" w14:textId="388F9BD6" w:rsidR="005D751D" w:rsidRPr="005D751D" w:rsidRDefault="0027469E" w:rsidP="005D751D">
      <w:pPr>
        <w:pStyle w:val="HOLOS-ResumoeAbstract"/>
        <w:rPr>
          <w:rFonts w:ascii="Bookman Old Style" w:hAnsi="Bookman Old Style"/>
        </w:rPr>
      </w:pPr>
      <w:r w:rsidRPr="005D751D">
        <w:rPr>
          <w:rFonts w:ascii="Bookman Old Style" w:hAnsi="Bookman Old Style"/>
          <w:b/>
        </w:rPr>
        <w:t>ABSTRACT:</w:t>
      </w:r>
      <w:r w:rsidRPr="005D751D">
        <w:rPr>
          <w:rFonts w:ascii="Bookman Old Style" w:hAnsi="Bookman Old Style"/>
        </w:rPr>
        <w:t xml:space="preserve"> </w:t>
      </w:r>
      <w:r w:rsidR="005D751D" w:rsidRPr="005D751D">
        <w:rPr>
          <w:rFonts w:ascii="Bookman Old Style" w:hAnsi="Bookman Old Style"/>
        </w:rPr>
        <w:t>We are witnessing a historical epoch characterized by discipline</w:t>
      </w:r>
      <w:r w:rsidR="005D751D">
        <w:rPr>
          <w:rFonts w:ascii="Bookman Old Style" w:hAnsi="Bookman Old Style"/>
        </w:rPr>
        <w:t xml:space="preserve"> </w:t>
      </w:r>
      <w:r w:rsidR="005D751D" w:rsidRPr="005D751D">
        <w:rPr>
          <w:rFonts w:ascii="Bookman Old Style" w:hAnsi="Bookman Old Style"/>
        </w:rPr>
        <w:t>and control, or better, we could say, at a time when we are passing through various regulatory regimes, in which evaluation in multiple ways is present and serves as a device for regulation, discipline, social sanction, inclusion, exclusion; a mechanism through which each thing, each institution, each subject, each knowledge, each project ... is located in a certain place and is characterized, in pre-established ways.</w:t>
      </w:r>
    </w:p>
    <w:p w14:paraId="18DC7FF2" w14:textId="48D01D52" w:rsidR="005D751D" w:rsidRPr="005D751D" w:rsidRDefault="005D751D" w:rsidP="005D751D">
      <w:pPr>
        <w:pStyle w:val="HOLOS-ResumoeAbstract"/>
        <w:spacing w:before="120" w:after="120"/>
        <w:ind w:firstLine="709"/>
        <w:rPr>
          <w:rFonts w:ascii="Bookman Old Style" w:hAnsi="Bookman Old Style"/>
        </w:rPr>
      </w:pPr>
      <w:r w:rsidRPr="005D751D">
        <w:rPr>
          <w:rFonts w:ascii="Bookman Old Style" w:hAnsi="Bookman Old Style"/>
        </w:rPr>
        <w:t xml:space="preserve">We could well say that in modern societies, evaluation by virtue of its omnipresence, has become a relevant event, for being that novel system that seeks the permanent vigilance of individuals and communities, that machinery spread everywhere, that subjects the population to instantaneous regulation; that swarm of devices that meander everywhere, that operate in different ways, that govern, regulate, watch </w:t>
      </w:r>
      <w:r w:rsidRPr="005D751D">
        <w:rPr>
          <w:rFonts w:ascii="Bookman Old Style" w:hAnsi="Bookman Old Style"/>
        </w:rPr>
        <w:t>and control, not only the unitary individuals but the multitude, inducing it, as Foucault pointed out, to "a conscious and permanent state of visibility that it guarantees the automatic operation of power ”(1976, p. 204). Or, we could say to Gabriel García Márquez, evaluation, through an almost infinite set of forms, encircles and constrains our existence "from the cradle to the grave", even beyond these, watching over everything, regulating everything, controlling everything.</w:t>
      </w:r>
    </w:p>
    <w:p w14:paraId="1BC0534F" w14:textId="2B9E71F5" w:rsidR="00262F7F" w:rsidRPr="00FE3E04" w:rsidRDefault="005D751D" w:rsidP="00FE3E04">
      <w:pPr>
        <w:pStyle w:val="HOLOS-ResumoeAbstract"/>
        <w:spacing w:before="120" w:after="120"/>
        <w:ind w:firstLine="709"/>
        <w:rPr>
          <w:rStyle w:val="apple-style-span"/>
          <w:rFonts w:ascii="Bookman Old Style" w:hAnsi="Bookman Old Style"/>
        </w:rPr>
      </w:pPr>
      <w:r w:rsidRPr="005D751D">
        <w:rPr>
          <w:rFonts w:ascii="Bookman Old Style" w:hAnsi="Bookman Old Style"/>
        </w:rPr>
        <w:t xml:space="preserve">The methodological perspective staged in this inquiry is related to the </w:t>
      </w:r>
      <w:proofErr w:type="spellStart"/>
      <w:r w:rsidRPr="005D751D">
        <w:rPr>
          <w:rFonts w:ascii="Bookman Old Style" w:hAnsi="Bookman Old Style"/>
        </w:rPr>
        <w:t>Foucaultian</w:t>
      </w:r>
      <w:proofErr w:type="spellEnd"/>
      <w:r w:rsidRPr="005D751D">
        <w:rPr>
          <w:rFonts w:ascii="Bookman Old Style" w:hAnsi="Bookman Old Style"/>
        </w:rPr>
        <w:t xml:space="preserve"> toolbox consisting of archeology, genealogy and subjectivity, based on a triple analysis: of the enunciative modalities about what is actually said and written about evaluation - in higher education; of the power relations that their practices entail; and of the subjects that agency</w:t>
      </w:r>
      <w:r w:rsidR="00262F7F" w:rsidRPr="00FE3E04">
        <w:rPr>
          <w:rFonts w:ascii="Bookman Old Style" w:hAnsi="Bookman Old Style"/>
          <w:spacing w:val="-4"/>
        </w:rPr>
        <w:t>.</w:t>
      </w:r>
      <w:r w:rsidR="00262F7F" w:rsidRPr="00FE3E04">
        <w:rPr>
          <w:rFonts w:ascii="Bookman Old Style" w:hAnsi="Bookman Old Style"/>
        </w:rPr>
        <w:t xml:space="preserve"> </w:t>
      </w:r>
    </w:p>
    <w:p w14:paraId="3C48CD80" w14:textId="77777777" w:rsidR="00262F7F" w:rsidRPr="00FE3E04" w:rsidRDefault="00262F7F" w:rsidP="00262F7F">
      <w:pPr>
        <w:pStyle w:val="HOLOS-ResumoeAbstract"/>
        <w:ind w:firstLine="708"/>
        <w:rPr>
          <w:rStyle w:val="apple-style-span"/>
          <w:rFonts w:ascii="Bookman Old Style" w:hAnsi="Bookman Old Style"/>
        </w:rPr>
        <w:sectPr w:rsidR="00262F7F" w:rsidRPr="00FE3E04" w:rsidSect="003E05CC">
          <w:type w:val="continuous"/>
          <w:pgSz w:w="11906" w:h="16838"/>
          <w:pgMar w:top="1418" w:right="1191" w:bottom="1418" w:left="1191" w:header="426" w:footer="709" w:gutter="0"/>
          <w:cols w:num="2" w:space="284"/>
          <w:docGrid w:linePitch="360"/>
        </w:sectPr>
      </w:pPr>
    </w:p>
    <w:p w14:paraId="50006C22" w14:textId="77777777" w:rsidR="00262F7F" w:rsidRPr="00FE3E04" w:rsidRDefault="00262F7F" w:rsidP="002622A6">
      <w:pPr>
        <w:pStyle w:val="Sinespaciado"/>
        <w:spacing w:before="0" w:after="0" w:line="240" w:lineRule="auto"/>
        <w:ind w:firstLine="0"/>
        <w:rPr>
          <w:rFonts w:ascii="Bookman Old Style" w:hAnsi="Bookman Old Style" w:cstheme="minorHAnsi"/>
          <w:b/>
          <w:sz w:val="10"/>
          <w:szCs w:val="10"/>
          <w:lang w:val="en-US"/>
        </w:rPr>
      </w:pPr>
    </w:p>
    <w:p w14:paraId="3B413CE1" w14:textId="77777777" w:rsidR="00262F7F" w:rsidRPr="00FE3E04" w:rsidRDefault="00262F7F" w:rsidP="002622A6">
      <w:pPr>
        <w:pStyle w:val="Sinespaciado"/>
        <w:spacing w:before="0" w:after="0" w:line="240" w:lineRule="auto"/>
        <w:ind w:firstLine="0"/>
        <w:rPr>
          <w:rFonts w:ascii="Bookman Old Style" w:hAnsi="Bookman Old Style" w:cstheme="minorHAnsi"/>
          <w:b/>
          <w:sz w:val="10"/>
          <w:szCs w:val="10"/>
          <w:lang w:val="en-US"/>
        </w:rPr>
      </w:pPr>
    </w:p>
    <w:tbl>
      <w:tblPr>
        <w:tblStyle w:val="Cuadrculaclara"/>
        <w:tblW w:w="9498"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shd w:val="clear" w:color="auto" w:fill="B2A1C7" w:themeFill="accent4" w:themeFillTint="99"/>
        <w:tblLayout w:type="fixed"/>
        <w:tblLook w:val="04A0" w:firstRow="1" w:lastRow="0" w:firstColumn="1" w:lastColumn="0" w:noHBand="0" w:noVBand="1"/>
      </w:tblPr>
      <w:tblGrid>
        <w:gridCol w:w="9498"/>
      </w:tblGrid>
      <w:tr w:rsidR="00262F7F" w:rsidRPr="00836DED" w14:paraId="549410EA" w14:textId="77777777" w:rsidTr="00E96513">
        <w:trPr>
          <w:cnfStyle w:val="100000000000" w:firstRow="1" w:lastRow="0" w:firstColumn="0" w:lastColumn="0" w:oddVBand="0" w:evenVBand="0" w:oddHBand="0"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left w:val="none" w:sz="0" w:space="0" w:color="auto"/>
              <w:bottom w:val="none" w:sz="0" w:space="0" w:color="auto"/>
              <w:right w:val="none" w:sz="0" w:space="0" w:color="auto"/>
            </w:tcBorders>
            <w:shd w:val="clear" w:color="auto" w:fill="B2A1C7" w:themeFill="accent4" w:themeFillTint="99"/>
            <w:vAlign w:val="center"/>
          </w:tcPr>
          <w:p w14:paraId="50C94620" w14:textId="7500C087" w:rsidR="00262F7F" w:rsidRPr="0027469E" w:rsidRDefault="00277264" w:rsidP="00487D23">
            <w:pPr>
              <w:rPr>
                <w:rFonts w:ascii="Bookman Old Style" w:hAnsi="Bookman Old Style" w:cstheme="minorHAnsi"/>
                <w:sz w:val="20"/>
                <w:szCs w:val="20"/>
                <w:lang w:val="en-US"/>
              </w:rPr>
            </w:pPr>
            <w:r w:rsidRPr="0027469E">
              <w:rPr>
                <w:rFonts w:ascii="Bookman Old Style" w:hAnsi="Bookman Old Style" w:cstheme="minorHAnsi"/>
                <w:sz w:val="20"/>
                <w:szCs w:val="20"/>
                <w:lang w:val="en-US"/>
              </w:rPr>
              <w:t>KEY</w:t>
            </w:r>
            <w:r w:rsidR="00262F7F" w:rsidRPr="0027469E">
              <w:rPr>
                <w:rFonts w:ascii="Bookman Old Style" w:hAnsi="Bookman Old Style" w:cstheme="minorHAnsi"/>
                <w:sz w:val="20"/>
                <w:szCs w:val="20"/>
                <w:lang w:val="en-US"/>
              </w:rPr>
              <w:t xml:space="preserve">WORDS: </w:t>
            </w:r>
            <w:r w:rsidR="00E8496E" w:rsidRPr="00E8496E">
              <w:rPr>
                <w:rFonts w:ascii="Bookman Old Style" w:hAnsi="Bookman Old Style" w:cstheme="minorHAnsi"/>
                <w:b w:val="0"/>
                <w:sz w:val="20"/>
                <w:szCs w:val="20"/>
                <w:lang w:val="en-US"/>
              </w:rPr>
              <w:t>evaluation; subject; control</w:t>
            </w:r>
            <w:r w:rsidR="00487D23" w:rsidRPr="00487D23">
              <w:rPr>
                <w:rFonts w:ascii="Bookman Old Style" w:hAnsi="Bookman Old Style" w:cstheme="minorHAnsi"/>
                <w:b w:val="0"/>
                <w:sz w:val="20"/>
                <w:szCs w:val="20"/>
                <w:lang w:val="en-US"/>
              </w:rPr>
              <w:t>.</w:t>
            </w:r>
          </w:p>
        </w:tc>
      </w:tr>
    </w:tbl>
    <w:p w14:paraId="4F59D24C" w14:textId="77777777" w:rsidR="00262F7F" w:rsidRPr="0027469E" w:rsidRDefault="00262F7F" w:rsidP="00262F7F">
      <w:pPr>
        <w:pStyle w:val="HOLOS-ResumoeAbstract"/>
        <w:rPr>
          <w:rStyle w:val="apple-style-span"/>
          <w:rFonts w:ascii="Bookman Old Style" w:hAnsi="Bookman Old Style"/>
        </w:rPr>
      </w:pPr>
    </w:p>
    <w:p w14:paraId="43E5A006" w14:textId="77777777" w:rsidR="00262F7F" w:rsidRPr="0027469E" w:rsidRDefault="00262F7F" w:rsidP="0038735E">
      <w:pPr>
        <w:pStyle w:val="HOLOS-ResumoeAbstract"/>
        <w:rPr>
          <w:rFonts w:ascii="Bookman Old Style" w:hAnsi="Bookman Old Style"/>
        </w:rPr>
        <w:sectPr w:rsidR="00262F7F" w:rsidRPr="0027469E" w:rsidSect="003E05CC">
          <w:type w:val="continuous"/>
          <w:pgSz w:w="11906" w:h="16838"/>
          <w:pgMar w:top="1418" w:right="1191" w:bottom="1418" w:left="1191" w:header="426" w:footer="709" w:gutter="0"/>
          <w:cols w:space="369"/>
          <w:docGrid w:linePitch="360"/>
        </w:sectPr>
      </w:pPr>
    </w:p>
    <w:p w14:paraId="6A20D1D0" w14:textId="77777777" w:rsidR="0038735E" w:rsidRPr="0038735E" w:rsidRDefault="0038735E" w:rsidP="0038735E">
      <w:pPr>
        <w:spacing w:before="120" w:after="120" w:line="360" w:lineRule="auto"/>
        <w:rPr>
          <w:rFonts w:ascii="Bookman Old Style" w:hAnsi="Bookman Old Style"/>
          <w:b/>
          <w:color w:val="7030A0"/>
          <w:sz w:val="28"/>
          <w:szCs w:val="28"/>
          <w:lang w:val="es-CO"/>
        </w:rPr>
      </w:pPr>
      <w:r w:rsidRPr="0038735E">
        <w:rPr>
          <w:rFonts w:ascii="Bookman Old Style" w:hAnsi="Bookman Old Style"/>
          <w:b/>
          <w:color w:val="7030A0"/>
          <w:sz w:val="28"/>
          <w:szCs w:val="28"/>
          <w:lang w:val="es-CO"/>
        </w:rPr>
        <w:lastRenderedPageBreak/>
        <w:t>1. Perspectiva de la indagación</w:t>
      </w:r>
    </w:p>
    <w:p w14:paraId="081E0F07" w14:textId="77777777" w:rsidR="0038735E" w:rsidRPr="00704864" w:rsidRDefault="0038735E" w:rsidP="0038735E">
      <w:pPr>
        <w:spacing w:before="120" w:after="120" w:line="360" w:lineRule="auto"/>
        <w:rPr>
          <w:rFonts w:ascii="Bookman Old Style" w:hAnsi="Bookman Old Style" w:cs="Times New Roman"/>
          <w:b/>
          <w:lang w:val="es-CO"/>
        </w:rPr>
      </w:pPr>
    </w:p>
    <w:p w14:paraId="043339B1" w14:textId="77777777" w:rsidR="0038735E" w:rsidRPr="00704864" w:rsidRDefault="0038735E" w:rsidP="0038735E">
      <w:pPr>
        <w:spacing w:before="120" w:after="120" w:line="360" w:lineRule="auto"/>
        <w:rPr>
          <w:rFonts w:ascii="Bookman Old Style" w:hAnsi="Bookman Old Style" w:cs="Times New Roman"/>
          <w:lang w:val="es-CO"/>
        </w:rPr>
      </w:pPr>
      <w:r w:rsidRPr="00704864">
        <w:rPr>
          <w:rFonts w:ascii="Bookman Old Style" w:hAnsi="Bookman Old Style" w:cs="Times New Roman"/>
          <w:lang w:val="es-CO"/>
        </w:rPr>
        <w:t xml:space="preserve">Las sociedades modernas han entrado paulatinamente en la configuración de una cultura de la evaluación; asistimos, en efecto, a una época panevaluativa: todo se evalúa y en todo momento, mucho más, si la evaluación se refiere al ámbito educativo y de modo específico a los procesos de enseñanza y aprendizaje. En este contexto de perpetua y permanente valoración, cabe preguntar por las condiciones de posibilidad, a través de las cuales, la evaluación mediante de un conjunto casi infinito de mecanismos –de discursos y de prácticas– ha cobrado tal relevancia social, que en la actualidad la caracteriza. </w:t>
      </w:r>
    </w:p>
    <w:p w14:paraId="3C38ECFB" w14:textId="6A9C9111"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t>En tal cultura de la omnievaluación y al interior de los sistemas educativos, todas las instancias, los ámbitos, las instituciones, los sujetos, los conocimientos, los procesos, las acciones, los proyectos, los programas, en fin, las palabras, las cosas, son sometidos a una pluralidad de procedimientos evaluativos que comportan una variedad de instrumentos, tiempos, espacios…, en orden, también a una pluralidad de usos y fines. Esta trama de discursos y prácticas permiten sostener que la evaluación se ha convertido en un dispositivo que yace presente en la cotidianidad educativa y que tiene implicaciones –de enorme calado– para todos los estamentos y elementos relativos y correlativos al ejercicio docente.</w:t>
      </w:r>
      <w:r w:rsidRPr="00704864" w:rsidDel="002836AC">
        <w:rPr>
          <w:rFonts w:ascii="Bookman Old Style" w:hAnsi="Bookman Old Style" w:cs="Times New Roman"/>
          <w:lang w:val="es-CO"/>
        </w:rPr>
        <w:t xml:space="preserve"> </w:t>
      </w:r>
    </w:p>
    <w:p w14:paraId="6EE81D11" w14:textId="77777777"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t xml:space="preserve">La analítica que devela este artículo, es resultante del uso de la caja de herramientas de raigambre </w:t>
      </w:r>
      <w:proofErr w:type="spellStart"/>
      <w:r w:rsidRPr="00704864">
        <w:rPr>
          <w:rFonts w:ascii="Bookman Old Style" w:hAnsi="Bookman Old Style" w:cs="Times New Roman"/>
          <w:lang w:val="es-CO"/>
        </w:rPr>
        <w:t>foucaultiano</w:t>
      </w:r>
      <w:proofErr w:type="spellEnd"/>
      <w:r w:rsidRPr="00704864">
        <w:rPr>
          <w:rFonts w:ascii="Bookman Old Style" w:hAnsi="Bookman Old Style" w:cs="Times New Roman"/>
          <w:lang w:val="es-CO"/>
        </w:rPr>
        <w:t xml:space="preserve">, arqueológico, genealógico y de subjetividad. Es un ejercicio arqueológico, pues, busca describir lo efectivamente dicho (escrito, enunciado, nombrado…) acerca de la evaluación a través de un archivo documental conformado por diversos corpus (teóricos, </w:t>
      </w:r>
      <w:proofErr w:type="spellStart"/>
      <w:r w:rsidRPr="00704864">
        <w:rPr>
          <w:rFonts w:ascii="Bookman Old Style" w:hAnsi="Bookman Old Style" w:cs="Times New Roman"/>
          <w:lang w:val="es-CO"/>
        </w:rPr>
        <w:t>metateóricos</w:t>
      </w:r>
      <w:proofErr w:type="spellEnd"/>
      <w:r w:rsidRPr="00704864">
        <w:rPr>
          <w:rFonts w:ascii="Bookman Old Style" w:hAnsi="Bookman Old Style" w:cs="Times New Roman"/>
          <w:lang w:val="es-CO"/>
        </w:rPr>
        <w:t xml:space="preserve">, prescriptivos, práxicos…) que refieren de múltiples maneras a la evaluación docente; es genealógico porque busca determinar –y señalar– las condiciones de posibilidad a través de las cuales la práctica evaluativa se ha constituido en una especie de juez </w:t>
      </w:r>
      <w:proofErr w:type="spellStart"/>
      <w:r w:rsidRPr="00704864">
        <w:rPr>
          <w:rFonts w:ascii="Bookman Old Style" w:hAnsi="Bookman Old Style" w:cs="Times New Roman"/>
          <w:lang w:val="es-CO"/>
        </w:rPr>
        <w:t>omnipoderoso</w:t>
      </w:r>
      <w:proofErr w:type="spellEnd"/>
      <w:r w:rsidRPr="00704864">
        <w:rPr>
          <w:rFonts w:ascii="Bookman Old Style" w:hAnsi="Bookman Old Style" w:cs="Times New Roman"/>
          <w:lang w:val="es-CO"/>
        </w:rPr>
        <w:t xml:space="preserve">, omnipotente, al que todo ha de ser sometido; se </w:t>
      </w:r>
      <w:r w:rsidRPr="00704864">
        <w:rPr>
          <w:rFonts w:ascii="Bookman Old Style" w:hAnsi="Bookman Old Style" w:cs="Times New Roman"/>
          <w:lang w:val="es-CO"/>
        </w:rPr>
        <w:lastRenderedPageBreak/>
        <w:t>refiere, finalmente, a una perspectiva de subjetividad, por cuanto la evaluación, al realizar el ejercicio de control docente, constituye o produce un tipo específico de sujeto: perpetuamente vigilado, controlado, evaluado, valorado.</w:t>
      </w:r>
    </w:p>
    <w:p w14:paraId="59B004BE" w14:textId="30F4F603"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t xml:space="preserve">Este ejercicio académico-investigativo se deriva de la conjugación de dos elementos básicos: el trabajo de investigación doctoral “Aproximación a un estudio genealógico de la evaluación educativa en Colombia, segunda mitad del siglo XX” </w:t>
      </w:r>
      <w:r w:rsidRPr="00704864">
        <w:rPr>
          <w:rFonts w:ascii="Bookman Old Style" w:hAnsi="Bookman Old Style" w:cs="Times New Roman"/>
          <w:lang w:val="es-CO"/>
        </w:rPr>
        <w:fldChar w:fldCharType="begin" w:fldLock="1"/>
      </w:r>
      <w:r w:rsidRPr="00704864">
        <w:rPr>
          <w:rFonts w:ascii="Bookman Old Style" w:hAnsi="Bookman Old Style" w:cs="Times New Roman"/>
          <w:lang w:val="es-CO"/>
        </w:rPr>
        <w:instrText>ADDIN CSL_CITATION {"citationItems":[{"id":"ITEM-1","itemData":{"author":[{"dropping-particle":"","family":"Sánchez","given":"T.","non-dropping-particle":"","parse-names":false,"suffix":""}],"id":"ITEM-1","issued":{"date-parts":[["2008"]]},"publisher":"Universidad de Manizales-Cinde","title":"Aproximación a un estudio genealógico de la evaluación educativa en Colombia, segunda mitad del siglo XX","type":"thesis"},"uris":["http://www.mendeley.com/documents/?uuid=03c9612b-8ec6-41ff-acb6-1d8e4f5d781b"]}],"mendeley":{"formattedCitation":"(Sánchez, 2008)","plainTextFormattedCitation":"(Sánchez, 2008)","previouslyFormattedCitation":"(Sánchez, 2008)"},"properties":{"noteIndex":0},"schema":"https://github.com/citation-style-language/schema/raw/master/csl-citation.json"}</w:instrText>
      </w:r>
      <w:r w:rsidRPr="00704864">
        <w:rPr>
          <w:rFonts w:ascii="Bookman Old Style" w:hAnsi="Bookman Old Style" w:cs="Times New Roman"/>
          <w:lang w:val="es-CO"/>
        </w:rPr>
        <w:fldChar w:fldCharType="separate"/>
      </w:r>
      <w:r w:rsidRPr="00704864">
        <w:rPr>
          <w:rFonts w:ascii="Bookman Old Style" w:hAnsi="Bookman Old Style" w:cs="Times New Roman"/>
          <w:noProof/>
          <w:lang w:val="es-CO"/>
        </w:rPr>
        <w:t>(Sánchez, 2008)</w:t>
      </w:r>
      <w:r w:rsidRPr="00704864">
        <w:rPr>
          <w:rFonts w:ascii="Bookman Old Style" w:hAnsi="Bookman Old Style" w:cs="Times New Roman"/>
          <w:lang w:val="es-CO"/>
        </w:rPr>
        <w:fldChar w:fldCharType="end"/>
      </w:r>
      <w:r w:rsidRPr="00704864">
        <w:rPr>
          <w:rFonts w:ascii="Bookman Old Style" w:hAnsi="Bookman Old Style" w:cs="Times New Roman"/>
          <w:lang w:val="es-CO"/>
        </w:rPr>
        <w:t xml:space="preserve"> y la propuesta de investigación “La evaluación: un proceso de formación y transformación docente” </w:t>
      </w:r>
      <w:r w:rsidRPr="00704864">
        <w:rPr>
          <w:rFonts w:ascii="Bookman Old Style" w:hAnsi="Bookman Old Style" w:cs="Times New Roman"/>
          <w:lang w:val="es-CO"/>
        </w:rPr>
        <w:fldChar w:fldCharType="begin" w:fldLock="1"/>
      </w:r>
      <w:r w:rsidRPr="00704864">
        <w:rPr>
          <w:rFonts w:ascii="Bookman Old Style" w:hAnsi="Bookman Old Style" w:cs="Times New Roman"/>
          <w:lang w:val="es-CO"/>
        </w:rPr>
        <w:instrText>ADDIN CSL_CITATION {"citationItems":[{"id":"ITEM-1","itemData":{"author":[{"dropping-particle":"","family":"Sánchez, T., De la Torre. O. y Mosquera","given":"F.","non-dropping-particle":"","parse-names":false,"suffix":""}],"id":"ITEM-1","issued":{"date-parts":[["2016"]]},"publisher":"No publicado","publisher-place":"Bogotá","title":"Propuesta de investigación. La evaluación: un proceso de formación y transformación docente","type":"article"},"uris":["http://www.mendeley.com/documents/?uuid=377cfe45-6234-3366-8674-c3cbfdd95c25"]}],"mendeley":{"formattedCitation":"(Sánchez, T., De la Torre. O. y Mosquera, 2016)","manualFormatting":"(Sánchez, De la Torre y Mosquera, 2016)","plainTextFormattedCitation":"(Sánchez, T., De la Torre. O. y Mosquera, 2016)","previouslyFormattedCitation":"(Sánchez, T., De la Torre. O. y Mosquera, 2016)"},"properties":{"noteIndex":0},"schema":"https://github.com/citation-style-language/schema/raw/master/csl-citation.json"}</w:instrText>
      </w:r>
      <w:r w:rsidRPr="00704864">
        <w:rPr>
          <w:rFonts w:ascii="Bookman Old Style" w:hAnsi="Bookman Old Style" w:cs="Times New Roman"/>
          <w:lang w:val="es-CO"/>
        </w:rPr>
        <w:fldChar w:fldCharType="separate"/>
      </w:r>
      <w:r w:rsidRPr="00704864">
        <w:rPr>
          <w:rFonts w:ascii="Bookman Old Style" w:hAnsi="Bookman Old Style" w:cs="Times New Roman"/>
          <w:noProof/>
          <w:lang w:val="es-CO"/>
        </w:rPr>
        <w:t>(Sánchez, De la Torre y Mosquera, 2016)</w:t>
      </w:r>
      <w:r w:rsidRPr="00704864">
        <w:rPr>
          <w:rFonts w:ascii="Bookman Old Style" w:hAnsi="Bookman Old Style" w:cs="Times New Roman"/>
          <w:lang w:val="es-CO"/>
        </w:rPr>
        <w:fldChar w:fldCharType="end"/>
      </w:r>
      <w:r w:rsidRPr="00704864">
        <w:rPr>
          <w:rFonts w:ascii="Bookman Old Style" w:hAnsi="Bookman Old Style" w:cs="Times New Roman"/>
          <w:lang w:val="es-CO"/>
        </w:rPr>
        <w:t xml:space="preserve">. </w:t>
      </w:r>
    </w:p>
    <w:p w14:paraId="50B2D8B2" w14:textId="77777777" w:rsidR="0038735E" w:rsidRPr="00704864" w:rsidRDefault="0038735E" w:rsidP="0038735E">
      <w:pPr>
        <w:spacing w:before="120" w:after="120" w:line="360" w:lineRule="auto"/>
        <w:rPr>
          <w:rFonts w:ascii="Bookman Old Style" w:hAnsi="Bookman Old Style" w:cs="Times New Roman"/>
          <w:lang w:val="es-CO"/>
        </w:rPr>
      </w:pPr>
    </w:p>
    <w:p w14:paraId="782FFF2D" w14:textId="77777777" w:rsidR="0038735E" w:rsidRPr="0038735E" w:rsidRDefault="0038735E" w:rsidP="0038735E">
      <w:pPr>
        <w:spacing w:before="120" w:after="120" w:line="360" w:lineRule="auto"/>
        <w:rPr>
          <w:rFonts w:ascii="Bookman Old Style" w:hAnsi="Bookman Old Style"/>
          <w:b/>
          <w:color w:val="7030A0"/>
          <w:sz w:val="28"/>
          <w:szCs w:val="28"/>
          <w:lang w:val="es-CO"/>
        </w:rPr>
      </w:pPr>
      <w:r w:rsidRPr="0038735E">
        <w:rPr>
          <w:rFonts w:ascii="Bookman Old Style" w:hAnsi="Bookman Old Style"/>
          <w:b/>
          <w:color w:val="7030A0"/>
          <w:sz w:val="28"/>
          <w:szCs w:val="28"/>
          <w:lang w:val="es-CO"/>
        </w:rPr>
        <w:t>2. Método de la propuesta (Arqueología-Genealogía-Subjetividad)</w:t>
      </w:r>
    </w:p>
    <w:p w14:paraId="645D4B5F" w14:textId="77777777" w:rsidR="0038735E" w:rsidRPr="00704864" w:rsidRDefault="0038735E" w:rsidP="0038735E">
      <w:pPr>
        <w:spacing w:before="120" w:after="120" w:line="360" w:lineRule="auto"/>
        <w:rPr>
          <w:rFonts w:ascii="Bookman Old Style" w:hAnsi="Bookman Old Style" w:cs="Times New Roman"/>
          <w:b/>
          <w:lang w:val="es-CO"/>
        </w:rPr>
      </w:pPr>
    </w:p>
    <w:p w14:paraId="6A21563F" w14:textId="541923D2" w:rsidR="0038735E" w:rsidRPr="0038735E" w:rsidRDefault="0038735E" w:rsidP="0038735E">
      <w:pPr>
        <w:pStyle w:val="NormalWeb"/>
        <w:spacing w:before="120" w:after="120" w:line="360" w:lineRule="auto"/>
        <w:rPr>
          <w:rFonts w:ascii="Bookman Old Style" w:hAnsi="Bookman Old Style"/>
          <w:lang w:val="es-CO"/>
        </w:rPr>
      </w:pPr>
      <w:r w:rsidRPr="0038735E">
        <w:rPr>
          <w:rFonts w:ascii="Bookman Old Style" w:hAnsi="Bookman Old Style"/>
          <w:lang w:val="es-CO"/>
        </w:rPr>
        <w:t xml:space="preserve">Este ejercicio investigativo constituye una analítica –descriptiva e interpretativa– de la verdad, referida a la evaluación como mecanismo de control del trabajo docente, que se fundamenta en tres herramientas metodológicas: </w:t>
      </w:r>
    </w:p>
    <w:p w14:paraId="1BF6ADD1" w14:textId="4543B920" w:rsidR="0038735E" w:rsidRPr="008878D3" w:rsidRDefault="0038735E" w:rsidP="004B2DF5">
      <w:pPr>
        <w:pStyle w:val="NormalWeb"/>
        <w:spacing w:before="120" w:after="120"/>
        <w:ind w:left="2268"/>
        <w:rPr>
          <w:rFonts w:ascii="Bookman Old Style" w:hAnsi="Bookman Old Style"/>
          <w:sz w:val="20"/>
          <w:szCs w:val="20"/>
          <w:lang w:val="es-CO"/>
        </w:rPr>
      </w:pPr>
      <w:r w:rsidRPr="008878D3">
        <w:rPr>
          <w:rFonts w:ascii="Bookman Old Style" w:hAnsi="Bookman Old Style"/>
          <w:sz w:val="20"/>
          <w:szCs w:val="20"/>
          <w:lang w:val="es-CO"/>
        </w:rPr>
        <w:t xml:space="preserve">un rastreo arqueológico, con el objeto de describir las condiciones históricas de posibilidad del saber; un análisis genealógico de las formas de poder, puesto en funcionamiento a través de las prácticas, para "mostrar las piezas que lo articulan y su mecánica"; y, una analítica interpretativa </w:t>
      </w:r>
      <w:r w:rsidRPr="008878D3">
        <w:rPr>
          <w:rFonts w:ascii="Bookman Old Style" w:hAnsi="Bookman Old Style"/>
          <w:noProof/>
          <w:sz w:val="20"/>
          <w:szCs w:val="20"/>
          <w:lang w:val="es-CO"/>
        </w:rPr>
        <w:fldChar w:fldCharType="begin" w:fldLock="1"/>
      </w:r>
      <w:r w:rsidRPr="008878D3">
        <w:rPr>
          <w:rFonts w:ascii="Bookman Old Style" w:hAnsi="Bookman Old Style"/>
          <w:noProof/>
          <w:sz w:val="20"/>
          <w:szCs w:val="20"/>
          <w:lang w:val="es-CO"/>
        </w:rPr>
        <w:instrText>ADDIN CSL_CITATION {"citationItems":[{"id":"ITEM-1","itemData":{"ISBN":"9789506024338","author":[{"dropping-particle":"","family":"Dreyfus, H. y Rabinow","given":"P.","non-dropping-particle":"","parse-names":false,"suffix":""}],"id":"ITEM-1","issued":{"date-parts":[["2001"]]},"publisher":"Nueva Visión SAIC","publisher-place":"Buenos Aires","title":"Michel Foucault : más allá del estructuralismo y la hermenéutica","type":"book"},"uris":["http://www.mendeley.com/documents/?uuid=acaa3b40-6944-3691-85a0-d384b054bf23"]}],"mendeley":{"formattedCitation":"(Dreyfus, H. y Rabinow, 2001)","manualFormatting":"(Dreyfus y Rabinow, 2001)","plainTextFormattedCitation":"(Dreyfus, H. y Rabinow, 2001)","previouslyFormattedCitation":"(Dreyfus, H. y Rabinow, 2001)"},"properties":{"noteIndex":0},"schema":"https://github.com/citation-style-language/schema/raw/master/csl-citation.json"}</w:instrText>
      </w:r>
      <w:r w:rsidRPr="008878D3">
        <w:rPr>
          <w:rFonts w:ascii="Bookman Old Style" w:hAnsi="Bookman Old Style"/>
          <w:noProof/>
          <w:sz w:val="20"/>
          <w:szCs w:val="20"/>
          <w:lang w:val="es-CO"/>
        </w:rPr>
        <w:fldChar w:fldCharType="separate"/>
      </w:r>
      <w:r w:rsidRPr="008878D3">
        <w:rPr>
          <w:rFonts w:ascii="Bookman Old Style" w:hAnsi="Bookman Old Style"/>
          <w:noProof/>
          <w:sz w:val="20"/>
          <w:szCs w:val="20"/>
          <w:lang w:val="es-CO"/>
        </w:rPr>
        <w:t>(Dreyfus y Rabinow, 2001)</w:t>
      </w:r>
      <w:r w:rsidRPr="008878D3">
        <w:rPr>
          <w:rFonts w:ascii="Bookman Old Style" w:hAnsi="Bookman Old Style"/>
          <w:noProof/>
          <w:sz w:val="20"/>
          <w:szCs w:val="20"/>
          <w:lang w:val="es-CO"/>
        </w:rPr>
        <w:fldChar w:fldCharType="end"/>
      </w:r>
      <w:r w:rsidRPr="008878D3">
        <w:rPr>
          <w:rFonts w:ascii="Bookman Old Style" w:hAnsi="Bookman Old Style"/>
          <w:sz w:val="20"/>
          <w:szCs w:val="20"/>
          <w:lang w:val="es-CO"/>
        </w:rPr>
        <w:t>, a fin de develar su maniobra como técnica para el agenciamiento de sujetos</w:t>
      </w:r>
      <w:r w:rsidR="008878D3">
        <w:rPr>
          <w:rFonts w:ascii="Bookman Old Style" w:hAnsi="Bookman Old Style"/>
          <w:sz w:val="20"/>
          <w:szCs w:val="20"/>
          <w:lang w:val="es-CO"/>
        </w:rPr>
        <w:t xml:space="preserve"> </w:t>
      </w:r>
      <w:r w:rsidR="008878D3" w:rsidRPr="008878D3">
        <w:rPr>
          <w:rFonts w:ascii="Bookman Old Style" w:hAnsi="Bookman Old Style"/>
          <w:sz w:val="20"/>
          <w:szCs w:val="20"/>
          <w:lang w:val="es-CO"/>
        </w:rPr>
        <w:fldChar w:fldCharType="begin" w:fldLock="1"/>
      </w:r>
      <w:r w:rsidR="008878D3" w:rsidRPr="008878D3">
        <w:rPr>
          <w:rFonts w:ascii="Bookman Old Style" w:hAnsi="Bookman Old Style"/>
          <w:sz w:val="20"/>
          <w:szCs w:val="20"/>
          <w:lang w:val="es-CO"/>
        </w:rPr>
        <w:instrText>ADDIN CSL_CITATION {"citationItems":[{"id":"ITEM-1","itemData":{"abstract":"Aproximación a un estudio genealógico de la evaluación en Colombia, siglo XX • Resumen: Tres problematizaciones articulan la pesquisa: Describir las formas como la evaluación ha signado este lapso de la historia de la educación colombiana (mediante el análisis de las condiciones que permitieron la conformación y consolidación de un saber con pretensiones de autonomía). Rastrear la génesis de los acontecimientos que han posibilitado su emergencia, instalación y operación mediante determinadas prácticas de poder; esta intencionalidad implicó el análisis de los regímenes que han permitido su instalación, su normalización, su permanente presencia; y la especificación de los modos de accionar en los marcos de las denominadas sociedades disciplinaria y de control. Identificar las modalidades de sujetos que produce y gestiona, en razón al establecimiento y a la legitimación de relaciones objetivas-subjetivas, intersubjetivas e interinstitucionales.","author":[{"dropping-particle":"","family":"Sánchez","given":"T.","non-dropping-particle":"","parse-names":false,"suffix":""}],"container-title":"Revista Latinoamericana de Ciencias Sociales, Niñez y Juventud","id":"ITEM-1","issue":"2","issued":{"date-parts":[["2009"]]},"page":"1675-1711","title":"Aproximación a un estudio genealógico de la evaluación en Colombia, siglo XX","type":"article-journal","volume":"7"},"uris":["http://www.mendeley.com/documents/?uuid=21cce718-c0e3-38a2-afc0-d7e4df738d33"]}],"mendeley":{"formattedCitation":"(Sánchez, 2009)","manualFormatting":"(Sánchez, 2009","plainTextFormattedCitation":"(Sánchez, 2009)","previouslyFormattedCitation":"(Sánchez, 2009)"},"properties":{"noteIndex":0},"schema":"https://github.com/citation-style-language/schema/raw/master/csl-citation.json"}</w:instrText>
      </w:r>
      <w:r w:rsidR="008878D3" w:rsidRPr="008878D3">
        <w:rPr>
          <w:rFonts w:ascii="Bookman Old Style" w:hAnsi="Bookman Old Style"/>
          <w:sz w:val="20"/>
          <w:szCs w:val="20"/>
          <w:lang w:val="es-CO"/>
        </w:rPr>
        <w:fldChar w:fldCharType="separate"/>
      </w:r>
      <w:r w:rsidR="008878D3" w:rsidRPr="008878D3">
        <w:rPr>
          <w:rFonts w:ascii="Bookman Old Style" w:hAnsi="Bookman Old Style"/>
          <w:sz w:val="20"/>
          <w:szCs w:val="20"/>
          <w:lang w:val="es-CO"/>
        </w:rPr>
        <w:t>(Sánchez, 2009</w:t>
      </w:r>
      <w:r w:rsidR="008878D3" w:rsidRPr="008878D3">
        <w:rPr>
          <w:rFonts w:ascii="Bookman Old Style" w:hAnsi="Bookman Old Style"/>
          <w:sz w:val="20"/>
          <w:szCs w:val="20"/>
          <w:lang w:val="es-CO"/>
        </w:rPr>
        <w:fldChar w:fldCharType="end"/>
      </w:r>
      <w:r w:rsidR="008878D3" w:rsidRPr="008878D3">
        <w:rPr>
          <w:rFonts w:ascii="Bookman Old Style" w:hAnsi="Bookman Old Style"/>
          <w:sz w:val="20"/>
          <w:szCs w:val="20"/>
          <w:lang w:val="es-CO"/>
        </w:rPr>
        <w:t>, p. 1680)</w:t>
      </w:r>
      <w:r w:rsidRPr="008878D3">
        <w:rPr>
          <w:rFonts w:ascii="Bookman Old Style" w:hAnsi="Bookman Old Style"/>
          <w:sz w:val="20"/>
          <w:szCs w:val="20"/>
          <w:lang w:val="es-CO"/>
        </w:rPr>
        <w:t>.</w:t>
      </w:r>
    </w:p>
    <w:p w14:paraId="6176F939" w14:textId="77777777" w:rsidR="0038735E" w:rsidRPr="0038735E" w:rsidRDefault="0038735E" w:rsidP="0038735E">
      <w:pPr>
        <w:pStyle w:val="NormalWeb"/>
        <w:spacing w:before="120" w:after="120" w:line="360" w:lineRule="auto"/>
        <w:rPr>
          <w:rFonts w:ascii="Bookman Old Style" w:hAnsi="Bookman Old Style"/>
          <w:b/>
          <w:bCs/>
          <w:i/>
          <w:iCs/>
          <w:lang w:val="es-CO"/>
        </w:rPr>
      </w:pPr>
      <w:r w:rsidRPr="0038735E">
        <w:rPr>
          <w:rFonts w:ascii="Bookman Old Style" w:hAnsi="Bookman Old Style"/>
          <w:b/>
          <w:bCs/>
          <w:i/>
          <w:iCs/>
          <w:lang w:val="es-CO"/>
        </w:rPr>
        <w:t xml:space="preserve"> </w:t>
      </w:r>
    </w:p>
    <w:p w14:paraId="2C43F8CB" w14:textId="77777777" w:rsidR="0038735E" w:rsidRPr="0038735E" w:rsidRDefault="0038735E" w:rsidP="0038735E">
      <w:pPr>
        <w:pStyle w:val="NormalWeb"/>
        <w:spacing w:before="120" w:after="120" w:line="360" w:lineRule="auto"/>
        <w:rPr>
          <w:rFonts w:ascii="Bookman Old Style" w:hAnsi="Bookman Old Style"/>
          <w:i/>
          <w:sz w:val="28"/>
          <w:szCs w:val="28"/>
          <w:lang w:val="es-CO"/>
        </w:rPr>
      </w:pPr>
      <w:r w:rsidRPr="0038735E">
        <w:rPr>
          <w:rFonts w:ascii="Bookman Old Style" w:hAnsi="Bookman Old Style"/>
          <w:b/>
          <w:bCs/>
          <w:i/>
          <w:sz w:val="28"/>
          <w:szCs w:val="28"/>
          <w:lang w:val="es-CO"/>
        </w:rPr>
        <w:t>2.1 Descripción arqueológica</w:t>
      </w:r>
    </w:p>
    <w:p w14:paraId="46AC4B9A" w14:textId="77777777" w:rsidR="0038735E" w:rsidRPr="0038735E" w:rsidRDefault="0038735E" w:rsidP="0038735E">
      <w:pPr>
        <w:pStyle w:val="NormalWeb"/>
        <w:spacing w:before="120" w:after="120" w:line="360" w:lineRule="auto"/>
        <w:rPr>
          <w:rFonts w:ascii="Bookman Old Style" w:hAnsi="Bookman Old Style"/>
          <w:lang w:val="es-CO"/>
        </w:rPr>
      </w:pPr>
    </w:p>
    <w:p w14:paraId="5ADD3433" w14:textId="2DA2E488" w:rsidR="0038735E" w:rsidRPr="0038735E" w:rsidRDefault="0038735E" w:rsidP="0038735E">
      <w:pPr>
        <w:pStyle w:val="NormalWeb"/>
        <w:spacing w:before="120" w:after="120" w:line="360" w:lineRule="auto"/>
        <w:rPr>
          <w:rFonts w:ascii="Bookman Old Style" w:hAnsi="Bookman Old Style"/>
          <w:lang w:val="es-CO"/>
        </w:rPr>
      </w:pPr>
      <w:r w:rsidRPr="0038735E">
        <w:rPr>
          <w:rFonts w:ascii="Bookman Old Style" w:hAnsi="Bookman Old Style"/>
          <w:lang w:val="es-CO"/>
        </w:rPr>
        <w:t xml:space="preserve">La arqueológica, en tanto herramienta metodológica constituye “una historia de las condiciones históricas de posibilidad del saber” </w:t>
      </w:r>
      <w:r w:rsidRPr="00704864">
        <w:rPr>
          <w:rFonts w:ascii="Bookman Old Style" w:hAnsi="Bookman Old Style"/>
          <w:noProof/>
          <w:lang w:val="es-CO"/>
        </w:rPr>
        <w:t>(Castro, 2004, p. 32);</w:t>
      </w:r>
      <w:r w:rsidRPr="0038735E">
        <w:rPr>
          <w:rFonts w:ascii="Bookman Old Style" w:hAnsi="Bookman Old Style"/>
          <w:lang w:val="es-CO"/>
        </w:rPr>
        <w:t xml:space="preserve"> es un método de análisis de discursos y de prácticas que indaga las reglas generales de las relaciones entre los enunciados, a través de los cuales se puede configurar un </w:t>
      </w:r>
      <w:r w:rsidRPr="0038735E">
        <w:rPr>
          <w:rFonts w:ascii="Bookman Old Style" w:hAnsi="Bookman Old Style"/>
          <w:lang w:val="es-CO"/>
        </w:rPr>
        <w:lastRenderedPageBreak/>
        <w:t xml:space="preserve">saber determinado —para este caso, la evaluación—, en una época dada. Es una analítica de los saberes institucionalizados </w:t>
      </w:r>
      <w:r w:rsidRPr="00704864">
        <w:rPr>
          <w:rFonts w:ascii="Bookman Old Style" w:hAnsi="Bookman Old Style"/>
        </w:rPr>
        <w:fldChar w:fldCharType="begin" w:fldLock="1"/>
      </w:r>
      <w:r w:rsidRPr="0038735E">
        <w:rPr>
          <w:rFonts w:ascii="Bookman Old Style" w:hAnsi="Bookman Old Style"/>
          <w:lang w:val="es-CO"/>
        </w:rPr>
        <w:instrText>ADDIN CSL_CITATION {"citationItems":[{"id":"ITEM-1","itemData":{"author":[{"dropping-particle":"","family":"Zuluaga","given":"O.","non-dropping-particle":"","parse-names":false,"suffix":""}],"id":"ITEM-1","issued":{"date-parts":[["1987"]]},"publisher":"Foro Nacional por Colombia.","publisher-place":"Bogotá","title":"Pedagogía e historia. La historicidad de la pedagogía. La enseñanza, un objeto de saber","type":"book"},"uris":["http://www.mendeley.com/documents/?uuid=aedb2658-84df-477a-b9dd-ada8e5a0a213"]}],"mendeley":{"formattedCitation":"(Zuluaga, 1987)","plainTextFormattedCitation":"(Zuluaga, 1987)","previouslyFormattedCitation":"(Zuluaga, 1987)"},"properties":{"noteIndex":0},"schema":"https://github.com/citation-style-language/schema/raw/master/csl-citation.json"}</w:instrText>
      </w:r>
      <w:r w:rsidRPr="00704864">
        <w:rPr>
          <w:rFonts w:ascii="Bookman Old Style" w:hAnsi="Bookman Old Style"/>
        </w:rPr>
        <w:fldChar w:fldCharType="separate"/>
      </w:r>
      <w:r w:rsidRPr="0038735E">
        <w:rPr>
          <w:rFonts w:ascii="Bookman Old Style" w:hAnsi="Bookman Old Style"/>
          <w:noProof/>
          <w:lang w:val="es-CO"/>
        </w:rPr>
        <w:t>(Zuluaga, 1987)</w:t>
      </w:r>
      <w:r w:rsidRPr="00704864">
        <w:rPr>
          <w:rFonts w:ascii="Bookman Old Style" w:hAnsi="Bookman Old Style"/>
        </w:rPr>
        <w:fldChar w:fldCharType="end"/>
      </w:r>
      <w:r w:rsidRPr="0038735E">
        <w:rPr>
          <w:rFonts w:ascii="Bookman Old Style" w:hAnsi="Bookman Old Style"/>
          <w:lang w:val="es-CO"/>
        </w:rPr>
        <w:t>, que describe las reglas que para los sujetos, las instituciones, los discursos de un saber específico, "delimitan la práctica del mismo saber en una formación social dada" (p. 28)</w:t>
      </w:r>
      <w:bookmarkStart w:id="2" w:name="3"/>
      <w:bookmarkEnd w:id="2"/>
      <w:r w:rsidRPr="0038735E">
        <w:rPr>
          <w:rFonts w:ascii="Bookman Old Style" w:hAnsi="Bookman Old Style"/>
          <w:lang w:val="es-CO"/>
        </w:rPr>
        <w:t>.</w:t>
      </w:r>
    </w:p>
    <w:p w14:paraId="73287FE3" w14:textId="77777777" w:rsidR="0038735E" w:rsidRPr="0038735E" w:rsidRDefault="0038735E" w:rsidP="0038735E">
      <w:pPr>
        <w:pStyle w:val="NormalWeb"/>
        <w:spacing w:before="120" w:after="120" w:line="360" w:lineRule="auto"/>
        <w:ind w:firstLine="720"/>
        <w:rPr>
          <w:rFonts w:ascii="Bookman Old Style" w:hAnsi="Bookman Old Style"/>
          <w:lang w:val="es-CO"/>
        </w:rPr>
      </w:pPr>
      <w:r w:rsidRPr="0038735E">
        <w:rPr>
          <w:rFonts w:ascii="Bookman Old Style" w:hAnsi="Bookman Old Style"/>
          <w:lang w:val="es-CO"/>
        </w:rPr>
        <w:t>La descripción arqueológica comenzó determinando las fuentes documentales (discursivas y no discursivas), esto es, conformando el archivo sobre el cual se operaría el análisis; luego, se realizó el registro de algunas modalidades enunciativas referidas a la evaluación que se hallaron dispersas en el corpus documental; finalmente, a través de una analítica interpretativa se procedió a la sistematización de las formas de evaluación que operan como mecanismos de control del trabajo docente.</w:t>
      </w:r>
    </w:p>
    <w:p w14:paraId="73BF0EDD" w14:textId="77777777" w:rsidR="0038735E" w:rsidRPr="0038735E" w:rsidRDefault="0038735E" w:rsidP="0038735E">
      <w:pPr>
        <w:pStyle w:val="NormalWeb"/>
        <w:spacing w:before="120" w:after="120" w:line="360" w:lineRule="auto"/>
        <w:rPr>
          <w:rFonts w:ascii="Bookman Old Style" w:hAnsi="Bookman Old Style"/>
          <w:b/>
          <w:bCs/>
          <w:iCs/>
          <w:lang w:val="es-CO"/>
        </w:rPr>
      </w:pPr>
    </w:p>
    <w:p w14:paraId="03AA279B" w14:textId="77777777" w:rsidR="0038735E" w:rsidRPr="0038735E" w:rsidRDefault="0038735E" w:rsidP="0038735E">
      <w:pPr>
        <w:pStyle w:val="NormalWeb"/>
        <w:spacing w:before="120" w:after="120" w:line="360" w:lineRule="auto"/>
        <w:rPr>
          <w:rFonts w:ascii="Bookman Old Style" w:hAnsi="Bookman Old Style"/>
          <w:b/>
          <w:bCs/>
          <w:i/>
          <w:sz w:val="28"/>
          <w:szCs w:val="28"/>
          <w:lang w:val="es-CO"/>
        </w:rPr>
      </w:pPr>
      <w:r w:rsidRPr="0038735E">
        <w:rPr>
          <w:rFonts w:ascii="Bookman Old Style" w:hAnsi="Bookman Old Style"/>
          <w:b/>
          <w:bCs/>
          <w:i/>
          <w:sz w:val="28"/>
          <w:szCs w:val="28"/>
          <w:lang w:val="es-CO"/>
        </w:rPr>
        <w:t>2.2 Perspectiva genealógica</w:t>
      </w:r>
    </w:p>
    <w:p w14:paraId="31BE0767" w14:textId="77777777" w:rsidR="0038735E" w:rsidRPr="0038735E" w:rsidRDefault="0038735E" w:rsidP="0038735E">
      <w:pPr>
        <w:pStyle w:val="NormalWeb"/>
        <w:spacing w:before="120" w:after="120" w:line="360" w:lineRule="auto"/>
        <w:rPr>
          <w:rFonts w:ascii="Bookman Old Style" w:hAnsi="Bookman Old Style"/>
          <w:lang w:val="es-CO"/>
        </w:rPr>
      </w:pPr>
    </w:p>
    <w:p w14:paraId="622EC6B1" w14:textId="77777777" w:rsidR="0038735E" w:rsidRPr="0038735E" w:rsidRDefault="0038735E" w:rsidP="0038735E">
      <w:pPr>
        <w:pStyle w:val="NormalWeb"/>
        <w:spacing w:before="120" w:after="120" w:line="360" w:lineRule="auto"/>
        <w:rPr>
          <w:rFonts w:ascii="Bookman Old Style" w:hAnsi="Bookman Old Style"/>
          <w:lang w:val="es-CO"/>
        </w:rPr>
      </w:pPr>
      <w:r w:rsidRPr="0038735E">
        <w:rPr>
          <w:rFonts w:ascii="Bookman Old Style" w:hAnsi="Bookman Old Style"/>
          <w:lang w:val="es-CO"/>
        </w:rPr>
        <w:t xml:space="preserve">Esta perspectiva permite el análisis –interpretativo– sobre las redes de relaciones, poderes y fuerzas que se operan en y desde el objeto evaluación. La genealogía permite "establecer el espacio de emergencia, el momento en que surge, o la procedencia de una institución, un concepto, una práctica o un discurso" </w:t>
      </w:r>
      <w:r w:rsidRPr="00704864">
        <w:rPr>
          <w:rFonts w:ascii="Bookman Old Style" w:hAnsi="Bookman Old Style"/>
          <w:noProof/>
          <w:lang w:val="es-CO"/>
        </w:rPr>
        <w:fldChar w:fldCharType="begin" w:fldLock="1"/>
      </w:r>
      <w:r w:rsidRPr="00704864">
        <w:rPr>
          <w:rFonts w:ascii="Bookman Old Style" w:hAnsi="Bookman Old Style"/>
          <w:noProof/>
          <w:lang w:val="es-CO"/>
        </w:rPr>
        <w:instrText>ADDIN CSL_CITATION {"citationItems":[{"id":"ITEM-1","itemData":{"author":[{"dropping-particle":"","family":"Morey","given":"M.","non-dropping-particle":"","parse-names":false,"suffix":""}],"id":"ITEM-1","issued":{"date-parts":[["1983"]]},"publisher":"Taurus","publisher-place":"Madrid","title":"Lectura de Foucault","type":"book"},"uris":["http://www.mendeley.com/documents/?uuid=2d11b6de-90b2-4c50-9bc1-fc156b5ec008"]}],"mendeley":{"formattedCitation":"(Morey, 1983)","manualFormatting":"(Morey, 1983, ","plainTextFormattedCitation":"(Morey, 1983)","previouslyFormattedCitation":"(Morey, 1983)"},"properties":{"noteIndex":0},"schema":"https://github.com/citation-style-language/schema/raw/master/csl-citation.json"}</w:instrText>
      </w:r>
      <w:r w:rsidRPr="00704864">
        <w:rPr>
          <w:rFonts w:ascii="Bookman Old Style" w:hAnsi="Bookman Old Style"/>
          <w:noProof/>
          <w:lang w:val="es-CO"/>
        </w:rPr>
        <w:fldChar w:fldCharType="separate"/>
      </w:r>
      <w:r w:rsidRPr="00704864">
        <w:rPr>
          <w:rFonts w:ascii="Bookman Old Style" w:hAnsi="Bookman Old Style"/>
          <w:noProof/>
          <w:lang w:val="es-CO"/>
        </w:rPr>
        <w:t xml:space="preserve">(Morey, 1983, </w:t>
      </w:r>
      <w:r w:rsidRPr="00704864">
        <w:rPr>
          <w:rFonts w:ascii="Bookman Old Style" w:hAnsi="Bookman Old Style"/>
          <w:noProof/>
          <w:lang w:val="es-CO"/>
        </w:rPr>
        <w:fldChar w:fldCharType="end"/>
      </w:r>
      <w:r w:rsidRPr="00704864">
        <w:rPr>
          <w:rFonts w:ascii="Bookman Old Style" w:hAnsi="Bookman Old Style"/>
          <w:noProof/>
          <w:lang w:val="es-CO"/>
        </w:rPr>
        <w:t>p. 238)</w:t>
      </w:r>
      <w:r w:rsidRPr="0038735E">
        <w:rPr>
          <w:rFonts w:ascii="Bookman Old Style" w:hAnsi="Bookman Old Style"/>
          <w:lang w:val="es-CO"/>
        </w:rPr>
        <w:t xml:space="preserve">. </w:t>
      </w:r>
    </w:p>
    <w:p w14:paraId="3789710F" w14:textId="77777777" w:rsidR="0038735E" w:rsidRPr="0038735E" w:rsidRDefault="0038735E" w:rsidP="0038735E">
      <w:pPr>
        <w:pStyle w:val="NormalWeb"/>
        <w:spacing w:before="120" w:after="120" w:line="360" w:lineRule="auto"/>
        <w:ind w:firstLine="720"/>
        <w:rPr>
          <w:rFonts w:ascii="Bookman Old Style" w:hAnsi="Bookman Old Style"/>
          <w:b/>
          <w:bCs/>
          <w:i/>
          <w:iCs/>
          <w:lang w:val="es-CO"/>
        </w:rPr>
      </w:pPr>
      <w:r w:rsidRPr="0038735E">
        <w:rPr>
          <w:rFonts w:ascii="Bookman Old Style" w:hAnsi="Bookman Old Style"/>
          <w:lang w:val="es-CO"/>
        </w:rPr>
        <w:t xml:space="preserve">Por la mediación genealógica fue posible percibir la singularidad y la particularidad de las prácticas evaluativas, de los discursos que circulan, de las relaciones que se traman entre discurso y prácticas y que implican dominaciones o sumisiones. La dimensión genealógica de este ejercicio permitió evidenciar “escenarios donde innumerables luchas miden su fuerza, para producir destellos que, como acontecimientos, auguran la emergencia de un saber, de un objeto, de </w:t>
      </w:r>
      <w:r w:rsidRPr="0038735E">
        <w:rPr>
          <w:rFonts w:ascii="Bookman Old Style" w:hAnsi="Bookman Old Style"/>
          <w:lang w:val="es-CO"/>
        </w:rPr>
        <w:lastRenderedPageBreak/>
        <w:t>un concepto, de una práctica, de un discurso” (Sánchez, 2009, p. 1681). La genealogía, pues, se ocupó de asistir a la emergencia del evento evaluativo y de analizar las relaciones que en torno suyo se traman y los modos como esta maquinaria controla, vigila, regulariza, normaliza… la labor docente.</w:t>
      </w:r>
    </w:p>
    <w:p w14:paraId="2EC3107C" w14:textId="77777777" w:rsidR="0038735E" w:rsidRPr="0038735E" w:rsidRDefault="0038735E" w:rsidP="0038735E">
      <w:pPr>
        <w:pStyle w:val="NormalWeb"/>
        <w:spacing w:before="120" w:after="120" w:line="360" w:lineRule="auto"/>
        <w:rPr>
          <w:rFonts w:ascii="Bookman Old Style" w:hAnsi="Bookman Old Style"/>
          <w:b/>
          <w:bCs/>
          <w:i/>
          <w:iCs/>
          <w:lang w:val="es-CO"/>
        </w:rPr>
      </w:pPr>
    </w:p>
    <w:p w14:paraId="0C5C3C31" w14:textId="77777777" w:rsidR="0038735E" w:rsidRPr="0038735E" w:rsidRDefault="0038735E" w:rsidP="0038735E">
      <w:pPr>
        <w:pStyle w:val="NormalWeb"/>
        <w:spacing w:before="120" w:after="120" w:line="360" w:lineRule="auto"/>
        <w:rPr>
          <w:rFonts w:ascii="Bookman Old Style" w:hAnsi="Bookman Old Style"/>
          <w:b/>
          <w:bCs/>
          <w:i/>
          <w:sz w:val="28"/>
          <w:szCs w:val="28"/>
          <w:lang w:val="es-CO"/>
        </w:rPr>
      </w:pPr>
      <w:r w:rsidRPr="0038735E">
        <w:rPr>
          <w:rFonts w:ascii="Bookman Old Style" w:hAnsi="Bookman Old Style"/>
          <w:b/>
          <w:bCs/>
          <w:i/>
          <w:sz w:val="28"/>
          <w:szCs w:val="28"/>
          <w:lang w:val="es-CO"/>
        </w:rPr>
        <w:t>2.3 Instancia de la subjetividad</w:t>
      </w:r>
    </w:p>
    <w:p w14:paraId="497DE0CB" w14:textId="77777777" w:rsidR="0038735E" w:rsidRPr="0038735E" w:rsidRDefault="0038735E" w:rsidP="0038735E">
      <w:pPr>
        <w:pStyle w:val="NormalWeb"/>
        <w:spacing w:before="120" w:after="120" w:line="360" w:lineRule="auto"/>
        <w:rPr>
          <w:rFonts w:ascii="Bookman Old Style" w:hAnsi="Bookman Old Style"/>
          <w:b/>
          <w:bCs/>
          <w:i/>
          <w:iCs/>
          <w:lang w:val="es-CO"/>
        </w:rPr>
      </w:pPr>
    </w:p>
    <w:p w14:paraId="7D25A009" w14:textId="77777777" w:rsidR="0038735E" w:rsidRPr="0038735E" w:rsidRDefault="0038735E" w:rsidP="0038735E">
      <w:pPr>
        <w:pStyle w:val="NormalWeb"/>
        <w:spacing w:before="120" w:after="120" w:line="360" w:lineRule="auto"/>
        <w:rPr>
          <w:rFonts w:ascii="Bookman Old Style" w:hAnsi="Bookman Old Style"/>
          <w:lang w:val="es-CO"/>
        </w:rPr>
      </w:pPr>
      <w:r w:rsidRPr="0038735E">
        <w:rPr>
          <w:rFonts w:ascii="Bookman Old Style" w:hAnsi="Bookman Old Style"/>
          <w:bCs/>
          <w:iCs/>
          <w:lang w:val="es-CO"/>
        </w:rPr>
        <w:t>Este ejercicio comporta finalmente</w:t>
      </w:r>
      <w:r w:rsidRPr="0038735E">
        <w:rPr>
          <w:rFonts w:ascii="Bookman Old Style" w:hAnsi="Bookman Old Style"/>
          <w:lang w:val="es-CO"/>
        </w:rPr>
        <w:t xml:space="preserve">, una ontología histórica del presente: ontología, en tanto pregunta por unos sujetos que son confinados a procedimientos evaluativos perpetuos; histórica, por cuanto, manifiesta la preocupación por un tiempo en el que se juega la existencia individual, esto es un aquí y un ahora. La indagación, desde esta perspectiva ontológica, da cuenta entonces, de cómo los sujetos (docentes) son compelidos, atravesados, seriados…, agenciados, en fin, por diversos dispositivos de una gran maquinaria evaluativa y </w:t>
      </w:r>
      <w:proofErr w:type="spellStart"/>
      <w:r w:rsidRPr="0038735E">
        <w:rPr>
          <w:rFonts w:ascii="Bookman Old Style" w:hAnsi="Bookman Old Style"/>
          <w:lang w:val="es-CO"/>
        </w:rPr>
        <w:t>examinatoria</w:t>
      </w:r>
      <w:proofErr w:type="spellEnd"/>
      <w:r w:rsidRPr="0038735E">
        <w:rPr>
          <w:rFonts w:ascii="Bookman Old Style" w:hAnsi="Bookman Old Style"/>
          <w:lang w:val="es-CO"/>
        </w:rPr>
        <w:t xml:space="preserve">. </w:t>
      </w:r>
    </w:p>
    <w:p w14:paraId="277986BC" w14:textId="77777777" w:rsidR="0038735E" w:rsidRPr="004B2DF5" w:rsidRDefault="0038735E" w:rsidP="004B2DF5">
      <w:pPr>
        <w:pStyle w:val="NormalWeb"/>
        <w:spacing w:before="120" w:beforeAutospacing="0" w:after="120" w:afterAutospacing="0"/>
        <w:ind w:left="2268"/>
        <w:rPr>
          <w:rFonts w:ascii="Bookman Old Style" w:hAnsi="Bookman Old Style"/>
          <w:sz w:val="20"/>
          <w:szCs w:val="20"/>
          <w:lang w:val="es-CO"/>
        </w:rPr>
      </w:pPr>
      <w:r w:rsidRPr="004B2DF5">
        <w:rPr>
          <w:rFonts w:ascii="Bookman Old Style" w:hAnsi="Bookman Old Style"/>
          <w:sz w:val="20"/>
          <w:szCs w:val="20"/>
          <w:lang w:val="es-CO"/>
        </w:rPr>
        <w:t xml:space="preserve">Una analítica de la subjetividad permite confrontar a los individuos con la historia de su propio presente y con las formas como pueden ir transitando diversos trayectos (de la sujeción a otros a la </w:t>
      </w:r>
      <w:proofErr w:type="spellStart"/>
      <w:r w:rsidRPr="004B2DF5">
        <w:rPr>
          <w:rFonts w:ascii="Bookman Old Style" w:hAnsi="Bookman Old Style"/>
          <w:sz w:val="20"/>
          <w:szCs w:val="20"/>
          <w:lang w:val="es-CO"/>
        </w:rPr>
        <w:t>auto-sujeción</w:t>
      </w:r>
      <w:proofErr w:type="spellEnd"/>
      <w:r w:rsidRPr="004B2DF5">
        <w:rPr>
          <w:rFonts w:ascii="Bookman Old Style" w:hAnsi="Bookman Old Style"/>
          <w:sz w:val="20"/>
          <w:szCs w:val="20"/>
          <w:lang w:val="es-CO"/>
        </w:rPr>
        <w:t>, del paso de una instancia disciplinaria a otra, de un rol determinado a otro, del tránsito de una sociedad de disciplinamiento a otra de control). (Sánchez, 2009, p. 1681)</w:t>
      </w:r>
      <w:bookmarkStart w:id="3" w:name="4"/>
      <w:bookmarkEnd w:id="3"/>
      <w:r w:rsidRPr="004B2DF5">
        <w:rPr>
          <w:rFonts w:ascii="Bookman Old Style" w:hAnsi="Bookman Old Style"/>
          <w:sz w:val="20"/>
          <w:szCs w:val="20"/>
          <w:lang w:val="es-CO"/>
        </w:rPr>
        <w:t>.</w:t>
      </w:r>
    </w:p>
    <w:p w14:paraId="5590AFFC" w14:textId="77777777" w:rsidR="000B04CB" w:rsidRDefault="000B04CB" w:rsidP="0038735E">
      <w:pPr>
        <w:spacing w:before="120" w:after="120" w:line="360" w:lineRule="auto"/>
        <w:rPr>
          <w:rFonts w:ascii="Bookman Old Style" w:hAnsi="Bookman Old Style"/>
          <w:b/>
          <w:color w:val="7030A0"/>
          <w:sz w:val="28"/>
          <w:szCs w:val="28"/>
          <w:lang w:val="es-CO"/>
        </w:rPr>
      </w:pPr>
    </w:p>
    <w:p w14:paraId="3FD97887" w14:textId="0D8229F7" w:rsidR="0038735E" w:rsidRPr="0038735E" w:rsidRDefault="0038735E" w:rsidP="0038735E">
      <w:pPr>
        <w:spacing w:before="120" w:after="120" w:line="360" w:lineRule="auto"/>
        <w:rPr>
          <w:rFonts w:ascii="Bookman Old Style" w:hAnsi="Bookman Old Style"/>
          <w:b/>
          <w:color w:val="7030A0"/>
          <w:sz w:val="28"/>
          <w:szCs w:val="28"/>
          <w:lang w:val="es-CO"/>
        </w:rPr>
      </w:pPr>
      <w:r w:rsidRPr="0038735E">
        <w:rPr>
          <w:rFonts w:ascii="Bookman Old Style" w:hAnsi="Bookman Old Style"/>
          <w:b/>
          <w:color w:val="7030A0"/>
          <w:sz w:val="28"/>
          <w:szCs w:val="28"/>
          <w:lang w:val="es-CO"/>
        </w:rPr>
        <w:t>3. Descripción y Análisis. Evaluación: dispositivo de control del trabajo docente</w:t>
      </w:r>
    </w:p>
    <w:p w14:paraId="14F19702" w14:textId="77777777" w:rsidR="0038735E" w:rsidRPr="00704864" w:rsidRDefault="0038735E" w:rsidP="0038735E">
      <w:pPr>
        <w:spacing w:before="120" w:after="120" w:line="360" w:lineRule="auto"/>
        <w:rPr>
          <w:rFonts w:ascii="Bookman Old Style" w:hAnsi="Bookman Old Style" w:cs="Times New Roman"/>
          <w:lang w:val="es-CO"/>
        </w:rPr>
      </w:pPr>
    </w:p>
    <w:p w14:paraId="133AD18A" w14:textId="77777777" w:rsidR="0038735E" w:rsidRPr="00704864" w:rsidRDefault="0038735E" w:rsidP="0038735E">
      <w:pPr>
        <w:spacing w:before="120" w:after="120" w:line="360" w:lineRule="auto"/>
        <w:rPr>
          <w:rFonts w:ascii="Bookman Old Style" w:hAnsi="Bookman Old Style" w:cs="Times New Roman"/>
          <w:lang w:val="es-CO"/>
        </w:rPr>
      </w:pPr>
      <w:r w:rsidRPr="00704864">
        <w:rPr>
          <w:rFonts w:ascii="Bookman Old Style" w:hAnsi="Bookman Old Style" w:cs="Times New Roman"/>
          <w:lang w:val="es-CO"/>
        </w:rPr>
        <w:t xml:space="preserve">Este apartado se ocupa de la descripción y el análisis de diversas formas o modalidades de evaluación que son puestas en funcionamiento sobe el trabajo </w:t>
      </w:r>
      <w:r w:rsidRPr="00704864">
        <w:rPr>
          <w:rFonts w:ascii="Bookman Old Style" w:hAnsi="Bookman Old Style" w:cs="Times New Roman"/>
          <w:lang w:val="es-CO"/>
        </w:rPr>
        <w:lastRenderedPageBreak/>
        <w:t xml:space="preserve">docente y que fungen como dispositivos de control; para ello se acude, al análisis de una masa documental constituida por diversas normas nacionales (leyes y decretos sobre educación superior) y las reglamentaciones, que en materia de evaluación docente, regulan las relaciones entre las instituciones de Educación superior en Colombia y sus docentes. </w:t>
      </w:r>
    </w:p>
    <w:p w14:paraId="52855C3F" w14:textId="77777777"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t xml:space="preserve">Anclo los linderos temporales del análisis en los primeros años de la década de los 90, con la expedición de las reformas más importantes que en materia de educación: Ley 30 de 1992 </w:t>
      </w:r>
      <w:r w:rsidRPr="00704864">
        <w:rPr>
          <w:rFonts w:ascii="Bookman Old Style" w:hAnsi="Bookman Old Style" w:cs="Times New Roman"/>
          <w:lang w:val="es-CO"/>
        </w:rPr>
        <w:fldChar w:fldCharType="begin" w:fldLock="1"/>
      </w:r>
      <w:r w:rsidRPr="00704864">
        <w:rPr>
          <w:rFonts w:ascii="Bookman Old Style" w:hAnsi="Bookman Old Style" w:cs="Times New Roman"/>
          <w:lang w:val="es-CO"/>
        </w:rPr>
        <w:instrText>ADDIN CSL_CITATION {"citationItems":[{"id":"ITEM-1","itemData":{"abstract":". El Congreso de Colombia, DECRETA: TITULO PRIMERO Fundamentos de la Educación Superior CAPITULO I Principios Artículo 1° La Educación Superior es un proceso permanente que posibilita el desarrollo de las potencialidades del ser humano de una manera integral, se realiza con posterioridad a la educación media o secundaria y tiene por objeto el pleno desarrollo de los alumnos y su formación académica o profesional. Artículo 2° La Educación Superior es un servicio público cultural, inherente a la finalidad social del Estado. Artículo 3° El Estado, de conformidad con la Constitución Política de Colombia y con la presente Ley, garantiza la autonomía universitaria y vela por la calidad del servicio educativo a través del ejercicio de la suprema inspección y vigilancia de la Educación Superior. Articulo 4° La Educación Superior, sin perjuicio de los fines específicos de cada campo del saber, despertará en los educandos un espíritu reflexivo, orientado al logro de la autonomía personal, en un marco de libertad de pensamiento y de pluralismo ideológico que tenga en cuenta la universalidad de los saberes y la particularidad de las formas culturales existentes en el país. Por ello, la Educación Superior se desarrollará en un marco de libertades de enseñanza, de aprendizaje, de investigación y de cátedra. Artículo 5° La Educación Superior será accesible a quienes demuestren poseer las capacidades requeridas y cumplan con las condiciones académicas exigidas en cada caso. CAPITULO II Objetivos. Artículo 6° Son objetivos de la Educación Superior y de sus instituciones: a) Profundizar en la formación integral de los colombianos dentro de las modalidades y calidades de la Educación Superior, capacitándolos para cumplir las funciones profesionales, investigativas y de servicio social que requiere el país. b) Trabajar por la creación, el desarrollo y la transmisión del conocimiento en todas sus formas y expresiones y, promover su utilización en todos los campos para solucionar las necesidades del país. c) Prestar a la comunidad un servicio con calidad, el cual hace referencia a los resultados académicos, a los medios y procesos empleados, a la infraestructura institucional, a las dimensiones cualitativas y cuantitativas del mismo y a las condiciones en que se desarrolla cada institución. d) Ser factor de desarrollo científico, cultural, económico, político v ético a nivel nacional y regional. e) Actuar armónicamente entre sí y con las demás estructuras educativas y format…","author":[{"dropping-particle":"","family":"Congreso de Colombia","given":"","non-dropping-particle":"","parse-names":false,"suffix":""}],"id":"ITEM-1","issued":{"date-parts":[["1992"]]},"title":"Ley 30 de 1992. Por el cual (sic) se organiza el servicio público de la Educación Superior","type":"legislation"},"uris":["http://www.mendeley.com/documents/?uuid=4c4f97ce-630f-4133-8e5c-1e8e6f9403ca"]}],"mendeley":{"formattedCitation":"(Congreso de Colombia, 1992)","plainTextFormattedCitation":"(Congreso de Colombia, 1992)","previouslyFormattedCitation":"(Congreso de Colombia, 1992)"},"properties":{"noteIndex":0},"schema":"https://github.com/citation-style-language/schema/raw/master/csl-citation.json"}</w:instrText>
      </w:r>
      <w:r w:rsidRPr="00704864">
        <w:rPr>
          <w:rFonts w:ascii="Bookman Old Style" w:hAnsi="Bookman Old Style" w:cs="Times New Roman"/>
          <w:lang w:val="es-CO"/>
        </w:rPr>
        <w:fldChar w:fldCharType="separate"/>
      </w:r>
      <w:r w:rsidRPr="00704864">
        <w:rPr>
          <w:rFonts w:ascii="Bookman Old Style" w:hAnsi="Bookman Old Style" w:cs="Times New Roman"/>
          <w:noProof/>
          <w:lang w:val="es-CO"/>
        </w:rPr>
        <w:t>(Congreso de Colombia, 1992)</w:t>
      </w:r>
      <w:r w:rsidRPr="00704864">
        <w:rPr>
          <w:rFonts w:ascii="Bookman Old Style" w:hAnsi="Bookman Old Style" w:cs="Times New Roman"/>
          <w:lang w:val="es-CO"/>
        </w:rPr>
        <w:fldChar w:fldCharType="end"/>
      </w:r>
      <w:r w:rsidRPr="00704864">
        <w:rPr>
          <w:rFonts w:ascii="Bookman Old Style" w:hAnsi="Bookman Old Style" w:cs="Times New Roman"/>
          <w:lang w:val="es-CO"/>
        </w:rPr>
        <w:t xml:space="preserve"> y Ley General de Educación </w:t>
      </w:r>
      <w:r w:rsidRPr="00704864">
        <w:rPr>
          <w:rFonts w:ascii="Bookman Old Style" w:hAnsi="Bookman Old Style" w:cs="Times New Roman"/>
          <w:lang w:val="es-CO"/>
        </w:rPr>
        <w:fldChar w:fldCharType="begin" w:fldLock="1"/>
      </w:r>
      <w:r w:rsidRPr="00704864">
        <w:rPr>
          <w:rFonts w:ascii="Bookman Old Style" w:hAnsi="Bookman Old Style" w:cs="Times New Roman"/>
          <w:lang w:val="es-CO"/>
        </w:rPr>
        <w:instrText>ADDIN CSL_CITATION {"citationItems":[{"id":"ITEM-1","itemData":{"URL":"http://www.secretariasenado.gov.co/senado/basedoc/ley_0115_1994.html","accessed":{"date-parts":[["2017","8","21"]]},"author":[{"dropping-particle":"","family":"Congreso de Colombia","given":"","non-dropping-particle":"","parse-names":false,"suffix":""}],"id":"ITEM-1","issued":{"date-parts":[["1994"]]},"title":"Ley 115 de 1994. Por la cual se expide la ley general de educación","type":"webpage"},"uris":["http://www.mendeley.com/documents/?uuid=c6a450a3-0fd1-3c15-a4cc-9525b1871dcc"]}],"mendeley":{"formattedCitation":"(Congreso de Colombia, 1994)","plainTextFormattedCitation":"(Congreso de Colombia, 1994)","previouslyFormattedCitation":"(Congreso de Colombia, 1994)"},"properties":{"noteIndex":0},"schema":"https://github.com/citation-style-language/schema/raw/master/csl-citation.json"}</w:instrText>
      </w:r>
      <w:r w:rsidRPr="00704864">
        <w:rPr>
          <w:rFonts w:ascii="Bookman Old Style" w:hAnsi="Bookman Old Style" w:cs="Times New Roman"/>
          <w:lang w:val="es-CO"/>
        </w:rPr>
        <w:fldChar w:fldCharType="separate"/>
      </w:r>
      <w:r w:rsidRPr="00704864">
        <w:rPr>
          <w:rFonts w:ascii="Bookman Old Style" w:hAnsi="Bookman Old Style" w:cs="Times New Roman"/>
          <w:noProof/>
          <w:lang w:val="es-CO"/>
        </w:rPr>
        <w:t>(Congreso de Colombia, 1994)</w:t>
      </w:r>
      <w:r w:rsidRPr="00704864">
        <w:rPr>
          <w:rFonts w:ascii="Bookman Old Style" w:hAnsi="Bookman Old Style" w:cs="Times New Roman"/>
          <w:lang w:val="es-CO"/>
        </w:rPr>
        <w:fldChar w:fldCharType="end"/>
      </w:r>
      <w:r w:rsidRPr="00704864">
        <w:rPr>
          <w:rFonts w:ascii="Bookman Old Style" w:hAnsi="Bookman Old Style" w:cs="Times New Roman"/>
          <w:lang w:val="es-CO"/>
        </w:rPr>
        <w:t>, respectivamente; y, hago un recorrido analítico por diversas normativas nacionales e institucionales que dan cuenta de la puesta en funcionamiento de los discursos y las prácticas evaluativas, como mecanismos de control de la labor docente.</w:t>
      </w:r>
    </w:p>
    <w:p w14:paraId="6130B0CE" w14:textId="77777777"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t>La Ley General de Educación instaura la cultura de la evaluación a través del  Sistema Nacional de Evaluación de la Educación, “con el fin de velar por la calidad, por el cumplimiento de los fines de la educación y por la mejor formación moral, intelectual y física de los educandos”; tal sistema, ordena la Norma, deberá operar en coordinación con “el Servicio Nacional de Pruebas del Instituto Colombiano para el Fomento de la Educación Superior, ICFES, y con las entidades territoriales” y, se constituirá en la base “para el establecimiento de programas de mejoramiento del servicio público educativo” (Art. 80). Este sistema:</w:t>
      </w:r>
    </w:p>
    <w:p w14:paraId="23FBB976" w14:textId="77777777" w:rsidR="0038735E" w:rsidRPr="004B2DF5" w:rsidRDefault="0038735E" w:rsidP="004B2DF5">
      <w:pPr>
        <w:spacing w:before="120" w:after="120"/>
        <w:ind w:left="2268"/>
        <w:rPr>
          <w:rFonts w:ascii="Bookman Old Style" w:hAnsi="Bookman Old Style" w:cs="Times New Roman"/>
          <w:sz w:val="20"/>
          <w:szCs w:val="18"/>
          <w:lang w:val="es-CO"/>
        </w:rPr>
      </w:pPr>
      <w:r w:rsidRPr="004B2DF5">
        <w:rPr>
          <w:rFonts w:ascii="Bookman Old Style" w:hAnsi="Bookman Old Style" w:cs="Times New Roman"/>
          <w:sz w:val="20"/>
          <w:szCs w:val="18"/>
          <w:lang w:val="es-CO"/>
        </w:rPr>
        <w:t>diseñará y aplicará criterios y procedimientos para evaluar la calidad de la enseñanza que se imparte, el desempeño profesional del docente y de los docentes directivos, los logros de los alumnos, la eficacia de los métodos pedagógicos, de los textos y materiales empleados, la organización administrativa y física de las instituciones educativas y la eficiencia de la prestación del servicio.</w:t>
      </w:r>
    </w:p>
    <w:p w14:paraId="0B06A98E" w14:textId="77777777"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t xml:space="preserve">La ley estatutaria de la Educación Superior en Colombia </w:t>
      </w:r>
      <w:sdt>
        <w:sdtPr>
          <w:rPr>
            <w:rFonts w:ascii="Bookman Old Style" w:hAnsi="Bookman Old Style" w:cs="Times New Roman"/>
            <w:lang w:val="es-CO"/>
          </w:rPr>
          <w:id w:val="-1607344024"/>
          <w:citation/>
        </w:sdtPr>
        <w:sdtEndPr/>
        <w:sdtContent>
          <w:r w:rsidRPr="00704864">
            <w:rPr>
              <w:rFonts w:ascii="Bookman Old Style" w:hAnsi="Bookman Old Style" w:cs="Times New Roman"/>
              <w:lang w:val="es-CO"/>
            </w:rPr>
            <w:fldChar w:fldCharType="begin"/>
          </w:r>
          <w:r w:rsidRPr="00704864">
            <w:rPr>
              <w:rFonts w:ascii="Bookman Old Style" w:hAnsi="Bookman Old Style" w:cs="Times New Roman"/>
              <w:lang w:val="es-CO"/>
            </w:rPr>
            <w:instrText xml:space="preserve">CITATION Con921 \l 9226 </w:instrText>
          </w:r>
          <w:r w:rsidRPr="00704864">
            <w:rPr>
              <w:rFonts w:ascii="Bookman Old Style" w:hAnsi="Bookman Old Style" w:cs="Times New Roman"/>
              <w:lang w:val="es-CO"/>
            </w:rPr>
            <w:fldChar w:fldCharType="separate"/>
          </w:r>
          <w:r w:rsidRPr="00704864">
            <w:rPr>
              <w:rFonts w:ascii="Bookman Old Style" w:hAnsi="Bookman Old Style" w:cs="Times New Roman"/>
              <w:noProof/>
              <w:lang w:val="es-CO"/>
            </w:rPr>
            <w:t>(Congreso de Colombia, 1992)</w:t>
          </w:r>
          <w:r w:rsidRPr="00704864">
            <w:rPr>
              <w:rFonts w:ascii="Bookman Old Style" w:hAnsi="Bookman Old Style" w:cs="Times New Roman"/>
              <w:lang w:val="es-CO"/>
            </w:rPr>
            <w:fldChar w:fldCharType="end"/>
          </w:r>
        </w:sdtContent>
      </w:sdt>
      <w:r w:rsidRPr="00704864">
        <w:rPr>
          <w:rFonts w:ascii="Bookman Old Style" w:hAnsi="Bookman Old Style" w:cs="Times New Roman"/>
          <w:lang w:val="es-CO"/>
        </w:rPr>
        <w:t xml:space="preserve"> es parca en señalar procedimientos evaluativos para los docentes de este nivel de educación; esta normativa se limita a enunciar que: la inspección y vigilancia de la Educación Superior debe propender por “la creación de mecanismos de evaluación de la calidad de los programas académicos” (Art. 31); </w:t>
      </w:r>
      <w:r w:rsidRPr="00704864">
        <w:rPr>
          <w:rFonts w:ascii="Bookman Old Style" w:hAnsi="Bookman Old Style" w:cs="Times New Roman"/>
          <w:lang w:val="es-CO"/>
        </w:rPr>
        <w:lastRenderedPageBreak/>
        <w:t xml:space="preserve">mediante el “desarrollo de un proceso de evaluación que apoye, fomente y dignifique la Educación Superior” (Art. 32); que permita estimular y perfeccionar procedimientos de autoevaluación (Art. 38); y, fomente la autoevaluación como tarea institucional permanente (Art. 55). Específicamente, en lo relativo a la evaluación docente, la norma ordena que los estatutos profesorales de cada universidad establezcan “un sistema de evaluación del desempeño del profesor universitario” (Art. 75); y, que contemplen “Requisitos de vinculación, sistemas de evaluación y capacitación, categorías, derechos y deberes, distinciones e incentivos y régimen disciplinario” (Art. 123). </w:t>
      </w:r>
    </w:p>
    <w:p w14:paraId="19A35D38" w14:textId="77777777"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t>Para ser profesor de una universidad estatal u oficial se exige “poseer título profesional universitario”; la incorporación y nombramiento “se efectuará previo concurso público de méritos cuya reglamentación corresponde al Consejo Superior Universitario” (Art. 70).</w:t>
      </w:r>
    </w:p>
    <w:p w14:paraId="2B3BDC66" w14:textId="77777777"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t xml:space="preserve">En virtud de lo establecido por la ley, a diferencia de lo que acontece con la educación básica, en la superior no existe un estatuto docente unificado, la norma delega a las universidades, dada su autonomía, la expedición de sus propios reglamentos; en consecuencia, cada institución es responsable de los regímenes docentes en los cuales se plasman las acciones las interacciones y las relaciones docentes-instituciones. No obstante para tratar de subsanar las falencias que en materia evaluativa presenta la ley estatutaria de la Educación Superior, el gobierno expide el Decreto 1279 de 2002 </w:t>
      </w:r>
      <w:r w:rsidRPr="00704864">
        <w:rPr>
          <w:rFonts w:ascii="Bookman Old Style" w:hAnsi="Bookman Old Style" w:cs="Times New Roman"/>
          <w:lang w:val="es-CO"/>
        </w:rPr>
        <w:fldChar w:fldCharType="begin" w:fldLock="1"/>
      </w:r>
      <w:r w:rsidRPr="00704864">
        <w:rPr>
          <w:rFonts w:ascii="Bookman Old Style" w:hAnsi="Bookman Old Style" w:cs="Times New Roman"/>
          <w:lang w:val="es-CO"/>
        </w:rPr>
        <w:instrText>ADDIN CSL_CITATION {"citationItems":[{"id":"ITEM-1","itemData":{"abstract":"Por el cual se establece el régimen salarial y prestacional de los docentes de las Universidades Estatales. El Presidente de la Republica de Colombia, en desarrollo de las normas generales establecidas en la ley 4ª de 1992 y en concordancia con el artículo 77 de la ley 30 de 1992, DECRETA: CAPÍTULO I Del campo de aplicación de este decreto ARTÍCULO 1. Campo de aplicación de este Decreto. Las disposiciones de este decreto se aplican en las universidades estatales u oficiales a quienes se vinculen por concurso como empleados públicos docentes, o reingresen a la carrera docente, a partir de la vigencia de este decreto. Igualmente, están cobijados por el presente decreto los docentes que antes de la vigencia del Decreto 2912 del 2001 se regían por el régimen establecido en el Decreto 1444 de1992 y los profesores que estando sometidos con anterioridad al 8 de enero del 2002 a un régimen salarial y prestacional diferente al del Decreto 1444 de1992, se acojan al presente decreto. ARTÍCULO 2. Profesores sometidos a un régimen diferente Los profesores de las universidades estatales u oficiales que con anterioridad al 8 de enero del 2002 estaban sometidos a un régimen salarial y prestacional diferente al del Decreto 1444 de1992, continúan rigiéndose por ese régimen, salvo que en un lapso no superior a cinco (5) meses, contados a partir de la vigencia del presente Decreto, decidan voluntariamente acogerse al mismo. Dicha decisión debe manifestarse mediante comunicación escrita e irrevocable dirigida al respectivo Rector, antes del vencimiento indicado por la fecha anterior. ARTÍCULO 3. Profesores Ocasionales.","author":[{"dropping-particle":"","family":"Presidencia de la República. Ministerio de Educación Nacional","given":"","non-dropping-particle":"","parse-names":false,"suffix":""}],"id":"ITEM-1","issued":{"date-parts":[["2002"]]},"publisher-place":"Colombia","title":"Decreto 1279 de 2002. Por el cual se establece el régimen salarial y prestacional de los docentes de las Universidades Estatales","type":"legislation"},"uris":["http://www.mendeley.com/documents/?uuid=247ad6be-b3d6-3588-9947-611f11e631fb"]}],"mendeley":{"formattedCitation":"(Presidencia de la República. Ministerio de Educación Nacional, 2002)","plainTextFormattedCitation":"(Presidencia de la República. Ministerio de Educación Nacional, 2002)","previouslyFormattedCitation":"(Presidencia de la República. Ministerio de Educación Nacional, 2002)"},"properties":{"noteIndex":0},"schema":"https://github.com/citation-style-language/schema/raw/master/csl-citation.json"}</w:instrText>
      </w:r>
      <w:r w:rsidRPr="00704864">
        <w:rPr>
          <w:rFonts w:ascii="Bookman Old Style" w:hAnsi="Bookman Old Style" w:cs="Times New Roman"/>
          <w:lang w:val="es-CO"/>
        </w:rPr>
        <w:fldChar w:fldCharType="separate"/>
      </w:r>
      <w:r w:rsidRPr="00704864">
        <w:rPr>
          <w:rFonts w:ascii="Bookman Old Style" w:hAnsi="Bookman Old Style" w:cs="Times New Roman"/>
          <w:noProof/>
          <w:lang w:val="es-CO"/>
        </w:rPr>
        <w:t>(Presidencia de la República. Ministerio de Educación Nacional, 2002)</w:t>
      </w:r>
      <w:r w:rsidRPr="00704864">
        <w:rPr>
          <w:rFonts w:ascii="Bookman Old Style" w:hAnsi="Bookman Old Style" w:cs="Times New Roman"/>
          <w:lang w:val="es-CO"/>
        </w:rPr>
        <w:fldChar w:fldCharType="end"/>
      </w:r>
      <w:r w:rsidRPr="00704864">
        <w:rPr>
          <w:rFonts w:ascii="Bookman Old Style" w:hAnsi="Bookman Old Style" w:cs="Times New Roman"/>
          <w:lang w:val="es-CO"/>
        </w:rPr>
        <w:t>, por el cual se establece el régimen salarial y prestacional de los docentes de las Universidades Estatales que, si bien no constituye un estatuto docente, en cuanto tal, determina el régimen salarial de los docentes, cuya base y presupuesto lo constituyen una pluralidad de procedimientos evaluativos que permean la totalidad de las funciones y labores de los docentes de la Educación Superior.</w:t>
      </w:r>
    </w:p>
    <w:p w14:paraId="6946B435" w14:textId="2A0782C8"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t xml:space="preserve">El capítulo 2 de esta norma se refiere a “la asignación de puntos para la remuneración inicial de los docentes que ingresan por primera vez o reingresan a </w:t>
      </w:r>
      <w:r w:rsidRPr="00704864">
        <w:rPr>
          <w:rFonts w:ascii="Bookman Old Style" w:hAnsi="Bookman Old Style" w:cs="Times New Roman"/>
          <w:lang w:val="es-CO"/>
        </w:rPr>
        <w:lastRenderedPageBreak/>
        <w:t>la carrera docente, o para los que proceden de otro régimen”, allí se pueden develar prácticas –y discursos– evaluativos que están estrechamente relacionadas con factores económicos y administrativos que determinan las asignaciones salariales de los docentes, según una puntuación determinada, que generalmente es responsabilidad de un Comité de Asignación de Puntaje y Escalafonamiento. “Los puntajes se establecen de acuerdo con la valoración de los siguientes factores: a) Los títulos correspondientes a estudios universitarios; b) La categoría dentro del escalafón docente; c) La experiencia calificada; d) La productividad académica”. (Art. 6).</w:t>
      </w:r>
      <w:r w:rsidR="008F2903">
        <w:rPr>
          <w:rFonts w:ascii="Bookman Old Style" w:hAnsi="Bookman Old Style" w:cs="Times New Roman"/>
          <w:lang w:val="es-CO"/>
        </w:rPr>
        <w:t xml:space="preserve"> </w:t>
      </w:r>
      <w:r w:rsidRPr="00704864">
        <w:rPr>
          <w:rFonts w:ascii="Bookman Old Style" w:hAnsi="Bookman Old Style" w:cs="Times New Roman"/>
          <w:lang w:val="es-CO"/>
        </w:rPr>
        <w:t>El Decreto (</w:t>
      </w:r>
      <w:r w:rsidR="008F2903">
        <w:rPr>
          <w:rFonts w:ascii="Bookman Old Style" w:hAnsi="Bookman Old Style" w:cs="Times New Roman"/>
          <w:lang w:val="es-CO"/>
        </w:rPr>
        <w:t>Art. 8)</w:t>
      </w:r>
      <w:r w:rsidRPr="00704864">
        <w:rPr>
          <w:rFonts w:ascii="Bookman Old Style" w:hAnsi="Bookman Old Style" w:cs="Times New Roman"/>
          <w:lang w:val="es-CO"/>
        </w:rPr>
        <w:t>, determina cuatro categorías en el escalafón docente cuya puntuación se asigna así: a) Instructor o Profesor Auxiliar, o Instructor Asistente, treinta y siete (37) puntos; b) Profesor Asistente, cincuenta y ocho (58) puntos; c) Profesor Asociado, setenta y cuatro (74) puntos; d) Profesor Titular, noventa y seis (96) puntos (Art. 8).</w:t>
      </w:r>
    </w:p>
    <w:p w14:paraId="587C33BD" w14:textId="77777777"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t xml:space="preserve">La experiencia (anual) calificada se valora (y puntúa) de la siguiente manera: investigación, en cualquier campo de la ciencia, la técnica, las humanidades, el arte o la pedagogía, hasta seis (6) puntos; experiencia docente universitaria, hasta cuatro (4) puntos; experiencia profesional calificada en cargos de dirección académica hasta cuatro (4) puntos; experiencia profesional calificada diferente a la docente, hasta tres (3) puntos. (Art. 9). </w:t>
      </w:r>
    </w:p>
    <w:p w14:paraId="2FD9B560" w14:textId="77777777"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t xml:space="preserve">Toda actividad reflejada en productividad académica (artículos, ensayos, comunicaciones cortas, producción de videos, cinematografías, fonografías, libros (de texto, ensayos), premios y menciones, patentes, traducciones, obras artísticas, obras de creación complementaria, producción técnica, producción de software…) es sometida a la valoración por parte de pares académicos y se puntuará según los siguientes criterios: </w:t>
      </w:r>
    </w:p>
    <w:p w14:paraId="4E0FE3F0" w14:textId="77777777" w:rsidR="0038735E" w:rsidRPr="0038735E" w:rsidRDefault="0038735E" w:rsidP="0038735E">
      <w:pPr>
        <w:pStyle w:val="Prrafodelista"/>
        <w:numPr>
          <w:ilvl w:val="0"/>
          <w:numId w:val="26"/>
        </w:numPr>
        <w:spacing w:before="120" w:after="120" w:line="360" w:lineRule="auto"/>
        <w:rPr>
          <w:rFonts w:ascii="Bookman Old Style" w:hAnsi="Bookman Old Style" w:cs="Times New Roman"/>
          <w:szCs w:val="24"/>
          <w:lang w:val="es-CO"/>
        </w:rPr>
      </w:pPr>
      <w:r w:rsidRPr="0038735E">
        <w:rPr>
          <w:rFonts w:ascii="Bookman Old Style" w:hAnsi="Bookman Old Style" w:cs="Times New Roman"/>
          <w:szCs w:val="24"/>
          <w:lang w:val="es-CO"/>
        </w:rPr>
        <w:t>Artículos. En revistas tipo Al, quince (15) puntos; en revistas tipo A2, doce (12) puntos; en revistas del tipo B, ocho (8) puntos; en revistas tipo C, tres (3) puntos; Comunicaciones cortas, el 60% del puntaje que le corresponde según su nivel y clasificación.</w:t>
      </w:r>
    </w:p>
    <w:p w14:paraId="52A853A4" w14:textId="77777777" w:rsidR="0038735E" w:rsidRPr="0038735E" w:rsidRDefault="0038735E" w:rsidP="0038735E">
      <w:pPr>
        <w:pStyle w:val="Prrafodelista"/>
        <w:numPr>
          <w:ilvl w:val="0"/>
          <w:numId w:val="26"/>
        </w:numPr>
        <w:spacing w:before="120" w:after="120" w:line="360" w:lineRule="auto"/>
        <w:rPr>
          <w:rFonts w:ascii="Bookman Old Style" w:hAnsi="Bookman Old Style" w:cs="Times New Roman"/>
          <w:lang w:val="es-CO"/>
        </w:rPr>
      </w:pPr>
      <w:r w:rsidRPr="0038735E">
        <w:rPr>
          <w:rFonts w:ascii="Bookman Old Style" w:hAnsi="Bookman Old Style" w:cs="Times New Roman"/>
          <w:szCs w:val="24"/>
          <w:lang w:val="es-CO"/>
        </w:rPr>
        <w:lastRenderedPageBreak/>
        <w:t>Producción de videos, cinematografías o fonografías. De difusión e impacto internacional, doce (12) puntos;</w:t>
      </w:r>
      <w:r w:rsidRPr="0038735E">
        <w:rPr>
          <w:rFonts w:ascii="Bookman Old Style" w:eastAsia="Times New Roman" w:hAnsi="Bookman Old Style" w:cs="Times New Roman"/>
          <w:szCs w:val="24"/>
          <w:lang w:val="es-CO" w:eastAsia="pt-PT"/>
        </w:rPr>
        <w:t xml:space="preserve"> </w:t>
      </w:r>
      <w:r w:rsidRPr="0038735E">
        <w:rPr>
          <w:rFonts w:ascii="Bookman Old Style" w:hAnsi="Bookman Old Style" w:cs="Times New Roman"/>
          <w:szCs w:val="24"/>
          <w:lang w:val="es-CO"/>
        </w:rPr>
        <w:t>de impacto y difusión nacional, siete (7) puntos.</w:t>
      </w:r>
    </w:p>
    <w:p w14:paraId="1E9D922C" w14:textId="77777777" w:rsidR="0038735E" w:rsidRPr="0038735E" w:rsidRDefault="0038735E" w:rsidP="0038735E">
      <w:pPr>
        <w:pStyle w:val="Prrafodelista"/>
        <w:numPr>
          <w:ilvl w:val="0"/>
          <w:numId w:val="26"/>
        </w:numPr>
        <w:spacing w:before="120" w:after="120" w:line="360" w:lineRule="auto"/>
        <w:rPr>
          <w:rFonts w:ascii="Bookman Old Style" w:hAnsi="Bookman Old Style" w:cs="Times New Roman"/>
          <w:szCs w:val="24"/>
          <w:lang w:val="es-CO"/>
        </w:rPr>
      </w:pPr>
      <w:r w:rsidRPr="0038735E">
        <w:rPr>
          <w:rFonts w:ascii="Bookman Old Style" w:hAnsi="Bookman Old Style" w:cs="Times New Roman"/>
          <w:szCs w:val="24"/>
          <w:lang w:val="es-CO"/>
        </w:rPr>
        <w:t>Libros. Resultantes de investigación, hasta veinte (20) puntos; libros de texto y ensayos, hasta quince (15) puntos.</w:t>
      </w:r>
    </w:p>
    <w:p w14:paraId="1DFD626D" w14:textId="77777777" w:rsidR="0038735E" w:rsidRPr="0038735E" w:rsidRDefault="0038735E" w:rsidP="0038735E">
      <w:pPr>
        <w:pStyle w:val="Prrafodelista"/>
        <w:numPr>
          <w:ilvl w:val="0"/>
          <w:numId w:val="26"/>
        </w:numPr>
        <w:spacing w:before="120" w:after="120" w:line="360" w:lineRule="auto"/>
        <w:rPr>
          <w:rFonts w:ascii="Bookman Old Style" w:hAnsi="Bookman Old Style" w:cs="Times New Roman"/>
          <w:szCs w:val="24"/>
          <w:lang w:val="es-CO"/>
        </w:rPr>
      </w:pPr>
      <w:r w:rsidRPr="0038735E">
        <w:rPr>
          <w:rFonts w:ascii="Bookman Old Style" w:hAnsi="Bookman Old Style" w:cs="Times New Roman"/>
          <w:szCs w:val="24"/>
          <w:lang w:val="es-CO"/>
        </w:rPr>
        <w:t>Premios nacionales e internacionales, hasta quince (15) puntos.</w:t>
      </w:r>
    </w:p>
    <w:p w14:paraId="1CB5AB2B" w14:textId="77777777" w:rsidR="0038735E" w:rsidRPr="00704864" w:rsidRDefault="0038735E" w:rsidP="0038735E">
      <w:pPr>
        <w:pStyle w:val="Prrafodelista"/>
        <w:numPr>
          <w:ilvl w:val="0"/>
          <w:numId w:val="26"/>
        </w:numPr>
        <w:spacing w:before="120" w:after="120" w:line="360" w:lineRule="auto"/>
        <w:rPr>
          <w:rFonts w:ascii="Bookman Old Style" w:hAnsi="Bookman Old Style" w:cs="Times New Roman"/>
          <w:szCs w:val="24"/>
        </w:rPr>
      </w:pPr>
      <w:r w:rsidRPr="00704864">
        <w:rPr>
          <w:rFonts w:ascii="Bookman Old Style" w:hAnsi="Bookman Old Style" w:cs="Times New Roman"/>
          <w:szCs w:val="24"/>
        </w:rPr>
        <w:t xml:space="preserve">Patentes, hasta </w:t>
      </w:r>
      <w:proofErr w:type="spellStart"/>
      <w:r w:rsidRPr="00704864">
        <w:rPr>
          <w:rFonts w:ascii="Bookman Old Style" w:hAnsi="Bookman Old Style" w:cs="Times New Roman"/>
          <w:szCs w:val="24"/>
        </w:rPr>
        <w:t>veinticinco</w:t>
      </w:r>
      <w:proofErr w:type="spellEnd"/>
      <w:r w:rsidRPr="00704864">
        <w:rPr>
          <w:rFonts w:ascii="Bookman Old Style" w:hAnsi="Bookman Old Style" w:cs="Times New Roman"/>
          <w:szCs w:val="24"/>
        </w:rPr>
        <w:t xml:space="preserve"> (25) </w:t>
      </w:r>
      <w:proofErr w:type="spellStart"/>
      <w:r w:rsidRPr="00704864">
        <w:rPr>
          <w:rFonts w:ascii="Bookman Old Style" w:hAnsi="Bookman Old Style" w:cs="Times New Roman"/>
          <w:szCs w:val="24"/>
        </w:rPr>
        <w:t>puntos</w:t>
      </w:r>
      <w:proofErr w:type="spellEnd"/>
      <w:r w:rsidRPr="00704864">
        <w:rPr>
          <w:rFonts w:ascii="Bookman Old Style" w:hAnsi="Bookman Old Style" w:cs="Times New Roman"/>
          <w:szCs w:val="24"/>
        </w:rPr>
        <w:t>.</w:t>
      </w:r>
    </w:p>
    <w:p w14:paraId="0074539C" w14:textId="77777777" w:rsidR="0038735E" w:rsidRPr="0038735E" w:rsidRDefault="0038735E" w:rsidP="0038735E">
      <w:pPr>
        <w:pStyle w:val="Prrafodelista"/>
        <w:numPr>
          <w:ilvl w:val="0"/>
          <w:numId w:val="26"/>
        </w:numPr>
        <w:spacing w:before="120" w:after="120" w:line="360" w:lineRule="auto"/>
        <w:rPr>
          <w:rFonts w:ascii="Bookman Old Style" w:hAnsi="Bookman Old Style" w:cs="Times New Roman"/>
          <w:szCs w:val="24"/>
          <w:lang w:val="es-CO"/>
        </w:rPr>
      </w:pPr>
      <w:r w:rsidRPr="0038735E">
        <w:rPr>
          <w:rFonts w:ascii="Bookman Old Style" w:hAnsi="Bookman Old Style" w:cs="Times New Roman"/>
          <w:szCs w:val="24"/>
          <w:lang w:val="es-CO"/>
        </w:rPr>
        <w:t>Traducciones de libros, hasta quince (15) puntos.</w:t>
      </w:r>
    </w:p>
    <w:p w14:paraId="09B849FD" w14:textId="77777777" w:rsidR="0038735E" w:rsidRPr="0038735E" w:rsidRDefault="0038735E" w:rsidP="0038735E">
      <w:pPr>
        <w:pStyle w:val="Prrafodelista"/>
        <w:numPr>
          <w:ilvl w:val="0"/>
          <w:numId w:val="26"/>
        </w:numPr>
        <w:spacing w:before="120" w:after="120" w:line="360" w:lineRule="auto"/>
        <w:rPr>
          <w:rFonts w:ascii="Bookman Old Style" w:hAnsi="Bookman Old Style" w:cs="Times New Roman"/>
          <w:szCs w:val="24"/>
          <w:lang w:val="es-CO"/>
        </w:rPr>
      </w:pPr>
      <w:r w:rsidRPr="0038735E">
        <w:rPr>
          <w:rFonts w:ascii="Bookman Old Style" w:hAnsi="Bookman Old Style" w:cs="Times New Roman"/>
          <w:szCs w:val="24"/>
          <w:lang w:val="es-CO"/>
        </w:rPr>
        <w:t>Obras de creación original artística: de impacto o trascendencia internacional, hasta veinte (20) puntos; de impacto o trascendencia nacional, hasta catorce (14) puntos.</w:t>
      </w:r>
    </w:p>
    <w:p w14:paraId="7DFB18DE" w14:textId="77777777" w:rsidR="0038735E" w:rsidRPr="0038735E" w:rsidRDefault="0038735E" w:rsidP="0038735E">
      <w:pPr>
        <w:pStyle w:val="Prrafodelista"/>
        <w:numPr>
          <w:ilvl w:val="0"/>
          <w:numId w:val="26"/>
        </w:numPr>
        <w:spacing w:before="120" w:after="120" w:line="360" w:lineRule="auto"/>
        <w:rPr>
          <w:rFonts w:ascii="Bookman Old Style" w:hAnsi="Bookman Old Style" w:cs="Times New Roman"/>
          <w:szCs w:val="24"/>
          <w:lang w:val="es-CO"/>
        </w:rPr>
      </w:pPr>
      <w:r w:rsidRPr="0038735E">
        <w:rPr>
          <w:rFonts w:ascii="Bookman Old Style" w:hAnsi="Bookman Old Style" w:cs="Times New Roman"/>
          <w:szCs w:val="24"/>
          <w:lang w:val="es-CO"/>
        </w:rPr>
        <w:t>Obras de creación complementaria o de apoyo: de impacto o trascendencia internacional, doce (12) puntos; de impacto o trascendencia nacional, ocho (8) puntos.</w:t>
      </w:r>
    </w:p>
    <w:p w14:paraId="24F5FD91" w14:textId="77777777" w:rsidR="0038735E" w:rsidRPr="0038735E" w:rsidRDefault="0038735E" w:rsidP="0038735E">
      <w:pPr>
        <w:pStyle w:val="Prrafodelista"/>
        <w:numPr>
          <w:ilvl w:val="0"/>
          <w:numId w:val="26"/>
        </w:numPr>
        <w:spacing w:before="120" w:after="120" w:line="360" w:lineRule="auto"/>
        <w:rPr>
          <w:rFonts w:ascii="Bookman Old Style" w:hAnsi="Bookman Old Style" w:cs="Times New Roman"/>
          <w:szCs w:val="24"/>
          <w:lang w:val="es-CO"/>
        </w:rPr>
      </w:pPr>
      <w:r w:rsidRPr="0038735E">
        <w:rPr>
          <w:rFonts w:ascii="Bookman Old Style" w:hAnsi="Bookman Old Style" w:cs="Times New Roman"/>
          <w:szCs w:val="24"/>
          <w:lang w:val="es-CO"/>
        </w:rPr>
        <w:t>Interpretación: de impacto o trascendencia internacional, hasta catorce (14) puntos; de impacto o trascendencia nacional, hasta ocho (8) puntos.</w:t>
      </w:r>
    </w:p>
    <w:p w14:paraId="0C0D57C1" w14:textId="77777777" w:rsidR="0038735E" w:rsidRPr="0038735E" w:rsidRDefault="0038735E" w:rsidP="0038735E">
      <w:pPr>
        <w:pStyle w:val="Prrafodelista"/>
        <w:numPr>
          <w:ilvl w:val="0"/>
          <w:numId w:val="26"/>
        </w:numPr>
        <w:spacing w:before="120" w:after="120" w:line="360" w:lineRule="auto"/>
        <w:rPr>
          <w:rFonts w:ascii="Bookman Old Style" w:hAnsi="Bookman Old Style" w:cs="Times New Roman"/>
          <w:szCs w:val="24"/>
          <w:lang w:val="es-CO"/>
        </w:rPr>
      </w:pPr>
      <w:r w:rsidRPr="0038735E">
        <w:rPr>
          <w:rFonts w:ascii="Bookman Old Style" w:hAnsi="Bookman Old Style" w:cs="Times New Roman"/>
          <w:szCs w:val="24"/>
          <w:lang w:val="es-CO"/>
        </w:rPr>
        <w:t>Producción técnica: diseño de sistemas o procesos que constituyen una innovación tecnológica y que tienen impacto y aplicación, hasta quince (15) puntos; diseño de sistemas o procesos que constituyen una adaptación tecnológica y que tienen impacto y aplicación, hasta ocho (8) puntos.</w:t>
      </w:r>
    </w:p>
    <w:p w14:paraId="76EC43CD" w14:textId="109A52E7" w:rsidR="0038735E" w:rsidRPr="0038735E" w:rsidRDefault="0038735E" w:rsidP="0038735E">
      <w:pPr>
        <w:pStyle w:val="Prrafodelista"/>
        <w:numPr>
          <w:ilvl w:val="0"/>
          <w:numId w:val="26"/>
        </w:numPr>
        <w:spacing w:before="120" w:after="120" w:line="360" w:lineRule="auto"/>
        <w:rPr>
          <w:rFonts w:ascii="Bookman Old Style" w:hAnsi="Bookman Old Style" w:cs="Times New Roman"/>
          <w:szCs w:val="24"/>
          <w:lang w:val="es-CO"/>
        </w:rPr>
      </w:pPr>
      <w:r w:rsidRPr="0038735E">
        <w:rPr>
          <w:rFonts w:ascii="Bookman Old Style" w:hAnsi="Bookman Old Style" w:cs="Times New Roman"/>
          <w:szCs w:val="24"/>
          <w:lang w:val="es-CO"/>
        </w:rPr>
        <w:t>Producción de Software, hasta quince (15) puntos (Art. 10).</w:t>
      </w:r>
    </w:p>
    <w:p w14:paraId="60F2149E" w14:textId="77777777"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t xml:space="preserve">La norma ordena a los Consejos Superiores universitarios la reglamentación del proceso de selección de los pares externos evaluadores (de la lista de Colciencias), para la evaluación de la productividad, de modo que se asignen por lo menos dos (2) evaluadores para cada producto; demanda, además, que los evaluadores sean rotativos de diferentes universidades, de modo que se evite “la repetición de un mismo evaluador, o de un grupo restringido de ellos, por parte de la misma universidad en procesos de evaluación consecutivos”. El Decreto fija, unos topes máximos de reconocimiento de puntos salariales por productividad </w:t>
      </w:r>
      <w:r w:rsidRPr="00704864">
        <w:rPr>
          <w:rFonts w:ascii="Bookman Old Style" w:hAnsi="Bookman Old Style" w:cs="Times New Roman"/>
          <w:lang w:val="es-CO"/>
        </w:rPr>
        <w:lastRenderedPageBreak/>
        <w:t>según categorías, así: Profesor Auxiliar: 80 puntos; Profesor Asistente: 160 puntos; Profesor Asociado: 320 puntos; Profesor Titular: 540 puntos; Instructor Asociado: 110 puntos. (Art. 10).</w:t>
      </w:r>
    </w:p>
    <w:p w14:paraId="2AB2C15D" w14:textId="781AE300"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t xml:space="preserve">Una vez inscritos en el escalafón, los docentes pueden modificar sus puntos salariales por los siguientes factores: títulos correspondientes a estudios universitarios de pregrado o posgrado; categoría dentro del escalafón docente; productividad académica; actividades de dirección académico–administrativas; desempeño destacado en las labores de docencia y extensión; Experiencia calificada. En todo caso las puntuaciones asignadas corresponden a lo ya referido respecto de la productividad académica. Por otra parte, </w:t>
      </w:r>
      <w:r w:rsidR="00333979">
        <w:rPr>
          <w:rFonts w:ascii="Bookman Old Style" w:hAnsi="Bookman Old Style" w:cs="Times New Roman"/>
          <w:lang w:val="es-CO"/>
        </w:rPr>
        <w:t xml:space="preserve">señala la norma: </w:t>
      </w:r>
      <w:r w:rsidRPr="00704864">
        <w:rPr>
          <w:rFonts w:ascii="Bookman Old Style" w:hAnsi="Bookman Old Style" w:cs="Times New Roman"/>
          <w:lang w:val="es-CO"/>
        </w:rPr>
        <w:t>“para evaluar, analizar y asignar puntos a la productividad académica (…), todas las universidades estatales u oficiales deben adoptar un sistema de Evaluación Periódica de Productividad” (Art. 16).</w:t>
      </w:r>
    </w:p>
    <w:p w14:paraId="26B0C941" w14:textId="77777777"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t xml:space="preserve">Las actividades de dirección académica-administrativa son, de igual manera, valoradas y puntuadas según los encargos realizados, así: Rector, hasta once (11) puntos; Vicerrectores, Secretario General y Director Administrativo General, hasta nueve (9) puntos; Decanos, directores o jefes de división, jefes de oficina, Directores de oficinas de investigación, extensión o de programas curriculares, hasta seis ( 6) puntos; Vicedecanos y Directores administrativos de Sede o Seccional, hasta cuatro (4) puntos; Directores de Departamentos, Escuelas, Institutos, Centros u otras unidades de gestión académico-administrativa en las Facultades hasta dos (2) puntos (Art. 17). </w:t>
      </w:r>
    </w:p>
    <w:p w14:paraId="67258C7E" w14:textId="77777777"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t>El excelente desempeño académico de los profesores en actividades de docencia, investigación y proyección es reconocido y valorado, anualmente, a través de mecanismos de evaluación determinados por los Consejos Superiores Universitarios, dicho reconocimiento es conducente a la asignación de puntos salariales y de bonificación, según la categoría del escalafón: Profesor Titular Hasta 5 puntos; Profesor Asociado Hasta 4 puntos; Profesor Asistente Hasta 3 puntos; Profesor Auxiliar e Instructor Asociado Hasta 2 puntos (Art. 18).</w:t>
      </w:r>
    </w:p>
    <w:p w14:paraId="268B9B5C" w14:textId="77777777"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lastRenderedPageBreak/>
        <w:t>A los docentes en ejercicio se reconocen bonificaciones (por una única vez y, no constitutivas en salario) por productividad académica, según los criterios que los Consejos Superiores pueden establecer; dichas bonificaciones se otorgan sobre los siguientes productos: Producción de videos, cinematográficas o fonográficas; Obras Artísticas; Ponencias en eventos especializados; Publicaciones impresas universitarias; Estudios posdoctorales; Reseñas críticas; Traducciones; Direcciones de tesis; Evaluación como par. (Art. 20).</w:t>
      </w:r>
    </w:p>
    <w:p w14:paraId="54D3ED3D" w14:textId="77777777"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t>Las universidades, en cumplimiento de lo ordenado por los Artículos 23 y 24 de este Decreto, pueden (deben) reconocer a los docentes, puntos salariales a los siguientes productos: Publicaciones en revistas que no estén clasificadas, indexadas u homologadas por Colciencias; Producción de videos, cinematográficas o fonográficas; Libros derivados de investigación, de texto y ensayos; Traducción de libros; Premios nacionales e internacionales; Patentes; Obras artísticas; Producción técnica; Producción de software.</w:t>
      </w:r>
    </w:p>
    <w:p w14:paraId="61412EAD" w14:textId="77777777"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t>En todos los casos (asignación de puntos salariales o de bonificación) el Comité Interno de Asignación y Reconocimiento de Puntaje o el organismo creado por las universidades para tal efecto, realiza la valoración teniendo en consideración los siguientes criterios: “a) Calidad académica, científica, técnica, humanística, artística o pedagógica; b) Relevancia y pertinencia de los trabajos con las políticas académicas; c) Contribución al desarrollo y cumplimiento de los objetivos institucionales definidos en las políticas de la universidad.” (Art. 26).</w:t>
      </w:r>
    </w:p>
    <w:p w14:paraId="1CA883CF" w14:textId="77777777"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t xml:space="preserve">La conclusión derivada de esta lectura analítica del decreto que reglamenta el régimen salarial y prestacional de los docentes de las Universidades Estatales es, que todas las acciones, todas las labores, toda la productividad… de los docentes, es sometida a ingentes procedimientos de valoración, de vigilancia y control, en todo momento, por diferentes sujetos, colegiados e instancias. En pocas palabras, toda la vida académica y extraacadémica de los docentes está cifrada, atravesada, marcada, por diversos procedimientos de evaluación que, </w:t>
      </w:r>
      <w:r w:rsidRPr="00704864">
        <w:rPr>
          <w:rFonts w:ascii="Bookman Old Style" w:hAnsi="Bookman Old Style" w:cs="Times New Roman"/>
          <w:lang w:val="es-CO"/>
        </w:rPr>
        <w:lastRenderedPageBreak/>
        <w:t>como señala Foucault, hacen de cada individuo un caso</w:t>
      </w:r>
      <w:sdt>
        <w:sdtPr>
          <w:rPr>
            <w:rFonts w:ascii="Bookman Old Style" w:hAnsi="Bookman Old Style" w:cs="Times New Roman"/>
            <w:lang w:val="es-CO"/>
          </w:rPr>
          <w:id w:val="747468417"/>
          <w:citation/>
        </w:sdtPr>
        <w:sdtEndPr/>
        <w:sdtContent>
          <w:r w:rsidRPr="00704864">
            <w:rPr>
              <w:rFonts w:ascii="Bookman Old Style" w:hAnsi="Bookman Old Style" w:cs="Times New Roman"/>
              <w:lang w:val="es-CO"/>
            </w:rPr>
            <w:fldChar w:fldCharType="begin"/>
          </w:r>
          <w:r w:rsidRPr="00704864">
            <w:rPr>
              <w:rFonts w:ascii="Bookman Old Style" w:hAnsi="Bookman Old Style" w:cs="Times New Roman"/>
              <w:lang w:val="es-CO"/>
            </w:rPr>
            <w:instrText xml:space="preserve">CITATION Fou76 \n  \l 9226 </w:instrText>
          </w:r>
          <w:r w:rsidRPr="00704864">
            <w:rPr>
              <w:rFonts w:ascii="Bookman Old Style" w:hAnsi="Bookman Old Style" w:cs="Times New Roman"/>
              <w:lang w:val="es-CO"/>
            </w:rPr>
            <w:fldChar w:fldCharType="separate"/>
          </w:r>
          <w:r w:rsidRPr="00704864">
            <w:rPr>
              <w:rFonts w:ascii="Bookman Old Style" w:hAnsi="Bookman Old Style" w:cs="Times New Roman"/>
              <w:noProof/>
              <w:lang w:val="es-CO"/>
            </w:rPr>
            <w:t xml:space="preserve"> (Vigilar y castigar, 1976)</w:t>
          </w:r>
          <w:r w:rsidRPr="00704864">
            <w:rPr>
              <w:rFonts w:ascii="Bookman Old Style" w:hAnsi="Bookman Old Style" w:cs="Times New Roman"/>
              <w:lang w:val="es-CO"/>
            </w:rPr>
            <w:fldChar w:fldCharType="end"/>
          </w:r>
        </w:sdtContent>
      </w:sdt>
      <w:r w:rsidRPr="00704864">
        <w:rPr>
          <w:rFonts w:ascii="Bookman Old Style" w:hAnsi="Bookman Old Style" w:cs="Times New Roman"/>
          <w:lang w:val="es-CO"/>
        </w:rPr>
        <w:t>: un caso para la vigilancia, un caso para el control.</w:t>
      </w:r>
    </w:p>
    <w:p w14:paraId="07D55154" w14:textId="77777777"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t xml:space="preserve">En consonancia con las normas referidas y, en perspectiva de dar cumplimiento a lo ordenado por la Ley Estatutaria de la Educación Superior, el Consejo Superior de la Universidad Distrital expidió el Estatuto del Docente de Carrera </w:t>
      </w:r>
      <w:r w:rsidRPr="00704864">
        <w:rPr>
          <w:rFonts w:ascii="Bookman Old Style" w:hAnsi="Bookman Old Style" w:cs="Times New Roman"/>
          <w:lang w:val="es-CO"/>
        </w:rPr>
        <w:fldChar w:fldCharType="begin" w:fldLock="1"/>
      </w:r>
      <w:r w:rsidRPr="00704864">
        <w:rPr>
          <w:rFonts w:ascii="Bookman Old Style" w:hAnsi="Bookman Old Style" w:cs="Times New Roman"/>
          <w:lang w:val="es-CO"/>
        </w:rPr>
        <w:instrText>ADDIN CSL_CITATION {"citationItems":[{"id":"ITEM-1","itemData":{"URL":"http://sgral.udistrital.edu.co/xdata/csu/acu_2002-011.pdf","accessed":{"date-parts":[["2017","8","21"]]},"author":[{"dropping-particle":"","family":"Universidad Distrital Francisco José de Caldas. Consejo Superior Universitario","given":"","non-dropping-particle":"","parse-names":false,"suffix":""}],"id":"ITEM-1","issued":{"date-parts":[["2002"]]},"title":"Estatuto del profesor. Acuerdo No. 011 de 2002. Por el cual se expide el Estatuto del Docente de carrera de la Universidad Distrital Francisco José de Caldas\"","type":"webpage"},"uris":["http://www.mendeley.com/documents/?uuid=76bdaa20-334f-3142-9eb1-ee2ad652cf82"]}],"mendeley":{"formattedCitation":"(Universidad Distrital Francisco José de Caldas. Consejo Superior Universitario, 2002)","plainTextFormattedCitation":"(Universidad Distrital Francisco José de Caldas. Consejo Superior Universitario, 2002)","previouslyFormattedCitation":"(Universidad Distrital Francisco José de Caldas. Consejo Superior Universitario, 2002)"},"properties":{"noteIndex":0},"schema":"https://github.com/citation-style-language/schema/raw/master/csl-citation.json"}</w:instrText>
      </w:r>
      <w:r w:rsidRPr="00704864">
        <w:rPr>
          <w:rFonts w:ascii="Bookman Old Style" w:hAnsi="Bookman Old Style" w:cs="Times New Roman"/>
          <w:lang w:val="es-CO"/>
        </w:rPr>
        <w:fldChar w:fldCharType="separate"/>
      </w:r>
      <w:r w:rsidRPr="00704864">
        <w:rPr>
          <w:rFonts w:ascii="Bookman Old Style" w:hAnsi="Bookman Old Style" w:cs="Times New Roman"/>
          <w:noProof/>
          <w:lang w:val="es-CO"/>
        </w:rPr>
        <w:t>(Universidad Distrital Francisco José de Caldas. Consejo Superior Universitario, 2002)</w:t>
      </w:r>
      <w:r w:rsidRPr="00704864">
        <w:rPr>
          <w:rFonts w:ascii="Bookman Old Style" w:hAnsi="Bookman Old Style" w:cs="Times New Roman"/>
          <w:lang w:val="es-CO"/>
        </w:rPr>
        <w:fldChar w:fldCharType="end"/>
      </w:r>
      <w:r w:rsidRPr="00704864">
        <w:rPr>
          <w:rFonts w:ascii="Bookman Old Style" w:hAnsi="Bookman Old Style" w:cs="Times New Roman"/>
          <w:lang w:val="es-CO"/>
        </w:rPr>
        <w:t xml:space="preserve">, norma que determina los procesos evaluativos que se ciernen sobre los docentes. </w:t>
      </w:r>
    </w:p>
    <w:p w14:paraId="1D9DAEAD" w14:textId="77777777"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t xml:space="preserve">La normativa contempla como elementos valorativos de la acción del cuerpo profesoral: la generación de “espacios académicos para garantizar una gestión docente” que propenda “la búsqueda permanente del mejoramiento de la calidad y la excelencia”, la definición de las condiciones para “el desempeño de las actividades académicas y administrativas del docente, las categorías del escalafón docente y los criterios para la evaluación de las actividades docentes”; la garantía de la estabilidad laboral de los docentes, que se deriva de “los méritos, la productividad académica y la evaluación del desempeño”; la definición de “las condiciones y procedimientos para la inscripción, evaluación, ascenso y retiro de los docentes de carrera en la Universidad…” (Art. 2). </w:t>
      </w:r>
    </w:p>
    <w:p w14:paraId="4542EE4D" w14:textId="77777777"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t xml:space="preserve">La definición de Docente (Art. 4) implica caracterizaciones relativas al ejercicio de evaluación, pues, para ser vinculado a la institución, en cualquiera de las modalidades de docencia (carrera o vinculación especial), se debió surtir un “concurso </w:t>
      </w:r>
      <w:proofErr w:type="spellStart"/>
      <w:r w:rsidRPr="00704864">
        <w:rPr>
          <w:rFonts w:ascii="Bookman Old Style" w:hAnsi="Bookman Old Style" w:cs="Times New Roman"/>
          <w:lang w:val="es-CO"/>
        </w:rPr>
        <w:t>publico</w:t>
      </w:r>
      <w:proofErr w:type="spellEnd"/>
      <w:r w:rsidRPr="00704864">
        <w:rPr>
          <w:rFonts w:ascii="Bookman Old Style" w:hAnsi="Bookman Old Style" w:cs="Times New Roman"/>
          <w:lang w:val="es-CO"/>
        </w:rPr>
        <w:t xml:space="preserve"> de </w:t>
      </w:r>
      <w:proofErr w:type="spellStart"/>
      <w:r w:rsidRPr="00704864">
        <w:rPr>
          <w:rFonts w:ascii="Bookman Old Style" w:hAnsi="Bookman Old Style" w:cs="Times New Roman"/>
          <w:lang w:val="es-CO"/>
        </w:rPr>
        <w:t>meritos</w:t>
      </w:r>
      <w:proofErr w:type="spellEnd"/>
      <w:r w:rsidRPr="00704864">
        <w:rPr>
          <w:rFonts w:ascii="Bookman Old Style" w:hAnsi="Bookman Old Style" w:cs="Times New Roman"/>
          <w:lang w:val="es-CO"/>
        </w:rPr>
        <w:t xml:space="preserve"> (sic)” y, las funciones que debe desempeñar (enseñanza, comunicación, investigación, innovación o extensión: en la ciencia, la pedagogía, el arte, la tecnología, en fin, todas las formas del saber y, la cultura), tienen como correlato diversos procedimientos valorativos.</w:t>
      </w:r>
    </w:p>
    <w:p w14:paraId="33BCD671" w14:textId="77777777"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t xml:space="preserve">La acreditación de título profesional “expedido por una universidad colombiana legalmente reconocida o título otorgado en el exterior y convalidado en Colombia” o, la exención de aquel, por “haber realizado aportes significativos </w:t>
      </w:r>
      <w:r w:rsidRPr="00704864">
        <w:rPr>
          <w:rFonts w:ascii="Bookman Old Style" w:hAnsi="Bookman Old Style" w:cs="Times New Roman"/>
          <w:lang w:val="es-CO"/>
        </w:rPr>
        <w:lastRenderedPageBreak/>
        <w:t xml:space="preserve">en uno o varios campos del saber, la técnica, el arte o las humanidades en calidad de docentes expertos”, constituyen </w:t>
      </w:r>
      <w:r w:rsidRPr="00704864">
        <w:rPr>
          <w:rFonts w:ascii="Bookman Old Style" w:hAnsi="Bookman Old Style" w:cs="Times New Roman"/>
          <w:i/>
          <w:lang w:val="es-CO"/>
        </w:rPr>
        <w:t>de facto</w:t>
      </w:r>
      <w:r w:rsidRPr="00704864">
        <w:rPr>
          <w:rFonts w:ascii="Bookman Old Style" w:hAnsi="Bookman Old Style" w:cs="Times New Roman"/>
          <w:lang w:val="es-CO"/>
        </w:rPr>
        <w:t xml:space="preserve">, a criterio del Consejo Superior Universitario, mecanismos de selección (ponderación) para el ejercicio magisterial. </w:t>
      </w:r>
    </w:p>
    <w:p w14:paraId="6E7B780D" w14:textId="3A83801F"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t xml:space="preserve">Además de ser objeto de evaluación sobre el que recae una pluralidad de formas </w:t>
      </w:r>
      <w:proofErr w:type="spellStart"/>
      <w:r w:rsidRPr="00704864">
        <w:rPr>
          <w:rFonts w:ascii="Bookman Old Style" w:hAnsi="Bookman Old Style" w:cs="Times New Roman"/>
          <w:lang w:val="es-CO"/>
        </w:rPr>
        <w:t>examinatorias</w:t>
      </w:r>
      <w:proofErr w:type="spellEnd"/>
      <w:r w:rsidRPr="00704864">
        <w:rPr>
          <w:rFonts w:ascii="Bookman Old Style" w:hAnsi="Bookman Old Style" w:cs="Times New Roman"/>
          <w:lang w:val="es-CO"/>
        </w:rPr>
        <w:t xml:space="preserve"> y valorativas, el docente es sujeto de la evaluación, pues dentro de sus deberes se cuentan (Art. 20, literales k, i) la obligatoriedad de: “realizar las evaluaciones académicas programadas y publicar las calificaciones de las pruebas intermedias y finales en los términos reglamentarios”; y, de “entregar al Coordinador del Proyecto Curricular las notas definitivas de los cursos a su cargo en la fecha señalada por la universidad”. La evaluación se ha constituido, en un deber connatural, obligatorio, ineludible… de la labor docente.</w:t>
      </w:r>
    </w:p>
    <w:p w14:paraId="11B9841C" w14:textId="77777777"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t xml:space="preserve">Los principios y fundamentos de la carrera docente están signados por sutiles concepciones valorativas, así, por ejemplo: garantía de la “excelencia académica de la Universidad”, fomento a la “actualización permanente”, regulación de las “condiciones de inscripción, ascenso y retiro”, “evaluación del desempeño”. (Arts. 21-22).  </w:t>
      </w:r>
    </w:p>
    <w:p w14:paraId="150DE38B" w14:textId="77777777"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t xml:space="preserve">El Escalafón Docente, señala el Estatuto, es el “sistema de clasificación” de los docentes de carrera que se realiza a partir de los siguientes elementos: títulos universitarios, producción académica, experiencia universitaria calificada (adquirida en actividades propias como docente universitario), experiencia profesional calificada y, categoría dentro del escalafón docente (Art. 24). Dicho sistema de clasificación docente contempla cuatro categorías: Auxiliar, Asistente, Asociado y Titular (Art. 25). La superación (aprobación) del periodo de prueba es requisito </w:t>
      </w:r>
      <w:r w:rsidRPr="00704864">
        <w:rPr>
          <w:rFonts w:ascii="Bookman Old Style" w:hAnsi="Bookman Old Style" w:cs="Times New Roman"/>
          <w:i/>
          <w:lang w:val="es-CO"/>
        </w:rPr>
        <w:t xml:space="preserve">sine que non </w:t>
      </w:r>
      <w:r w:rsidRPr="00704864">
        <w:rPr>
          <w:rFonts w:ascii="Bookman Old Style" w:hAnsi="Bookman Old Style" w:cs="Times New Roman"/>
          <w:lang w:val="es-CO"/>
        </w:rPr>
        <w:t>para la inscripción en alguna categoría del escalafón.</w:t>
      </w:r>
    </w:p>
    <w:p w14:paraId="50DEF5E8" w14:textId="0B6B2F70"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t xml:space="preserve">Para el ascenso a cualquiera de las categorías determinadas por las normas, se demanda, además de los títulos de pregrado y posgrado requeridos: una temporalidad mínima de permanencia; la elaboración y sustentación, ante jurado, de un trabajo que constituya un aporte significativo “al área o disciplina </w:t>
      </w:r>
      <w:r w:rsidRPr="00704864">
        <w:rPr>
          <w:rFonts w:ascii="Bookman Old Style" w:hAnsi="Bookman Old Style" w:cs="Times New Roman"/>
          <w:lang w:val="es-CO"/>
        </w:rPr>
        <w:lastRenderedPageBreak/>
        <w:t xml:space="preserve">académica en que se desempeñe o concurse”; y, obtener los resultados de la evaluación docente “como mínimo en el rango de aceptable” (Arts. 26-29). </w:t>
      </w:r>
    </w:p>
    <w:p w14:paraId="148C97C8" w14:textId="5E79955C"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t>La normativa contempla un concepto denominado estabilidad</w:t>
      </w:r>
      <w:r w:rsidR="00295D0C">
        <w:rPr>
          <w:rFonts w:ascii="Bookman Old Style" w:hAnsi="Bookman Old Style" w:cs="Times New Roman"/>
          <w:lang w:val="es-CO"/>
        </w:rPr>
        <w:t xml:space="preserve"> (</w:t>
      </w:r>
      <w:r w:rsidRPr="00704864">
        <w:rPr>
          <w:rFonts w:ascii="Bookman Old Style" w:hAnsi="Bookman Old Style" w:cs="Times New Roman"/>
          <w:lang w:val="es-CO"/>
        </w:rPr>
        <w:t>el derecho del docente a permanecer en el cargo y en la categoría</w:t>
      </w:r>
      <w:r w:rsidR="00295D0C">
        <w:rPr>
          <w:rFonts w:ascii="Bookman Old Style" w:hAnsi="Bookman Old Style" w:cs="Times New Roman"/>
          <w:lang w:val="es-CO"/>
        </w:rPr>
        <w:t>)</w:t>
      </w:r>
      <w:r w:rsidRPr="00704864">
        <w:rPr>
          <w:rFonts w:ascii="Bookman Old Style" w:hAnsi="Bookman Old Style" w:cs="Times New Roman"/>
          <w:lang w:val="es-CO"/>
        </w:rPr>
        <w:t xml:space="preserve"> “siempre y cuando no haya llegado a la edad de retiro forzoso, observe buena conducta y obtenga una evaluación aceptable de su desempeño” (Art. 34). Los periodos de estabilidad son de tres (3), cuatro (4), cinco (5) y seis (6) años según las categorías señaladas. Todo profesor que gana concurso en la institución ingresa en período de prueba, de un (1) año, a cuyo término “previa evaluación global en la que obtenga como mínimo el rango de aceptable, se inscribe al docente en el escalafón” (Art. 36).</w:t>
      </w:r>
    </w:p>
    <w:p w14:paraId="70A7869B" w14:textId="77777777"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t>La Universidad Distrital cuenta con un “Comité de Personal Docente y de Asignación de Puntaje”, organismo facultado para tomar decisiones sobre “la inscripción y ascenso en el escalafón” (Art. 44). En general, las funciones de este comité son valorativas, pues, le compete:</w:t>
      </w:r>
    </w:p>
    <w:p w14:paraId="65E3D5ED" w14:textId="7963CCE0" w:rsidR="0038735E" w:rsidRPr="00704864" w:rsidRDefault="0038735E" w:rsidP="0038735E">
      <w:pPr>
        <w:spacing w:before="120" w:after="120" w:line="360" w:lineRule="auto"/>
        <w:ind w:left="851" w:right="-1"/>
        <w:rPr>
          <w:rFonts w:ascii="Bookman Old Style" w:hAnsi="Bookman Old Style" w:cs="Times New Roman"/>
          <w:lang w:val="es-CO"/>
        </w:rPr>
      </w:pPr>
      <w:r w:rsidRPr="00704864">
        <w:rPr>
          <w:rFonts w:ascii="Bookman Old Style" w:hAnsi="Bookman Old Style" w:cs="Times New Roman"/>
          <w:lang w:val="es-CO"/>
        </w:rPr>
        <w:t xml:space="preserve">a) Determinar los puntajes correspondientes a los factores (…). </w:t>
      </w:r>
    </w:p>
    <w:p w14:paraId="7092DB68" w14:textId="77777777" w:rsidR="0038735E" w:rsidRPr="00704864" w:rsidRDefault="0038735E" w:rsidP="0038735E">
      <w:pPr>
        <w:spacing w:before="120" w:after="120" w:line="360" w:lineRule="auto"/>
        <w:ind w:left="851" w:right="-1"/>
        <w:rPr>
          <w:rFonts w:ascii="Bookman Old Style" w:hAnsi="Bookman Old Style" w:cs="Times New Roman"/>
          <w:lang w:val="es-CO"/>
        </w:rPr>
      </w:pPr>
      <w:r w:rsidRPr="00704864">
        <w:rPr>
          <w:rFonts w:ascii="Bookman Old Style" w:hAnsi="Bookman Old Style" w:cs="Times New Roman"/>
          <w:lang w:val="es-CO"/>
        </w:rPr>
        <w:t>b) Realizar la actividad de valoración y asignación de puntaje (…).</w:t>
      </w:r>
    </w:p>
    <w:p w14:paraId="4CF81DB7" w14:textId="77777777" w:rsidR="0038735E" w:rsidRPr="00704864" w:rsidRDefault="0038735E" w:rsidP="0038735E">
      <w:pPr>
        <w:spacing w:before="120" w:after="120" w:line="360" w:lineRule="auto"/>
        <w:ind w:left="851" w:right="-1"/>
        <w:rPr>
          <w:rFonts w:ascii="Bookman Old Style" w:hAnsi="Bookman Old Style" w:cs="Times New Roman"/>
          <w:lang w:val="es-CO"/>
        </w:rPr>
      </w:pPr>
      <w:r w:rsidRPr="00704864">
        <w:rPr>
          <w:rFonts w:ascii="Bookman Old Style" w:hAnsi="Bookman Old Style" w:cs="Times New Roman"/>
          <w:lang w:val="es-CO"/>
        </w:rPr>
        <w:t>d) Asesorar al Rector, al Consejo Académico y al Vicerrector, en todo lo relacionado con el diseño de políticas para la formación, actualización y evaluación del personal docente de la Universidad (Art. 46).</w:t>
      </w:r>
    </w:p>
    <w:p w14:paraId="6598D5E9" w14:textId="77777777"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t>El estatuto docente (Art. 54), en cumplimiento de lo ordenado por la Ley 30 de 1992, contempla lo relativo a la evaluación docente, que es conceptualizada como:</w:t>
      </w:r>
    </w:p>
    <w:p w14:paraId="33534315" w14:textId="77777777" w:rsidR="0038735E" w:rsidRPr="00870271" w:rsidRDefault="0038735E" w:rsidP="00870271">
      <w:pPr>
        <w:spacing w:before="120" w:after="120"/>
        <w:ind w:left="2268"/>
        <w:rPr>
          <w:rFonts w:ascii="Bookman Old Style" w:hAnsi="Bookman Old Style" w:cs="Times New Roman"/>
          <w:sz w:val="20"/>
          <w:szCs w:val="18"/>
          <w:lang w:val="es-CO"/>
        </w:rPr>
      </w:pPr>
      <w:r w:rsidRPr="00870271">
        <w:rPr>
          <w:rFonts w:ascii="Bookman Old Style" w:hAnsi="Bookman Old Style" w:cs="Times New Roman"/>
          <w:sz w:val="20"/>
          <w:szCs w:val="18"/>
          <w:lang w:val="es-CO"/>
        </w:rPr>
        <w:t xml:space="preserve">el proceso permanente y sistemático mediante el cual se analiza, valora y pondera la gestión del docente en la Universidad. Es un componente del proceso de evaluación institucional cuyo fin es mejorar la calidad de la gestión académica, en búsqueda de la excelencia. Permite a la Universidad acopiar información valiosa con miras a su acreditación permanente ante las comunidades académicas especializadas y ante la sociedad civil en general. </w:t>
      </w:r>
    </w:p>
    <w:p w14:paraId="1C4144A3" w14:textId="77777777"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lastRenderedPageBreak/>
        <w:t>Los objetivos de la evaluación de docentes se orientan hacia “el mejoramiento académico de la Universidad y el desarrollo profesional de los docentes”; en consecuencia, sus resultados “deben servir de base para la formulación de políticas, planes y programas de desarrollo académico y de capacitación del docente, así como para la inscripción, ascenso y retiro del escalafón y para la renovación de los periodos de estabilidad” (Art. 55). Los procesos de evaluación (heteroevaluación, por parte de los estudiantes; coevaluación, realizada por los superiores y/o jefes inmediatos; y, autoevaluación, ejercicio de valoración de uno consigo mismo), concurren cada semestre “después de finalizada la octava semana de clases”; y son responsabilidad del Consejo de Facultad (Art. 55).</w:t>
      </w:r>
    </w:p>
    <w:p w14:paraId="0EF2EA0C" w14:textId="01A9A235"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t>Además del Comité de Personal Docente y de Asignación de Puntaje, la Universidad cuenta con un Comité de Evaluación cuyas funciones son eminentemente valorativas (Art. 58):</w:t>
      </w:r>
    </w:p>
    <w:p w14:paraId="1809971E" w14:textId="77777777" w:rsidR="0038735E" w:rsidRPr="00AD7CCE" w:rsidRDefault="0038735E" w:rsidP="00AD7CCE">
      <w:pPr>
        <w:spacing w:before="120" w:after="120"/>
        <w:ind w:left="2268"/>
        <w:rPr>
          <w:rFonts w:ascii="Bookman Old Style" w:hAnsi="Bookman Old Style" w:cs="Times New Roman"/>
          <w:sz w:val="20"/>
          <w:szCs w:val="18"/>
          <w:lang w:val="es-CO"/>
        </w:rPr>
      </w:pPr>
      <w:r w:rsidRPr="00AD7CCE">
        <w:rPr>
          <w:rFonts w:ascii="Bookman Old Style" w:hAnsi="Bookman Old Style" w:cs="Times New Roman"/>
          <w:sz w:val="20"/>
          <w:szCs w:val="18"/>
          <w:lang w:val="es-CO"/>
        </w:rPr>
        <w:t xml:space="preserve">Planear, socializar, diseñar y actualizar las políticas de evaluación docente en la Universidad Distrital. </w:t>
      </w:r>
    </w:p>
    <w:p w14:paraId="42F71BB0" w14:textId="77777777" w:rsidR="0038735E" w:rsidRPr="00AD7CCE" w:rsidRDefault="0038735E" w:rsidP="00AD7CCE">
      <w:pPr>
        <w:spacing w:before="120" w:after="120"/>
        <w:ind w:left="2268"/>
        <w:rPr>
          <w:rFonts w:ascii="Bookman Old Style" w:hAnsi="Bookman Old Style" w:cs="Times New Roman"/>
          <w:sz w:val="20"/>
          <w:szCs w:val="18"/>
          <w:lang w:val="es-CO"/>
        </w:rPr>
      </w:pPr>
      <w:r w:rsidRPr="00AD7CCE">
        <w:rPr>
          <w:rFonts w:ascii="Bookman Old Style" w:hAnsi="Bookman Old Style" w:cs="Times New Roman"/>
          <w:sz w:val="20"/>
          <w:szCs w:val="18"/>
          <w:lang w:val="es-CO"/>
        </w:rPr>
        <w:t>Definir metodologías y procedimientos para la aplicación, recopilación, tabulación y análisis de la información de la evaluación docente.</w:t>
      </w:r>
    </w:p>
    <w:p w14:paraId="1CEDF4D9" w14:textId="77777777" w:rsidR="0038735E" w:rsidRPr="00AD7CCE" w:rsidRDefault="0038735E" w:rsidP="00AD7CCE">
      <w:pPr>
        <w:spacing w:before="120" w:after="120"/>
        <w:ind w:left="2268"/>
        <w:rPr>
          <w:rFonts w:ascii="Bookman Old Style" w:hAnsi="Bookman Old Style" w:cs="Times New Roman"/>
          <w:sz w:val="20"/>
          <w:szCs w:val="18"/>
          <w:lang w:val="es-CO"/>
        </w:rPr>
      </w:pPr>
      <w:r w:rsidRPr="00AD7CCE">
        <w:rPr>
          <w:rFonts w:ascii="Bookman Old Style" w:hAnsi="Bookman Old Style" w:cs="Times New Roman"/>
          <w:sz w:val="20"/>
          <w:szCs w:val="18"/>
          <w:lang w:val="es-CO"/>
        </w:rPr>
        <w:t xml:space="preserve">Liderar los procesos de sensibilización y socialización del proceso de evaluación docente. </w:t>
      </w:r>
    </w:p>
    <w:p w14:paraId="6FD6EE5D" w14:textId="77777777" w:rsidR="0038735E" w:rsidRPr="00AD7CCE" w:rsidRDefault="0038735E" w:rsidP="00AD7CCE">
      <w:pPr>
        <w:spacing w:before="120" w:after="120"/>
        <w:ind w:left="2268"/>
        <w:rPr>
          <w:rFonts w:ascii="Bookman Old Style" w:hAnsi="Bookman Old Style" w:cs="Times New Roman"/>
          <w:sz w:val="20"/>
          <w:szCs w:val="18"/>
          <w:lang w:val="es-CO"/>
        </w:rPr>
      </w:pPr>
      <w:r w:rsidRPr="00AD7CCE">
        <w:rPr>
          <w:rFonts w:ascii="Bookman Old Style" w:hAnsi="Bookman Old Style" w:cs="Times New Roman"/>
          <w:sz w:val="20"/>
          <w:szCs w:val="18"/>
          <w:lang w:val="es-CO"/>
        </w:rPr>
        <w:t>Definir la reglamentación para incentivar la práctica docente y fijar las medidas y correctivos pertinentes para los distintos resultados de la evaluación.</w:t>
      </w:r>
    </w:p>
    <w:p w14:paraId="23835535" w14:textId="77777777" w:rsidR="0038735E" w:rsidRPr="00704864" w:rsidRDefault="0038735E" w:rsidP="0038735E">
      <w:pPr>
        <w:spacing w:before="120" w:after="120" w:line="360" w:lineRule="auto"/>
        <w:ind w:right="51" w:firstLine="720"/>
        <w:rPr>
          <w:rFonts w:ascii="Bookman Old Style" w:hAnsi="Bookman Old Style" w:cs="Times New Roman"/>
          <w:lang w:val="es-CO"/>
        </w:rPr>
      </w:pPr>
      <w:r w:rsidRPr="00704864">
        <w:rPr>
          <w:rFonts w:ascii="Bookman Old Style" w:hAnsi="Bookman Old Style" w:cs="Times New Roman"/>
          <w:lang w:val="es-CO"/>
        </w:rPr>
        <w:t xml:space="preserve">Los procedimientos de la evaluación de docentes –o de docentes con cargos de dirección– en la Universidad Distrital se realizan teniendo en consideración los siguientes elementos, (Art. 61-64): </w:t>
      </w:r>
    </w:p>
    <w:p w14:paraId="006889A1" w14:textId="77777777" w:rsidR="0038735E" w:rsidRPr="0038735E" w:rsidRDefault="0038735E" w:rsidP="0038735E">
      <w:pPr>
        <w:pStyle w:val="Prrafodelista"/>
        <w:numPr>
          <w:ilvl w:val="0"/>
          <w:numId w:val="25"/>
        </w:numPr>
        <w:spacing w:before="120" w:after="120" w:line="360" w:lineRule="auto"/>
        <w:ind w:right="49"/>
        <w:rPr>
          <w:rFonts w:ascii="Bookman Old Style" w:hAnsi="Bookman Old Style" w:cs="Times New Roman"/>
          <w:szCs w:val="24"/>
          <w:lang w:val="es-CO"/>
        </w:rPr>
      </w:pPr>
      <w:r w:rsidRPr="0038735E">
        <w:rPr>
          <w:rFonts w:ascii="Bookman Old Style" w:hAnsi="Bookman Old Style" w:cs="Times New Roman"/>
          <w:szCs w:val="24"/>
          <w:lang w:val="es-CO"/>
        </w:rPr>
        <w:t>Protagonistas (quienes evalúan): alumnos, docentes y consejos curriculares;</w:t>
      </w:r>
    </w:p>
    <w:p w14:paraId="4574A1E1" w14:textId="77777777" w:rsidR="0038735E" w:rsidRPr="0038735E" w:rsidRDefault="0038735E" w:rsidP="0038735E">
      <w:pPr>
        <w:pStyle w:val="Prrafodelista"/>
        <w:numPr>
          <w:ilvl w:val="0"/>
          <w:numId w:val="25"/>
        </w:numPr>
        <w:spacing w:before="120" w:after="120" w:line="360" w:lineRule="auto"/>
        <w:ind w:right="49"/>
        <w:rPr>
          <w:rFonts w:ascii="Bookman Old Style" w:hAnsi="Bookman Old Style" w:cs="Times New Roman"/>
          <w:szCs w:val="24"/>
          <w:lang w:val="es-CO"/>
        </w:rPr>
      </w:pPr>
      <w:r w:rsidRPr="0038735E">
        <w:rPr>
          <w:rFonts w:ascii="Bookman Old Style" w:hAnsi="Bookman Old Style" w:cs="Times New Roman"/>
          <w:szCs w:val="24"/>
          <w:lang w:val="es-CO"/>
        </w:rPr>
        <w:t xml:space="preserve">Categorías y unidades de análisis (lo que se evalúa de los docentes): práctica docente, actitudes frente a la actividad docente, compromisos institucionales, conocimientos, investigación y extensión, capacitación y publicaciones, preparación de actividades, dirección de actividades de los </w:t>
      </w:r>
      <w:r w:rsidRPr="0038735E">
        <w:rPr>
          <w:rFonts w:ascii="Bookman Old Style" w:hAnsi="Bookman Old Style" w:cs="Times New Roman"/>
          <w:szCs w:val="24"/>
          <w:lang w:val="es-CO"/>
        </w:rPr>
        <w:lastRenderedPageBreak/>
        <w:t>alumnos en clase, evaluación de las asignaturas que orienta, motivación hacia el conocimiento, relaciones interpersonales, cumplimiento de las actividades docentes, conocimientos sobre las asignaturas que se enseñan, conocimientos pedagógicos o didácticos de las asignaturas, formulación y desarrollo de proyectos de investigación y/o extensión, creación de escuelas de pensamiento, conformación de grupos de investigación, relación docencia-investigación, impacto de proyectos de investigación y/o extensión, cumplimiento de funciones académico administrativas, desarrollo de actividades de publicación y capacitación;</w:t>
      </w:r>
    </w:p>
    <w:p w14:paraId="26731E04" w14:textId="3442CC70" w:rsidR="0038735E" w:rsidRPr="00704864" w:rsidRDefault="0038735E" w:rsidP="0038735E">
      <w:pPr>
        <w:pStyle w:val="Prrafodelista"/>
        <w:numPr>
          <w:ilvl w:val="0"/>
          <w:numId w:val="25"/>
        </w:numPr>
        <w:spacing w:before="120" w:after="120" w:line="360" w:lineRule="auto"/>
        <w:ind w:right="49"/>
        <w:rPr>
          <w:rFonts w:ascii="Bookman Old Style" w:hAnsi="Bookman Old Style" w:cs="Times New Roman"/>
          <w:szCs w:val="24"/>
        </w:rPr>
      </w:pPr>
      <w:r w:rsidRPr="00704864">
        <w:rPr>
          <w:rFonts w:ascii="Bookman Old Style" w:hAnsi="Bookman Old Style" w:cs="Times New Roman"/>
          <w:szCs w:val="24"/>
        </w:rPr>
        <w:t xml:space="preserve">Indicadores (instrumentos, </w:t>
      </w:r>
      <w:proofErr w:type="spellStart"/>
      <w:r w:rsidRPr="00704864">
        <w:rPr>
          <w:rFonts w:ascii="Bookman Old Style" w:hAnsi="Bookman Old Style" w:cs="Times New Roman"/>
          <w:szCs w:val="24"/>
        </w:rPr>
        <w:t>encuestas</w:t>
      </w:r>
      <w:proofErr w:type="spellEnd"/>
      <w:r w:rsidRPr="00704864">
        <w:rPr>
          <w:rFonts w:ascii="Bookman Old Style" w:hAnsi="Bookman Old Style" w:cs="Times New Roman"/>
          <w:szCs w:val="24"/>
        </w:rPr>
        <w:t xml:space="preserve"> </w:t>
      </w:r>
      <w:proofErr w:type="spellStart"/>
      <w:r w:rsidRPr="00704864">
        <w:rPr>
          <w:rFonts w:ascii="Bookman Old Style" w:hAnsi="Bookman Old Style" w:cs="Times New Roman"/>
          <w:szCs w:val="24"/>
        </w:rPr>
        <w:t>institucionales</w:t>
      </w:r>
      <w:proofErr w:type="spellEnd"/>
      <w:r w:rsidRPr="00704864">
        <w:rPr>
          <w:rFonts w:ascii="Bookman Old Style" w:hAnsi="Bookman Old Style" w:cs="Times New Roman"/>
          <w:szCs w:val="24"/>
        </w:rPr>
        <w:t xml:space="preserve"> normalizadas): preguntas realizadas a </w:t>
      </w:r>
      <w:proofErr w:type="spellStart"/>
      <w:r w:rsidRPr="00704864">
        <w:rPr>
          <w:rFonts w:ascii="Bookman Old Style" w:hAnsi="Bookman Old Style" w:cs="Times New Roman"/>
          <w:szCs w:val="24"/>
        </w:rPr>
        <w:t>los</w:t>
      </w:r>
      <w:proofErr w:type="spellEnd"/>
      <w:r w:rsidRPr="00704864">
        <w:rPr>
          <w:rFonts w:ascii="Bookman Old Style" w:hAnsi="Bookman Old Style" w:cs="Times New Roman"/>
          <w:szCs w:val="24"/>
        </w:rPr>
        <w:t xml:space="preserve"> protagonistas de </w:t>
      </w:r>
      <w:proofErr w:type="spellStart"/>
      <w:r w:rsidRPr="00704864">
        <w:rPr>
          <w:rFonts w:ascii="Bookman Old Style" w:hAnsi="Bookman Old Style" w:cs="Times New Roman"/>
          <w:szCs w:val="24"/>
        </w:rPr>
        <w:t>la</w:t>
      </w:r>
      <w:proofErr w:type="spellEnd"/>
      <w:r w:rsidRPr="00704864">
        <w:rPr>
          <w:rFonts w:ascii="Bookman Old Style" w:hAnsi="Bookman Old Style" w:cs="Times New Roman"/>
          <w:szCs w:val="24"/>
        </w:rPr>
        <w:t xml:space="preserve"> </w:t>
      </w:r>
      <w:proofErr w:type="spellStart"/>
      <w:r w:rsidRPr="00704864">
        <w:rPr>
          <w:rFonts w:ascii="Bookman Old Style" w:hAnsi="Bookman Old Style" w:cs="Times New Roman"/>
          <w:szCs w:val="24"/>
        </w:rPr>
        <w:t>evaluación</w:t>
      </w:r>
      <w:proofErr w:type="spellEnd"/>
      <w:r w:rsidRPr="00704864">
        <w:rPr>
          <w:rFonts w:ascii="Bookman Old Style" w:hAnsi="Bookman Old Style" w:cs="Times New Roman"/>
          <w:szCs w:val="24"/>
        </w:rPr>
        <w:t xml:space="preserve"> docente…;</w:t>
      </w:r>
    </w:p>
    <w:p w14:paraId="2953492F" w14:textId="77777777" w:rsidR="0038735E" w:rsidRPr="00704864" w:rsidRDefault="0038735E" w:rsidP="0038735E">
      <w:pPr>
        <w:pStyle w:val="Prrafodelista"/>
        <w:numPr>
          <w:ilvl w:val="0"/>
          <w:numId w:val="25"/>
        </w:numPr>
        <w:spacing w:before="120" w:after="120" w:line="360" w:lineRule="auto"/>
        <w:ind w:right="49"/>
        <w:rPr>
          <w:rFonts w:ascii="Bookman Old Style" w:hAnsi="Bookman Old Style" w:cs="Times New Roman"/>
          <w:szCs w:val="24"/>
        </w:rPr>
      </w:pPr>
      <w:r w:rsidRPr="0038735E">
        <w:rPr>
          <w:rFonts w:ascii="Bookman Old Style" w:hAnsi="Bookman Old Style" w:cs="Times New Roman"/>
          <w:szCs w:val="24"/>
          <w:lang w:val="es-CO"/>
        </w:rPr>
        <w:t xml:space="preserve">Escalas de calificación (rengos de valoración): cualitativa y cuantitativa (…). Excelente (5), Bien (4) Aceptable (3), Regular (2), Deficiente (1); Siempre (5), Frecuentemente (4), Ocasionalmente (3), Rara Vez (2), Nunca (1); Lo realiza (5) Lo Realiza Parcialmente (3). </w:t>
      </w:r>
      <w:r w:rsidRPr="00704864">
        <w:rPr>
          <w:rFonts w:ascii="Bookman Old Style" w:hAnsi="Bookman Old Style" w:cs="Times New Roman"/>
          <w:szCs w:val="24"/>
        </w:rPr>
        <w:t xml:space="preserve">No </w:t>
      </w:r>
      <w:proofErr w:type="spellStart"/>
      <w:proofErr w:type="gramStart"/>
      <w:r w:rsidRPr="00704864">
        <w:rPr>
          <w:rFonts w:ascii="Bookman Old Style" w:hAnsi="Bookman Old Style" w:cs="Times New Roman"/>
          <w:szCs w:val="24"/>
        </w:rPr>
        <w:t>lo</w:t>
      </w:r>
      <w:proofErr w:type="spellEnd"/>
      <w:r w:rsidRPr="00704864">
        <w:rPr>
          <w:rFonts w:ascii="Bookman Old Style" w:hAnsi="Bookman Old Style" w:cs="Times New Roman"/>
          <w:szCs w:val="24"/>
        </w:rPr>
        <w:t xml:space="preserve"> Realiza</w:t>
      </w:r>
      <w:proofErr w:type="gramEnd"/>
      <w:r w:rsidRPr="00704864">
        <w:rPr>
          <w:rFonts w:ascii="Bookman Old Style" w:hAnsi="Bookman Old Style" w:cs="Times New Roman"/>
          <w:szCs w:val="24"/>
        </w:rPr>
        <w:t xml:space="preserve"> (1); </w:t>
      </w:r>
    </w:p>
    <w:p w14:paraId="7B2B5FB8" w14:textId="77777777" w:rsidR="0038735E" w:rsidRPr="0038735E" w:rsidRDefault="0038735E" w:rsidP="0038735E">
      <w:pPr>
        <w:pStyle w:val="Prrafodelista"/>
        <w:numPr>
          <w:ilvl w:val="0"/>
          <w:numId w:val="25"/>
        </w:numPr>
        <w:spacing w:before="120" w:after="120" w:line="360" w:lineRule="auto"/>
        <w:ind w:right="49"/>
        <w:rPr>
          <w:rFonts w:ascii="Bookman Old Style" w:hAnsi="Bookman Old Style" w:cs="Times New Roman"/>
          <w:szCs w:val="24"/>
          <w:lang w:val="es-CO"/>
        </w:rPr>
      </w:pPr>
      <w:r w:rsidRPr="0038735E">
        <w:rPr>
          <w:rFonts w:ascii="Bookman Old Style" w:hAnsi="Bookman Old Style" w:cs="Times New Roman"/>
          <w:szCs w:val="24"/>
          <w:lang w:val="es-CO"/>
        </w:rPr>
        <w:t>Criterios de ponderación (porcentajes de la evaluación): consejo del proyecto (30%); estudiantes (50%) autoevaluación del profesor (20%);</w:t>
      </w:r>
    </w:p>
    <w:p w14:paraId="4A041945" w14:textId="77777777" w:rsidR="0038735E" w:rsidRPr="0038735E" w:rsidRDefault="0038735E" w:rsidP="0038735E">
      <w:pPr>
        <w:pStyle w:val="Prrafodelista"/>
        <w:numPr>
          <w:ilvl w:val="0"/>
          <w:numId w:val="25"/>
        </w:numPr>
        <w:spacing w:before="120" w:after="120" w:line="360" w:lineRule="auto"/>
        <w:ind w:right="49"/>
        <w:rPr>
          <w:rFonts w:ascii="Bookman Old Style" w:hAnsi="Bookman Old Style" w:cs="Times New Roman"/>
          <w:szCs w:val="24"/>
          <w:lang w:val="es-CO"/>
        </w:rPr>
      </w:pPr>
      <w:r w:rsidRPr="0038735E">
        <w:rPr>
          <w:rFonts w:ascii="Bookman Old Style" w:hAnsi="Bookman Old Style" w:cs="Times New Roman"/>
          <w:szCs w:val="24"/>
          <w:lang w:val="es-CO"/>
        </w:rPr>
        <w:t>Otros criterios que, en el marco de un espíritu constructivo, orientado al desarrollo profesional y pedagógico del docente, implican la evaluación: solvencia académica, metodología de trabajo y, cumplimiento de su gestión universitaria;</w:t>
      </w:r>
    </w:p>
    <w:p w14:paraId="1A4A369F" w14:textId="77777777" w:rsidR="0038735E" w:rsidRPr="0038735E" w:rsidRDefault="0038735E" w:rsidP="0038735E">
      <w:pPr>
        <w:pStyle w:val="Prrafodelista"/>
        <w:numPr>
          <w:ilvl w:val="0"/>
          <w:numId w:val="25"/>
        </w:numPr>
        <w:spacing w:before="120" w:after="120" w:line="360" w:lineRule="auto"/>
        <w:ind w:right="49"/>
        <w:rPr>
          <w:rFonts w:ascii="Bookman Old Style" w:hAnsi="Bookman Old Style" w:cs="Times New Roman"/>
          <w:szCs w:val="24"/>
          <w:lang w:val="es-CO"/>
        </w:rPr>
      </w:pPr>
      <w:r w:rsidRPr="0038735E">
        <w:rPr>
          <w:rFonts w:ascii="Bookman Old Style" w:hAnsi="Bookman Old Style" w:cs="Times New Roman"/>
          <w:szCs w:val="24"/>
          <w:lang w:val="es-CO"/>
        </w:rPr>
        <w:t xml:space="preserve">Temporalidad: una vez por semestre, al término de la octava semana de clase. </w:t>
      </w:r>
    </w:p>
    <w:p w14:paraId="2C1E4156" w14:textId="13761651" w:rsidR="0038735E" w:rsidRPr="0038735E" w:rsidRDefault="0038735E" w:rsidP="0038735E">
      <w:pPr>
        <w:pStyle w:val="Prrafodelista"/>
        <w:numPr>
          <w:ilvl w:val="0"/>
          <w:numId w:val="25"/>
        </w:numPr>
        <w:spacing w:before="120" w:after="120" w:line="360" w:lineRule="auto"/>
        <w:ind w:right="49"/>
        <w:rPr>
          <w:rFonts w:ascii="Bookman Old Style" w:hAnsi="Bookman Old Style" w:cs="Times New Roman"/>
          <w:szCs w:val="24"/>
          <w:lang w:val="es-CO"/>
        </w:rPr>
      </w:pPr>
      <w:r w:rsidRPr="0038735E">
        <w:rPr>
          <w:rFonts w:ascii="Bookman Old Style" w:hAnsi="Bookman Old Style" w:cs="Times New Roman"/>
          <w:szCs w:val="24"/>
          <w:lang w:val="es-CO"/>
        </w:rPr>
        <w:t xml:space="preserve">Cuantificación: expresada en puntos, resultante de la ponderación según los resultados obtenidos, así: excelencia académica, satisfactoria, bien, aceptable, deficiente. </w:t>
      </w:r>
    </w:p>
    <w:p w14:paraId="1FBD5656" w14:textId="77777777" w:rsidR="0038735E" w:rsidRPr="00704864" w:rsidRDefault="0038735E" w:rsidP="0038735E">
      <w:pPr>
        <w:spacing w:before="120" w:after="120" w:line="360" w:lineRule="auto"/>
        <w:ind w:right="51" w:firstLine="720"/>
        <w:rPr>
          <w:rFonts w:ascii="Bookman Old Style" w:hAnsi="Bookman Old Style" w:cs="Times New Roman"/>
          <w:lang w:val="es-CO"/>
        </w:rPr>
      </w:pPr>
      <w:r w:rsidRPr="00704864">
        <w:rPr>
          <w:rFonts w:ascii="Bookman Old Style" w:hAnsi="Bookman Old Style" w:cs="Times New Roman"/>
          <w:lang w:val="es-CO"/>
        </w:rPr>
        <w:t xml:space="preserve">La evaluación aporta información suficiente para la toma de decisiones en los órdenes de la promoción (reconocimiento) o punición (castigo); determina la ubicación de los docentes en estado de aprobación (si se obtiene la categoría de </w:t>
      </w:r>
      <w:r w:rsidRPr="00704864">
        <w:rPr>
          <w:rFonts w:ascii="Bookman Old Style" w:hAnsi="Bookman Old Style" w:cs="Times New Roman"/>
          <w:lang w:val="es-CO"/>
        </w:rPr>
        <w:lastRenderedPageBreak/>
        <w:t xml:space="preserve">aceptable); o, en “periodo de prueba” (si se obtiene deficiente). En este último caso, el docente “deberá tomar cursos de capacitación y actualización con el fin de corregir las deficiencias que haya arrojado el proceso de evaluación”. Al cabo del periodo de prueba se debe obtener una cualificación aceptable, de lo contrario, el docente es removido del servicio mediante Resolución Motivada (Art. 65). </w:t>
      </w:r>
    </w:p>
    <w:p w14:paraId="3DA5EFC4" w14:textId="77777777" w:rsidR="0038735E" w:rsidRPr="00704864" w:rsidRDefault="0038735E" w:rsidP="0038735E">
      <w:pPr>
        <w:spacing w:before="120" w:after="120" w:line="360" w:lineRule="auto"/>
        <w:ind w:right="51" w:firstLine="720"/>
        <w:rPr>
          <w:rFonts w:ascii="Bookman Old Style" w:hAnsi="Bookman Old Style" w:cs="Times New Roman"/>
          <w:lang w:val="es-CO"/>
        </w:rPr>
      </w:pPr>
      <w:r w:rsidRPr="00704864">
        <w:rPr>
          <w:rFonts w:ascii="Bookman Old Style" w:hAnsi="Bookman Old Style" w:cs="Times New Roman"/>
          <w:lang w:val="es-CO"/>
        </w:rPr>
        <w:t xml:space="preserve">El Estatuto en análisis, contempla también la Metaevaluación, por cuanto deja abierta las posibilidades para los recursos facultados en derecho, (Art. 66): </w:t>
      </w:r>
    </w:p>
    <w:p w14:paraId="21EC19D5" w14:textId="77777777" w:rsidR="0038735E" w:rsidRPr="00870271" w:rsidRDefault="0038735E" w:rsidP="00870271">
      <w:pPr>
        <w:tabs>
          <w:tab w:val="left" w:pos="7655"/>
        </w:tabs>
        <w:spacing w:before="120" w:after="120"/>
        <w:ind w:left="2268" w:right="-1"/>
        <w:rPr>
          <w:rFonts w:ascii="Bookman Old Style" w:hAnsi="Bookman Old Style" w:cs="Times New Roman"/>
          <w:sz w:val="20"/>
          <w:szCs w:val="20"/>
          <w:lang w:val="es-CO"/>
        </w:rPr>
      </w:pPr>
      <w:r w:rsidRPr="00870271">
        <w:rPr>
          <w:rFonts w:ascii="Bookman Old Style" w:hAnsi="Bookman Old Style" w:cs="Times New Roman"/>
          <w:sz w:val="20"/>
          <w:szCs w:val="20"/>
          <w:lang w:val="es-CO"/>
        </w:rPr>
        <w:t>Ante los resultados del proceso de Evaluación Docente, el profesor podrá interponer recursos de reposición ante el Comité de Evaluación Docente de la Facultad y en subsidio de apelación ante el Consejo de la respectiva Facultad. En caso de encontrar méritos, éste puede ordenar la revisión de la evaluación y decide en última instancia en los términos de ley.</w:t>
      </w:r>
    </w:p>
    <w:p w14:paraId="79A7BBDE" w14:textId="40B20C67" w:rsidR="0038735E" w:rsidRPr="00704864" w:rsidRDefault="0038735E" w:rsidP="0038735E">
      <w:pPr>
        <w:spacing w:before="120" w:after="120" w:line="360" w:lineRule="auto"/>
        <w:ind w:right="51" w:firstLine="720"/>
        <w:rPr>
          <w:rFonts w:ascii="Bookman Old Style" w:hAnsi="Bookman Old Style" w:cs="Times New Roman"/>
          <w:lang w:val="es-CO"/>
        </w:rPr>
      </w:pPr>
      <w:r w:rsidRPr="00704864">
        <w:rPr>
          <w:rFonts w:ascii="Bookman Old Style" w:hAnsi="Bookman Old Style" w:cs="Times New Roman"/>
          <w:lang w:val="es-CO"/>
        </w:rPr>
        <w:t>La norma, en consonancia con el señalado Decreto 1279 de 2002, instaura un “sistema de evaluación periódica de productividad” que se ordena a “bonificar las actividades de docencia, investigación y extensión y, en particular, para estimular la participación de los docentes en las diferentes modalidades de la actividad docente” (Art. 70). El reconocimiento de los puntos salariales por producción académica, según la evaluación efectuada por los pares externos, es responsabilidad del Comité de Personal Docente y Asignación de Puntaje (Art. 72).</w:t>
      </w:r>
    </w:p>
    <w:p w14:paraId="32DF3C65" w14:textId="57B738AF" w:rsidR="0038735E" w:rsidRPr="00704864" w:rsidRDefault="0038735E" w:rsidP="0038735E">
      <w:pPr>
        <w:spacing w:before="120" w:after="120" w:line="360" w:lineRule="auto"/>
        <w:ind w:right="51" w:firstLine="720"/>
        <w:rPr>
          <w:rFonts w:ascii="Bookman Old Style" w:hAnsi="Bookman Old Style" w:cs="Times New Roman"/>
          <w:lang w:val="es-CO"/>
        </w:rPr>
      </w:pPr>
      <w:r w:rsidRPr="00704864">
        <w:rPr>
          <w:rFonts w:ascii="Bookman Old Style" w:hAnsi="Bookman Old Style" w:cs="Times New Roman"/>
          <w:lang w:val="es-CO"/>
        </w:rPr>
        <w:t xml:space="preserve">Adicional al reconocimiento de la excelencia académica, los procedimientos evaluativos arrojan información conducente al establecimiento de diversas distinciones académicas, así: Docente investigador, Docente emérito, Docente honorario, Maestro universitario (Art. 75-79), teniendo en consideración el tiempo de permanencia y servicio en la institución y de aportes al conocimiento. El procedimiento a través del cual se conceden estos estímulos, constituye, a todas luces una práctica evaluativa, toda vez que “El Consejo Superior Universitario, a propuesta del rector y previo concepto favorable del Consejo Académico, otorga las distinciones”; que son entregadas en sesiones solemnes especiales. Como la titulación al término de un </w:t>
      </w:r>
      <w:r w:rsidRPr="00704864">
        <w:rPr>
          <w:rFonts w:ascii="Bookman Old Style" w:hAnsi="Bookman Old Style" w:cs="Times New Roman"/>
          <w:i/>
          <w:lang w:val="es-CO"/>
        </w:rPr>
        <w:t>curriculum</w:t>
      </w:r>
      <w:r w:rsidRPr="00704864">
        <w:rPr>
          <w:rFonts w:ascii="Bookman Old Style" w:hAnsi="Bookman Old Style" w:cs="Times New Roman"/>
          <w:lang w:val="es-CO"/>
        </w:rPr>
        <w:t xml:space="preserve"> (carrera), la ceremonia de reconocimiento y la entrega de los diplomas, constituyen las más elevadas formas de valoración</w:t>
      </w:r>
      <w:r w:rsidR="0020798C">
        <w:rPr>
          <w:rFonts w:ascii="Bookman Old Style" w:hAnsi="Bookman Old Style" w:cs="Times New Roman"/>
          <w:lang w:val="es-CO"/>
        </w:rPr>
        <w:t xml:space="preserve">, </w:t>
      </w:r>
      <w:r w:rsidRPr="00704864">
        <w:rPr>
          <w:rFonts w:ascii="Bookman Old Style" w:hAnsi="Bookman Old Style" w:cs="Times New Roman"/>
          <w:lang w:val="es-CO"/>
        </w:rPr>
        <w:t>como exaltación y reconocimiento de méritos por la labor cumplida.</w:t>
      </w:r>
    </w:p>
    <w:p w14:paraId="391CB533" w14:textId="77777777" w:rsidR="0038735E" w:rsidRPr="00704864" w:rsidRDefault="0038735E" w:rsidP="0038735E">
      <w:pPr>
        <w:spacing w:before="120" w:after="120" w:line="360" w:lineRule="auto"/>
        <w:ind w:right="49" w:firstLine="720"/>
        <w:rPr>
          <w:rFonts w:ascii="Bookman Old Style" w:hAnsi="Bookman Old Style" w:cs="Times New Roman"/>
          <w:lang w:val="es-CO"/>
        </w:rPr>
      </w:pPr>
      <w:r w:rsidRPr="00704864">
        <w:rPr>
          <w:rFonts w:ascii="Bookman Old Style" w:hAnsi="Bookman Old Style" w:cs="Times New Roman"/>
          <w:lang w:val="es-CO"/>
        </w:rPr>
        <w:lastRenderedPageBreak/>
        <w:t>En materia de evaluación, finalmente, el Estatuto Docente afirma que la Institución fomenta programas de formación (permanente y avanzada) que contribuyen al reconocimiento del mérito de los docentes: “Al efecto otorga comisiones, becas y otros incentivos” (Art. 82). De igual manera, los docentes de carrera –de tiempo completo– tienen la posibilidad de gozar “cada siete (7) años, de un año remunerado que se denomina año sabático” (Art. 83). Una evaluación de excelencia académica es factor determinante para el logro de estos beneficios.</w:t>
      </w:r>
    </w:p>
    <w:p w14:paraId="1D603C72" w14:textId="77777777" w:rsidR="0038735E" w:rsidRPr="00704864" w:rsidRDefault="0038735E" w:rsidP="00701284">
      <w:pPr>
        <w:pStyle w:val="Textoindependiente"/>
        <w:spacing w:line="360" w:lineRule="auto"/>
        <w:ind w:firstLine="720"/>
        <w:rPr>
          <w:rFonts w:ascii="Bookman Old Style" w:hAnsi="Bookman Old Style"/>
          <w:lang w:val="es-CO"/>
        </w:rPr>
      </w:pPr>
      <w:r w:rsidRPr="00704864">
        <w:rPr>
          <w:rFonts w:ascii="Bookman Old Style" w:hAnsi="Bookman Old Style"/>
          <w:lang w:val="es-CO"/>
        </w:rPr>
        <w:t xml:space="preserve">Para ir cerrando este acápite, quiero referirme a modo de mención solamente –en perspectiva de dejar abierta la posibilidad a próximos análisis– a otra normativa institucional </w:t>
      </w:r>
      <w:r w:rsidRPr="00704864">
        <w:rPr>
          <w:rFonts w:ascii="Bookman Old Style" w:hAnsi="Bookman Old Style"/>
          <w:lang w:val="es-CO"/>
        </w:rPr>
        <w:fldChar w:fldCharType="begin" w:fldLock="1"/>
      </w:r>
      <w:r w:rsidRPr="00704864">
        <w:rPr>
          <w:rFonts w:ascii="Bookman Old Style" w:hAnsi="Bookman Old Style"/>
          <w:lang w:val="es-CO"/>
        </w:rPr>
        <w:instrText>ADDIN CSL_CITATION {"citationItems":[{"id":"ITEM-1","itemData":{"URL":"http://sgral.udistrital.edu.co/xdata/csu/acu_2007-005.pdf","accessed":{"date-parts":[["2017","8","21"]]},"author":[{"dropping-particle":"","family":"Universidad Distrital Francisco José de Caldas. Consejo Superior Unoversitario","given":"","non-dropping-particle":"","parse-names":false,"suffix":""}],"id":"ITEM-1","issued":{"date-parts":[["2007"]]},"title":"Acuerdo 005 de 2007. Por el cual se expide el Reglamento de Concursos Públicos de Méritos para la provisión de cargos en la Planta de Personal Docente de la Universidad Distrital Francisco José de Caldas","type":"webpage"},"uris":["http://www.mendeley.com/documents/?uuid=5e777dc7-b5cb-3c35-be2c-9ecaf035aff0"]}],"mendeley":{"formattedCitation":"(Universidad Distrital Francisco José de Caldas. Consejo Superior Unoversitario, 2007)","plainTextFormattedCitation":"(Universidad Distrital Francisco José de Caldas. Consejo Superior Unoversitario, 2007)","previouslyFormattedCitation":"(Universidad Distrital Francisco José de Caldas. Consejo Superior Unoversitario, 2007)"},"properties":{"noteIndex":0},"schema":"https://github.com/citation-style-language/schema/raw/master/csl-citation.json"}</w:instrText>
      </w:r>
      <w:r w:rsidRPr="00704864">
        <w:rPr>
          <w:rFonts w:ascii="Bookman Old Style" w:hAnsi="Bookman Old Style"/>
          <w:lang w:val="es-CO"/>
        </w:rPr>
        <w:fldChar w:fldCharType="separate"/>
      </w:r>
      <w:r w:rsidRPr="00704864">
        <w:rPr>
          <w:rFonts w:ascii="Bookman Old Style" w:hAnsi="Bookman Old Style"/>
          <w:noProof/>
          <w:lang w:val="es-CO"/>
        </w:rPr>
        <w:t>(Universidad Distrital Francisco José de Caldas. Consejo Superior Unoversitario, 2007)</w:t>
      </w:r>
      <w:r w:rsidRPr="00704864">
        <w:rPr>
          <w:rFonts w:ascii="Bookman Old Style" w:hAnsi="Bookman Old Style"/>
          <w:lang w:val="es-CO"/>
        </w:rPr>
        <w:fldChar w:fldCharType="end"/>
      </w:r>
      <w:r w:rsidRPr="00704864">
        <w:rPr>
          <w:rFonts w:ascii="Bookman Old Style" w:hAnsi="Bookman Old Style"/>
          <w:lang w:val="es-CO"/>
        </w:rPr>
        <w:t xml:space="preserve"> que devela un significativo conjunto de prácticas evaluativas (vigilancia, agenciamiento, gestión, control) que se operan sobre el ejercicio docente, o sobre las condiciones para su posibilidad; se trata del “Reglamento de Concurso Público de Méritos para la provisión de cargos en la Planta de Personal Docente”.</w:t>
      </w:r>
    </w:p>
    <w:p w14:paraId="0FFBAFDE" w14:textId="77777777" w:rsidR="0038735E" w:rsidRPr="00704864" w:rsidRDefault="0038735E" w:rsidP="00701284">
      <w:pPr>
        <w:pStyle w:val="Textoindependiente"/>
        <w:spacing w:line="360" w:lineRule="auto"/>
        <w:ind w:firstLine="720"/>
        <w:rPr>
          <w:rFonts w:ascii="Bookman Old Style" w:hAnsi="Bookman Old Style"/>
          <w:lang w:val="es-CO"/>
        </w:rPr>
      </w:pPr>
      <w:r w:rsidRPr="00704864">
        <w:rPr>
          <w:rFonts w:ascii="Bookman Old Style" w:hAnsi="Bookman Old Style"/>
          <w:lang w:val="es-CO"/>
        </w:rPr>
        <w:t>Esta norma describe –y prescribe– una pluralidad de procedimientos evaluativos y examinatorios (rigurosos, meticulosos, cuidadosos, finos…), para los docentes que pretenden participar del Concurso Público de Méritos en orden a vincularse a la Planta de la Universidad.</w:t>
      </w:r>
    </w:p>
    <w:p w14:paraId="459691F1" w14:textId="77777777" w:rsidR="0038735E" w:rsidRPr="00704864" w:rsidRDefault="0038735E" w:rsidP="00701284">
      <w:pPr>
        <w:pStyle w:val="Textoindependiente"/>
        <w:spacing w:line="360" w:lineRule="auto"/>
        <w:ind w:firstLine="720"/>
        <w:rPr>
          <w:rFonts w:ascii="Bookman Old Style" w:hAnsi="Bookman Old Style"/>
          <w:lang w:val="es-CO"/>
        </w:rPr>
      </w:pPr>
      <w:r w:rsidRPr="00704864">
        <w:rPr>
          <w:rFonts w:ascii="Bookman Old Style" w:hAnsi="Bookman Old Style"/>
          <w:lang w:val="es-CO"/>
        </w:rPr>
        <w:t xml:space="preserve">Como su nombre lo indica, el concurso (sus etapas, procedimientos y acciones) implica un conjunto mayúsculo de prácticas evaluativas: el objeto, la definición, la verificación de la existencia de las vacantes, la determinación de los perfiles, la publicación de las convocatorias, el registro de documentos, la determinación de las modalidades de concursos, la declaración de cumplimiento de los perfiles o de los concursos desiertos, la selección de jurados (idoneidad, funciones, inhabilidades), la determinación de factores de evaluación de los concursos (competencias profesionales y comunicativas –valoración de las pruebas oral y escrita–, hoja de vida –experiencia, títulos,  investigación o creación, publicaciones, segunda lengua–, desempeños académicos para jóvenes </w:t>
      </w:r>
      <w:r w:rsidRPr="00704864">
        <w:rPr>
          <w:rFonts w:ascii="Bookman Old Style" w:hAnsi="Bookman Old Style"/>
          <w:lang w:val="es-CO"/>
        </w:rPr>
        <w:lastRenderedPageBreak/>
        <w:t xml:space="preserve">talentos), la publicación de resultados de las pruebas, los procedimientos para el desarrollo de los concursos, la publicación de resultados finales, la atención a vías gubernativas, el nombramiento, la evaluación –periodo de prueba–, el nombramiento en propiedad, la determinación de los criterios para retiro (renuncia, declaración de insubsistencia, destitución, invalidez absoluta, nulidad del nombramiento, orden judicial o muerte del docente). </w:t>
      </w:r>
    </w:p>
    <w:p w14:paraId="3C69B087" w14:textId="77777777" w:rsidR="0038735E" w:rsidRPr="00704864" w:rsidRDefault="0038735E" w:rsidP="00701284">
      <w:pPr>
        <w:pStyle w:val="Textoindependiente"/>
        <w:spacing w:line="360" w:lineRule="auto"/>
        <w:ind w:firstLine="720"/>
        <w:rPr>
          <w:rFonts w:ascii="Bookman Old Style" w:hAnsi="Bookman Old Style"/>
          <w:lang w:val="es-CO"/>
        </w:rPr>
      </w:pPr>
      <w:r w:rsidRPr="00704864">
        <w:rPr>
          <w:rFonts w:ascii="Bookman Old Style" w:hAnsi="Bookman Old Style"/>
          <w:lang w:val="es-CO"/>
        </w:rPr>
        <w:t>Todo lo descrito me permite colegir que, desde el inicio hasta el fin de la vida, toda la existencia de los seres humanos, se halla atada a múltiples valoraciones, valoraciones que se multiplican de mil modos si esa vida se ocupa del ejercicio de la docencia en cualquiera de los órdenes o niveles de la educación.</w:t>
      </w:r>
    </w:p>
    <w:p w14:paraId="3DA60D0D" w14:textId="77777777" w:rsidR="0038735E" w:rsidRPr="00704864" w:rsidRDefault="0038735E" w:rsidP="0038735E">
      <w:pPr>
        <w:pStyle w:val="Textoindependiente"/>
        <w:rPr>
          <w:rFonts w:ascii="Bookman Old Style" w:hAnsi="Bookman Old Style"/>
          <w:lang w:val="es-CO"/>
        </w:rPr>
      </w:pPr>
    </w:p>
    <w:p w14:paraId="264F75AE" w14:textId="77777777" w:rsidR="0038735E" w:rsidRPr="0038735E" w:rsidRDefault="0038735E" w:rsidP="0038735E">
      <w:pPr>
        <w:spacing w:before="120" w:after="120" w:line="360" w:lineRule="auto"/>
        <w:rPr>
          <w:rFonts w:ascii="Bookman Old Style" w:hAnsi="Bookman Old Style"/>
          <w:b/>
          <w:color w:val="7030A0"/>
          <w:sz w:val="28"/>
          <w:szCs w:val="28"/>
          <w:lang w:val="es-CO"/>
        </w:rPr>
      </w:pPr>
      <w:r w:rsidRPr="0038735E">
        <w:rPr>
          <w:rFonts w:ascii="Bookman Old Style" w:hAnsi="Bookman Old Style"/>
          <w:b/>
          <w:color w:val="7030A0"/>
          <w:sz w:val="28"/>
          <w:szCs w:val="28"/>
          <w:lang w:val="es-CO"/>
        </w:rPr>
        <w:t>3. A modo de colofón</w:t>
      </w:r>
    </w:p>
    <w:p w14:paraId="51625267" w14:textId="77777777" w:rsidR="0038735E" w:rsidRPr="00704864" w:rsidRDefault="0038735E" w:rsidP="0038735E">
      <w:pPr>
        <w:pStyle w:val="Textoindependiente"/>
        <w:rPr>
          <w:rFonts w:ascii="Bookman Old Style" w:hAnsi="Bookman Old Style"/>
          <w:lang w:val="es-CO"/>
        </w:rPr>
      </w:pPr>
    </w:p>
    <w:p w14:paraId="44000A1E" w14:textId="77777777" w:rsidR="0038735E" w:rsidRPr="00704864" w:rsidRDefault="0038735E" w:rsidP="00701284">
      <w:pPr>
        <w:pStyle w:val="Textoindependiente"/>
        <w:spacing w:line="360" w:lineRule="auto"/>
        <w:rPr>
          <w:rFonts w:ascii="Bookman Old Style" w:hAnsi="Bookman Old Style"/>
          <w:lang w:val="es-CO"/>
        </w:rPr>
      </w:pPr>
      <w:r w:rsidRPr="00704864">
        <w:rPr>
          <w:rFonts w:ascii="Bookman Old Style" w:hAnsi="Bookman Old Style"/>
          <w:lang w:val="es-CO"/>
        </w:rPr>
        <w:t xml:space="preserve">La evaluación se ha instalado de manera prodigiosa en la acción educativa y, en ella, opera de mil modos sobre la labor docente. Un análisis operado sobre diversas piezas documentales que prescriben normativas acerca de la evaluación docente muestra como ésta se ha convertido en una red casi infinita que, a través de diversos procedimientos de regulación, de vigilancia, de disciplina…, controla absolutamente todo el quehacer docente, en todo momento, en todo lugar, en todos los ámbitos. </w:t>
      </w:r>
    </w:p>
    <w:p w14:paraId="5090EC6D" w14:textId="71DCC30F" w:rsidR="0038735E" w:rsidRPr="00704864" w:rsidRDefault="0038735E" w:rsidP="00701284">
      <w:pPr>
        <w:pStyle w:val="Textoindependiente"/>
        <w:spacing w:line="360" w:lineRule="auto"/>
        <w:ind w:firstLine="720"/>
        <w:rPr>
          <w:rFonts w:ascii="Bookman Old Style" w:hAnsi="Bookman Old Style"/>
          <w:lang w:val="es-CO"/>
        </w:rPr>
      </w:pPr>
      <w:r w:rsidRPr="00704864">
        <w:rPr>
          <w:rFonts w:ascii="Bookman Old Style" w:hAnsi="Bookman Old Style"/>
          <w:lang w:val="es-CO"/>
        </w:rPr>
        <w:t xml:space="preserve">Sostengo que la evaluación se ha convertido en una pieza connatural a la labor docente –y dicente– podría decir, glosando a García Márquez, que los seres humanos, pero más los docentes, son evaluados “desde la cuna hasta la tumba” </w:t>
      </w:r>
      <w:r w:rsidRPr="00704864">
        <w:rPr>
          <w:rFonts w:ascii="Bookman Old Style" w:hAnsi="Bookman Old Style"/>
          <w:lang w:val="es-CO"/>
        </w:rPr>
        <w:fldChar w:fldCharType="begin" w:fldLock="1"/>
      </w:r>
      <w:r w:rsidRPr="00704864">
        <w:rPr>
          <w:rFonts w:ascii="Bookman Old Style" w:hAnsi="Bookman Old Style"/>
          <w:lang w:val="es-CO"/>
        </w:rPr>
        <w:instrText>ADDIN CSL_CITATION {"citationItems":[{"id":"ITEM-1","itemData":{"author":[{"dropping-particle":"","family":"García Márquez","given":"G.","non-dropping-particle":"","parse-names":false,"suffix":""}],"container-title":"El Espectador. Sección General","id":"ITEM-1","issued":{"date-parts":[["1994"]]},"page":"12-A","publisher-place":"Bogotá","title":"Por un país al alcance de los niños","type":"article-newspaper"},"uris":["http://www.mendeley.com/documents/?uuid=7453a125-a215-4a0d-97e2-cfc5e12103a7"]}],"mendeley":{"formattedCitation":"(García Márquez, 1994)","plainTextFormattedCitation":"(García Márquez, 1994)","previouslyFormattedCitation":"(García Márquez, 1994)"},"properties":{"noteIndex":0},"schema":"https://github.com/citation-style-language/schema/raw/master/csl-citation.json"}</w:instrText>
      </w:r>
      <w:r w:rsidRPr="00704864">
        <w:rPr>
          <w:rFonts w:ascii="Bookman Old Style" w:hAnsi="Bookman Old Style"/>
          <w:lang w:val="es-CO"/>
        </w:rPr>
        <w:fldChar w:fldCharType="separate"/>
      </w:r>
      <w:r w:rsidRPr="00704864">
        <w:rPr>
          <w:rFonts w:ascii="Bookman Old Style" w:hAnsi="Bookman Old Style"/>
          <w:noProof/>
          <w:lang w:val="es-CO"/>
        </w:rPr>
        <w:t>(García Márquez, 1994)</w:t>
      </w:r>
      <w:r w:rsidRPr="00704864">
        <w:rPr>
          <w:rFonts w:ascii="Bookman Old Style" w:hAnsi="Bookman Old Style"/>
          <w:lang w:val="es-CO"/>
        </w:rPr>
        <w:fldChar w:fldCharType="end"/>
      </w:r>
      <w:r w:rsidRPr="00704864">
        <w:rPr>
          <w:rFonts w:ascii="Bookman Old Style" w:hAnsi="Bookman Old Style"/>
          <w:lang w:val="es-CO"/>
        </w:rPr>
        <w:t>. El ingreso a una institución, su permanencia, su egreso; primeo como dicentes, luego como docentes, está cifrado por un incontable número de prácticas evaluativas, que de múltiples maneras logran conducirle a la promoción, al reconocimiento, a la valoración o, a la exclusión. La evaluación se ha convertido, en el juez natural, ineludible, necesario del desempeño docente.</w:t>
      </w:r>
    </w:p>
    <w:p w14:paraId="62CAEF08" w14:textId="77777777" w:rsidR="0038735E" w:rsidRPr="00704864" w:rsidRDefault="0038735E" w:rsidP="0038735E">
      <w:pPr>
        <w:spacing w:before="120" w:after="120" w:line="360" w:lineRule="auto"/>
        <w:ind w:firstLine="720"/>
        <w:rPr>
          <w:rFonts w:ascii="Bookman Old Style" w:hAnsi="Bookman Old Style" w:cs="Times New Roman"/>
          <w:lang w:val="es-CO"/>
        </w:rPr>
      </w:pPr>
      <w:r w:rsidRPr="00704864">
        <w:rPr>
          <w:rFonts w:ascii="Bookman Old Style" w:hAnsi="Bookman Old Style" w:cs="Times New Roman"/>
          <w:lang w:val="es-CO"/>
        </w:rPr>
        <w:lastRenderedPageBreak/>
        <w:t>Al docente y/o al directivo docente se le evalúa todo y por todo (lo que hace y lo que deja de hacer); en todo lugar (dentro y fuera de la escuela); en todo tiempo (cada periodo académico, cada semestre, cada año, permanente, continuamente); de múltiples maneras (a través de diferentes formatos e instrumentos); es evaluado por todos (jefes, directivos, administrativos, colegas, estudiantes, padres de familia, autoridades educativas…). Sobre ellos, los docentes, se cifra –de mil modos– la evaluación, a la manera de un panóptico generalizado que todo lo vigila, que todo lo controla, que todo lo somete.</w:t>
      </w:r>
    </w:p>
    <w:p w14:paraId="1E40F327" w14:textId="77777777" w:rsidR="0038735E" w:rsidRPr="00704864" w:rsidRDefault="0038735E" w:rsidP="0038735E">
      <w:pPr>
        <w:spacing w:before="120" w:after="120" w:line="360" w:lineRule="auto"/>
        <w:ind w:right="51" w:firstLine="720"/>
        <w:rPr>
          <w:rFonts w:ascii="Bookman Old Style" w:hAnsi="Bookman Old Style" w:cs="Times New Roman"/>
          <w:lang w:val="es-CO"/>
        </w:rPr>
      </w:pPr>
      <w:r w:rsidRPr="00704864">
        <w:rPr>
          <w:rFonts w:ascii="Bookman Old Style" w:hAnsi="Bookman Old Style" w:cs="Times New Roman"/>
          <w:lang w:val="es-CO"/>
        </w:rPr>
        <w:t>Con independencia del nivel, forma, modalidad o instancia educativa en el que se desempeñe el docente, las prácticas evaluativas recaen sobre la totalidad de sus acciones: dominio de estrategias y habilidades pedagógicas y de evaluación; manejo de la didáctica propia del área o nivel educativo de desempeño; habilidades en resolución de problemas; nivel de conocimiento y habilidades relacionadas con el plan de estudios de la institución; actitudes generales hacia los alumnos; manejo de las relaciones del grupo; trato y manejo de la disciplina de los alumnos; sentido de compromiso institucional; preocupación permanente por el mejoramiento de la calidad de la educación; logro de resultados; práctica docente; actitudes frente a la actividad docente; compromisos institucionales; conocimientos; investigación y extensión; capacitación y publicaciones; preparación de actividades; dirección de actividades de los alumnos en clase; evaluación de las asignaturas que orienta; motivación hacia el conocimiento; relaciones interpersonales; cumplimiento de las actividades docentes; conocimientos sobre las asignaturas que se enseñan; conocimientos pedagógicos o didácticos de las asignaturas; formulación y desarrollo de proyectos de investigación y/o extensión; creación de escuelas de pensamiento; conformación de grupos de investigación; relación docencia-investigación; impacto de proyectos de investigación y/o extensión; cumplimiento de funciones académico administrativas; desarrollo de actividades de publicación y capacitación.</w:t>
      </w:r>
    </w:p>
    <w:p w14:paraId="37B25E85" w14:textId="122218BF" w:rsidR="0038735E" w:rsidRDefault="0038735E" w:rsidP="00701284">
      <w:pPr>
        <w:spacing w:before="120" w:after="120" w:line="360" w:lineRule="auto"/>
        <w:ind w:right="51" w:firstLine="720"/>
        <w:rPr>
          <w:rFonts w:ascii="Bookman Old Style" w:hAnsi="Bookman Old Style" w:cs="Times New Roman"/>
          <w:lang w:val="es-CO"/>
        </w:rPr>
      </w:pPr>
      <w:r w:rsidRPr="00704864">
        <w:rPr>
          <w:rFonts w:ascii="Bookman Old Style" w:hAnsi="Bookman Old Style" w:cs="Times New Roman"/>
          <w:lang w:val="es-CO"/>
        </w:rPr>
        <w:lastRenderedPageBreak/>
        <w:t>En todas esas instancias, en fin, la evaluación opera como mecanismo de control, incluso, como dispositivo de producción no solo de sujetos, sino también de objetos, de instituciones, de programas, de procesos. La evaluación, en las actuales las sociedades de control, se ha convertido en el nuevo emperador de los sujetos, de los objetos, de las palabras, de las cosas.</w:t>
      </w:r>
    </w:p>
    <w:p w14:paraId="50E0F6D9" w14:textId="77777777" w:rsidR="0038735E" w:rsidRPr="00704864" w:rsidRDefault="0038735E" w:rsidP="0038735E">
      <w:pPr>
        <w:spacing w:before="120" w:after="120" w:line="360" w:lineRule="auto"/>
        <w:rPr>
          <w:rFonts w:ascii="Bookman Old Style" w:hAnsi="Bookman Old Style" w:cs="Times New Roman"/>
          <w:lang w:val="es-CO"/>
        </w:rPr>
      </w:pPr>
    </w:p>
    <w:p w14:paraId="616AB733" w14:textId="77777777" w:rsidR="0038735E" w:rsidRPr="0038735E" w:rsidRDefault="0038735E" w:rsidP="0038735E">
      <w:pPr>
        <w:spacing w:before="120" w:after="120" w:line="360" w:lineRule="auto"/>
        <w:rPr>
          <w:rFonts w:ascii="Bookman Old Style" w:hAnsi="Bookman Old Style"/>
          <w:b/>
          <w:color w:val="7030A0"/>
          <w:sz w:val="28"/>
          <w:szCs w:val="28"/>
          <w:lang w:val="es-CO"/>
        </w:rPr>
      </w:pPr>
      <w:r w:rsidRPr="0038735E">
        <w:rPr>
          <w:rFonts w:ascii="Bookman Old Style" w:hAnsi="Bookman Old Style"/>
          <w:b/>
          <w:color w:val="7030A0"/>
          <w:sz w:val="28"/>
          <w:szCs w:val="28"/>
          <w:lang w:val="es-CO"/>
        </w:rPr>
        <w:t>4. Referencias</w:t>
      </w:r>
    </w:p>
    <w:p w14:paraId="56030D99" w14:textId="77777777" w:rsidR="0038735E" w:rsidRPr="00704864" w:rsidRDefault="0038735E" w:rsidP="0038735E">
      <w:pPr>
        <w:spacing w:before="120" w:after="120" w:line="360" w:lineRule="auto"/>
        <w:rPr>
          <w:rFonts w:ascii="Bookman Old Style" w:hAnsi="Bookman Old Style" w:cs="Times New Roman"/>
          <w:b/>
          <w:lang w:val="es-CO"/>
        </w:rPr>
      </w:pPr>
    </w:p>
    <w:p w14:paraId="4E2D79E7" w14:textId="77777777" w:rsidR="0038735E" w:rsidRPr="00704864" w:rsidRDefault="0038735E" w:rsidP="0038735E">
      <w:pPr>
        <w:widowControl w:val="0"/>
        <w:autoSpaceDE w:val="0"/>
        <w:autoSpaceDN w:val="0"/>
        <w:adjustRightInd w:val="0"/>
        <w:spacing w:before="120" w:after="120" w:line="360" w:lineRule="auto"/>
        <w:ind w:left="480" w:hanging="480"/>
        <w:rPr>
          <w:rFonts w:ascii="Bookman Old Style" w:hAnsi="Bookman Old Style" w:cs="Times New Roman"/>
          <w:noProof/>
          <w:lang w:val="es-CO"/>
        </w:rPr>
      </w:pPr>
      <w:r w:rsidRPr="00704864">
        <w:rPr>
          <w:rFonts w:ascii="Bookman Old Style" w:hAnsi="Bookman Old Style" w:cs="Times New Roman"/>
          <w:b/>
          <w:lang w:val="es-CO"/>
        </w:rPr>
        <w:fldChar w:fldCharType="begin" w:fldLock="1"/>
      </w:r>
      <w:r w:rsidRPr="00704864">
        <w:rPr>
          <w:rFonts w:ascii="Bookman Old Style" w:hAnsi="Bookman Old Style" w:cs="Times New Roman"/>
          <w:b/>
          <w:lang w:val="es-CO"/>
        </w:rPr>
        <w:instrText xml:space="preserve">ADDIN Mendeley Bibliography CSL_BIBLIOGRAPHY </w:instrText>
      </w:r>
      <w:r w:rsidRPr="00704864">
        <w:rPr>
          <w:rFonts w:ascii="Bookman Old Style" w:hAnsi="Bookman Old Style" w:cs="Times New Roman"/>
          <w:b/>
          <w:lang w:val="es-CO"/>
        </w:rPr>
        <w:fldChar w:fldCharType="separate"/>
      </w:r>
      <w:r w:rsidRPr="00704864">
        <w:rPr>
          <w:rFonts w:ascii="Bookman Old Style" w:hAnsi="Bookman Old Style" w:cs="Times New Roman"/>
          <w:noProof/>
          <w:lang w:val="es-CO"/>
        </w:rPr>
        <w:t xml:space="preserve">Albano, S. (2006). </w:t>
      </w:r>
      <w:r w:rsidRPr="00704864">
        <w:rPr>
          <w:rFonts w:ascii="Bookman Old Style" w:hAnsi="Bookman Old Style" w:cs="Times New Roman"/>
          <w:i/>
          <w:iCs/>
          <w:noProof/>
          <w:lang w:val="es-CO"/>
        </w:rPr>
        <w:t>Michel Foucault. Glosario epistemológico</w:t>
      </w:r>
      <w:r w:rsidRPr="00704864">
        <w:rPr>
          <w:rFonts w:ascii="Bookman Old Style" w:hAnsi="Bookman Old Style" w:cs="Times New Roman"/>
          <w:noProof/>
          <w:lang w:val="es-CO"/>
        </w:rPr>
        <w:t>. Buenos Aires: Quadrata.</w:t>
      </w:r>
    </w:p>
    <w:p w14:paraId="41AA6C28" w14:textId="77777777" w:rsidR="0038735E" w:rsidRPr="00704864" w:rsidRDefault="0038735E" w:rsidP="0038735E">
      <w:pPr>
        <w:widowControl w:val="0"/>
        <w:autoSpaceDE w:val="0"/>
        <w:autoSpaceDN w:val="0"/>
        <w:adjustRightInd w:val="0"/>
        <w:spacing w:before="120" w:after="120" w:line="360" w:lineRule="auto"/>
        <w:ind w:left="480" w:hanging="480"/>
        <w:rPr>
          <w:rFonts w:ascii="Bookman Old Style" w:hAnsi="Bookman Old Style" w:cs="Times New Roman"/>
          <w:noProof/>
          <w:lang w:val="es-CO"/>
        </w:rPr>
      </w:pPr>
      <w:r w:rsidRPr="00704864">
        <w:rPr>
          <w:rFonts w:ascii="Bookman Old Style" w:hAnsi="Bookman Old Style" w:cs="Times New Roman"/>
          <w:noProof/>
          <w:lang w:val="es-CO"/>
        </w:rPr>
        <w:t xml:space="preserve">Castro, E. (2004). </w:t>
      </w:r>
      <w:r w:rsidRPr="00704864">
        <w:rPr>
          <w:rFonts w:ascii="Bookman Old Style" w:hAnsi="Bookman Old Style" w:cs="Times New Roman"/>
          <w:i/>
          <w:iCs/>
          <w:noProof/>
          <w:lang w:val="es-CO"/>
        </w:rPr>
        <w:t>El vocabulario de Michel Foucault</w:t>
      </w:r>
      <w:r w:rsidRPr="00704864">
        <w:rPr>
          <w:rFonts w:ascii="Bookman Old Style" w:hAnsi="Bookman Old Style" w:cs="Times New Roman"/>
          <w:noProof/>
          <w:lang w:val="es-CO"/>
        </w:rPr>
        <w:t>. Buenos Aires: Prometeo-Universidad Nacional de Quilmas.</w:t>
      </w:r>
    </w:p>
    <w:p w14:paraId="4204212F" w14:textId="77777777" w:rsidR="0038735E" w:rsidRPr="00704864" w:rsidRDefault="0038735E" w:rsidP="0038735E">
      <w:pPr>
        <w:widowControl w:val="0"/>
        <w:autoSpaceDE w:val="0"/>
        <w:autoSpaceDN w:val="0"/>
        <w:adjustRightInd w:val="0"/>
        <w:spacing w:before="120" w:after="120" w:line="360" w:lineRule="auto"/>
        <w:ind w:left="480" w:hanging="480"/>
        <w:rPr>
          <w:rFonts w:ascii="Bookman Old Style" w:hAnsi="Bookman Old Style" w:cs="Times New Roman"/>
          <w:noProof/>
          <w:lang w:val="es-CO"/>
        </w:rPr>
      </w:pPr>
      <w:r w:rsidRPr="00704864">
        <w:rPr>
          <w:rFonts w:ascii="Bookman Old Style" w:hAnsi="Bookman Old Style" w:cs="Times New Roman"/>
          <w:noProof/>
          <w:lang w:val="es-CO"/>
        </w:rPr>
        <w:t>Congreso de Colombia. Ley 30 de 1992. Por el cual (sic) se organiza el servicio público de la Educación Superior (1992). Recuperado a partir de https://www.cna.gov.co/1741/articles-186370_ley_3092.pdf</w:t>
      </w:r>
    </w:p>
    <w:p w14:paraId="3379DC12" w14:textId="77777777" w:rsidR="0038735E" w:rsidRPr="00704864" w:rsidRDefault="0038735E" w:rsidP="0038735E">
      <w:pPr>
        <w:widowControl w:val="0"/>
        <w:autoSpaceDE w:val="0"/>
        <w:autoSpaceDN w:val="0"/>
        <w:adjustRightInd w:val="0"/>
        <w:spacing w:before="120" w:after="120" w:line="360" w:lineRule="auto"/>
        <w:ind w:left="480" w:hanging="480"/>
        <w:rPr>
          <w:rFonts w:ascii="Bookman Old Style" w:hAnsi="Bookman Old Style" w:cs="Times New Roman"/>
          <w:noProof/>
          <w:lang w:val="es-CO"/>
        </w:rPr>
      </w:pPr>
      <w:r w:rsidRPr="00704864">
        <w:rPr>
          <w:rFonts w:ascii="Bookman Old Style" w:hAnsi="Bookman Old Style" w:cs="Times New Roman"/>
          <w:noProof/>
          <w:lang w:val="es-CO"/>
        </w:rPr>
        <w:t>Congreso de Colombia. (1994). Ley 115 de 1994. Por la cual se expide la ley general de educación. Recuperado 21 de agosto de 2017, a partir de http://www.secretariasenado.gov.co/senado/basedoc/ley_0115_1994.html</w:t>
      </w:r>
    </w:p>
    <w:p w14:paraId="64FC69C4" w14:textId="77777777" w:rsidR="0038735E" w:rsidRPr="00704864" w:rsidRDefault="0038735E" w:rsidP="0038735E">
      <w:pPr>
        <w:widowControl w:val="0"/>
        <w:autoSpaceDE w:val="0"/>
        <w:autoSpaceDN w:val="0"/>
        <w:adjustRightInd w:val="0"/>
        <w:spacing w:before="120" w:after="120" w:line="360" w:lineRule="auto"/>
        <w:ind w:left="480" w:hanging="480"/>
        <w:rPr>
          <w:rFonts w:ascii="Bookman Old Style" w:hAnsi="Bookman Old Style" w:cs="Times New Roman"/>
          <w:noProof/>
          <w:lang w:val="es-CO"/>
        </w:rPr>
      </w:pPr>
      <w:r w:rsidRPr="00704864">
        <w:rPr>
          <w:rFonts w:ascii="Bookman Old Style" w:hAnsi="Bookman Old Style" w:cs="Times New Roman"/>
          <w:noProof/>
          <w:lang w:val="es-CO"/>
        </w:rPr>
        <w:t xml:space="preserve">Dreyfus, H. y Rabinow, P. (2001). </w:t>
      </w:r>
      <w:r w:rsidRPr="00704864">
        <w:rPr>
          <w:rFonts w:ascii="Bookman Old Style" w:hAnsi="Bookman Old Style" w:cs="Times New Roman"/>
          <w:i/>
          <w:iCs/>
          <w:noProof/>
          <w:lang w:val="es-CO"/>
        </w:rPr>
        <w:t>Michel Foucault</w:t>
      </w:r>
      <w:r w:rsidRPr="00704864">
        <w:rPr>
          <w:rFonts w:ascii="Times New Roman" w:hAnsi="Times New Roman" w:cs="Times New Roman"/>
          <w:i/>
          <w:iCs/>
          <w:noProof/>
          <w:lang w:val="es-CO"/>
        </w:rPr>
        <w:t> </w:t>
      </w:r>
      <w:r w:rsidRPr="00704864">
        <w:rPr>
          <w:rFonts w:ascii="Bookman Old Style" w:hAnsi="Bookman Old Style" w:cs="Times New Roman"/>
          <w:i/>
          <w:iCs/>
          <w:noProof/>
          <w:lang w:val="es-CO"/>
        </w:rPr>
        <w:t>: más allá del estructuralismo y la hermenéutica</w:t>
      </w:r>
      <w:r w:rsidRPr="00704864">
        <w:rPr>
          <w:rFonts w:ascii="Bookman Old Style" w:hAnsi="Bookman Old Style" w:cs="Times New Roman"/>
          <w:noProof/>
          <w:lang w:val="es-CO"/>
        </w:rPr>
        <w:t>. Buenos Aires: Nueva Visión SAIC. Recuperado a partir de https://www.casadellibro.com/libro-michel-foucault-mas-alla-del-estructuralismo-y-la-hermeneutica/9789506024338/827755</w:t>
      </w:r>
    </w:p>
    <w:p w14:paraId="42726C21" w14:textId="77777777" w:rsidR="0038735E" w:rsidRPr="00704864" w:rsidRDefault="0038735E" w:rsidP="0038735E">
      <w:pPr>
        <w:widowControl w:val="0"/>
        <w:autoSpaceDE w:val="0"/>
        <w:autoSpaceDN w:val="0"/>
        <w:adjustRightInd w:val="0"/>
        <w:spacing w:before="120" w:after="120" w:line="360" w:lineRule="auto"/>
        <w:ind w:left="480" w:hanging="480"/>
        <w:rPr>
          <w:rFonts w:ascii="Bookman Old Style" w:hAnsi="Bookman Old Style" w:cs="Times New Roman"/>
          <w:noProof/>
          <w:lang w:val="es-CO"/>
        </w:rPr>
      </w:pPr>
      <w:r w:rsidRPr="00704864">
        <w:rPr>
          <w:rFonts w:ascii="Bookman Old Style" w:hAnsi="Bookman Old Style" w:cs="Times New Roman"/>
          <w:noProof/>
          <w:lang w:val="es-CO"/>
        </w:rPr>
        <w:t xml:space="preserve">García Márquez, G. (1994). Por un país al alcance de los niños. </w:t>
      </w:r>
      <w:r w:rsidRPr="00704864">
        <w:rPr>
          <w:rFonts w:ascii="Bookman Old Style" w:hAnsi="Bookman Old Style" w:cs="Times New Roman"/>
          <w:i/>
          <w:iCs/>
          <w:noProof/>
          <w:lang w:val="es-CO"/>
        </w:rPr>
        <w:t>El Espectador. Sección General</w:t>
      </w:r>
      <w:r w:rsidRPr="00704864">
        <w:rPr>
          <w:rFonts w:ascii="Bookman Old Style" w:hAnsi="Bookman Old Style" w:cs="Times New Roman"/>
          <w:noProof/>
          <w:lang w:val="es-CO"/>
        </w:rPr>
        <w:t>, p. 12-A. Recuperado a partir de https://scp.com.co/ArchivosSCP/Por_un_pais.pdf</w:t>
      </w:r>
    </w:p>
    <w:p w14:paraId="3AAB055B" w14:textId="77777777" w:rsidR="0038735E" w:rsidRPr="00704864" w:rsidRDefault="0038735E" w:rsidP="0038735E">
      <w:pPr>
        <w:widowControl w:val="0"/>
        <w:autoSpaceDE w:val="0"/>
        <w:autoSpaceDN w:val="0"/>
        <w:adjustRightInd w:val="0"/>
        <w:spacing w:before="120" w:after="120" w:line="360" w:lineRule="auto"/>
        <w:ind w:left="480" w:hanging="480"/>
        <w:rPr>
          <w:rFonts w:ascii="Bookman Old Style" w:hAnsi="Bookman Old Style" w:cs="Times New Roman"/>
          <w:noProof/>
          <w:lang w:val="es-CO"/>
        </w:rPr>
      </w:pPr>
      <w:r w:rsidRPr="00704864">
        <w:rPr>
          <w:rFonts w:ascii="Bookman Old Style" w:hAnsi="Bookman Old Style" w:cs="Times New Roman"/>
          <w:noProof/>
          <w:lang w:val="es-CO"/>
        </w:rPr>
        <w:t xml:space="preserve">Morey, M. (1983). </w:t>
      </w:r>
      <w:r w:rsidRPr="00704864">
        <w:rPr>
          <w:rFonts w:ascii="Bookman Old Style" w:hAnsi="Bookman Old Style" w:cs="Times New Roman"/>
          <w:i/>
          <w:iCs/>
          <w:noProof/>
          <w:lang w:val="es-CO"/>
        </w:rPr>
        <w:t>Lectura de Foucault</w:t>
      </w:r>
      <w:r w:rsidRPr="00704864">
        <w:rPr>
          <w:rFonts w:ascii="Bookman Old Style" w:hAnsi="Bookman Old Style" w:cs="Times New Roman"/>
          <w:noProof/>
          <w:lang w:val="es-CO"/>
        </w:rPr>
        <w:t>. Madrid: Taurus.</w:t>
      </w:r>
    </w:p>
    <w:p w14:paraId="4DF945F4" w14:textId="77777777" w:rsidR="0038735E" w:rsidRPr="00704864" w:rsidRDefault="0038735E" w:rsidP="0038735E">
      <w:pPr>
        <w:widowControl w:val="0"/>
        <w:autoSpaceDE w:val="0"/>
        <w:autoSpaceDN w:val="0"/>
        <w:adjustRightInd w:val="0"/>
        <w:spacing w:before="120" w:after="120" w:line="360" w:lineRule="auto"/>
        <w:ind w:left="480" w:hanging="480"/>
        <w:rPr>
          <w:rFonts w:ascii="Bookman Old Style" w:hAnsi="Bookman Old Style" w:cs="Times New Roman"/>
          <w:noProof/>
          <w:lang w:val="es-CO"/>
        </w:rPr>
      </w:pPr>
      <w:r w:rsidRPr="00704864">
        <w:rPr>
          <w:rFonts w:ascii="Bookman Old Style" w:hAnsi="Bookman Old Style" w:cs="Times New Roman"/>
          <w:noProof/>
          <w:lang w:val="es-CO"/>
        </w:rPr>
        <w:lastRenderedPageBreak/>
        <w:t>Presidencia de la República. Ministerio de Educación Nacional. Decreto 1279 de 2002. Por el cual se establece el régimen salarial y prestacional de los docentes de las Universidades Estatales (2002). Colombia. Recuperado a partir de http://www.mineducacion.gov.co/1621/articles-86434_Archivo_pdf.pdf</w:t>
      </w:r>
    </w:p>
    <w:p w14:paraId="6EFD8FEF" w14:textId="77777777" w:rsidR="0038735E" w:rsidRPr="00704864" w:rsidRDefault="0038735E" w:rsidP="0038735E">
      <w:pPr>
        <w:widowControl w:val="0"/>
        <w:autoSpaceDE w:val="0"/>
        <w:autoSpaceDN w:val="0"/>
        <w:adjustRightInd w:val="0"/>
        <w:spacing w:before="120" w:after="120" w:line="360" w:lineRule="auto"/>
        <w:ind w:left="480" w:hanging="480"/>
        <w:rPr>
          <w:rFonts w:ascii="Bookman Old Style" w:hAnsi="Bookman Old Style" w:cs="Times New Roman"/>
          <w:noProof/>
          <w:lang w:val="es-CO"/>
        </w:rPr>
      </w:pPr>
      <w:r w:rsidRPr="00704864">
        <w:rPr>
          <w:rFonts w:ascii="Bookman Old Style" w:hAnsi="Bookman Old Style" w:cs="Times New Roman"/>
          <w:noProof/>
          <w:lang w:val="es-CO"/>
        </w:rPr>
        <w:t>Sánchez, T., De la Torre. O. y Mosquera, F. (2016). Propuesta de investigación. La evaluación: un proceso de formación y transformación docente. Bogotá: No publicado.</w:t>
      </w:r>
    </w:p>
    <w:p w14:paraId="1087AC0D" w14:textId="77777777" w:rsidR="0038735E" w:rsidRPr="00704864" w:rsidRDefault="0038735E" w:rsidP="0038735E">
      <w:pPr>
        <w:widowControl w:val="0"/>
        <w:autoSpaceDE w:val="0"/>
        <w:autoSpaceDN w:val="0"/>
        <w:adjustRightInd w:val="0"/>
        <w:spacing w:before="120" w:after="120" w:line="360" w:lineRule="auto"/>
        <w:ind w:left="480" w:hanging="480"/>
        <w:rPr>
          <w:rFonts w:ascii="Bookman Old Style" w:hAnsi="Bookman Old Style" w:cs="Times New Roman"/>
          <w:noProof/>
          <w:lang w:val="es-CO"/>
        </w:rPr>
      </w:pPr>
      <w:r w:rsidRPr="00704864">
        <w:rPr>
          <w:rFonts w:ascii="Bookman Old Style" w:hAnsi="Bookman Old Style" w:cs="Times New Roman"/>
          <w:noProof/>
          <w:lang w:val="es-CO"/>
        </w:rPr>
        <w:t xml:space="preserve">Sánchez, T. (2008). </w:t>
      </w:r>
      <w:r w:rsidRPr="00704864">
        <w:rPr>
          <w:rFonts w:ascii="Bookman Old Style" w:hAnsi="Bookman Old Style" w:cs="Times New Roman"/>
          <w:i/>
          <w:iCs/>
          <w:noProof/>
          <w:lang w:val="es-CO"/>
        </w:rPr>
        <w:t>Aproximación a un estudio genealógico de la evaluación educativa en Colombia, segunda mitad del siglo XX</w:t>
      </w:r>
      <w:r w:rsidRPr="00704864">
        <w:rPr>
          <w:rFonts w:ascii="Bookman Old Style" w:hAnsi="Bookman Old Style" w:cs="Times New Roman"/>
          <w:noProof/>
          <w:lang w:val="es-CO"/>
        </w:rPr>
        <w:t>. Universidad de Manizales-Cinde. Recuperado a partir de http://biblioteca.clacso.edu.ar/Colombia/alianza-cinde-umz/20091210042624/tesis-sanchez.pdf</w:t>
      </w:r>
    </w:p>
    <w:p w14:paraId="3FE03BAD" w14:textId="77777777" w:rsidR="0038735E" w:rsidRPr="00704864" w:rsidRDefault="0038735E" w:rsidP="0038735E">
      <w:pPr>
        <w:widowControl w:val="0"/>
        <w:autoSpaceDE w:val="0"/>
        <w:autoSpaceDN w:val="0"/>
        <w:adjustRightInd w:val="0"/>
        <w:spacing w:before="120" w:after="120" w:line="360" w:lineRule="auto"/>
        <w:ind w:left="480" w:hanging="480"/>
        <w:rPr>
          <w:rFonts w:ascii="Bookman Old Style" w:hAnsi="Bookman Old Style" w:cs="Times New Roman"/>
          <w:noProof/>
          <w:lang w:val="es-CO"/>
        </w:rPr>
      </w:pPr>
      <w:r w:rsidRPr="00704864">
        <w:rPr>
          <w:rFonts w:ascii="Bookman Old Style" w:hAnsi="Bookman Old Style" w:cs="Times New Roman"/>
          <w:noProof/>
          <w:lang w:val="es-CO"/>
        </w:rPr>
        <w:t xml:space="preserve">Sánchez, T. (2009). Aproximación a un estudio genealógico de la evaluación en Colombia, siglo XX. </w:t>
      </w:r>
      <w:r w:rsidRPr="00704864">
        <w:rPr>
          <w:rFonts w:ascii="Bookman Old Style" w:hAnsi="Bookman Old Style" w:cs="Times New Roman"/>
          <w:i/>
          <w:iCs/>
          <w:noProof/>
          <w:lang w:val="es-CO"/>
        </w:rPr>
        <w:t>Revista Latinoamericana de Ciencias Sociales, Niñez y Juventud</w:t>
      </w:r>
      <w:r w:rsidRPr="00704864">
        <w:rPr>
          <w:rFonts w:ascii="Bookman Old Style" w:hAnsi="Bookman Old Style" w:cs="Times New Roman"/>
          <w:noProof/>
          <w:lang w:val="es-CO"/>
        </w:rPr>
        <w:t xml:space="preserve">, </w:t>
      </w:r>
      <w:r w:rsidRPr="00704864">
        <w:rPr>
          <w:rFonts w:ascii="Bookman Old Style" w:hAnsi="Bookman Old Style" w:cs="Times New Roman"/>
          <w:i/>
          <w:iCs/>
          <w:noProof/>
          <w:lang w:val="es-CO"/>
        </w:rPr>
        <w:t>7</w:t>
      </w:r>
      <w:r w:rsidRPr="00704864">
        <w:rPr>
          <w:rFonts w:ascii="Bookman Old Style" w:hAnsi="Bookman Old Style" w:cs="Times New Roman"/>
          <w:noProof/>
          <w:lang w:val="es-CO"/>
        </w:rPr>
        <w:t>(2), 1675-1711. Recuperado a partir de http://www.umanizales.edu.co/revistacinde/index.htmlAproximaciónaunestudiogenealógicodelaevaluaciónenColombia,</w:t>
      </w:r>
    </w:p>
    <w:p w14:paraId="185E243B" w14:textId="77777777" w:rsidR="0038735E" w:rsidRPr="00704864" w:rsidRDefault="0038735E" w:rsidP="0038735E">
      <w:pPr>
        <w:widowControl w:val="0"/>
        <w:autoSpaceDE w:val="0"/>
        <w:autoSpaceDN w:val="0"/>
        <w:adjustRightInd w:val="0"/>
        <w:spacing w:before="120" w:after="120" w:line="360" w:lineRule="auto"/>
        <w:ind w:left="480" w:hanging="480"/>
        <w:rPr>
          <w:rFonts w:ascii="Bookman Old Style" w:hAnsi="Bookman Old Style" w:cs="Times New Roman"/>
          <w:noProof/>
          <w:lang w:val="es-CO"/>
        </w:rPr>
      </w:pPr>
      <w:r w:rsidRPr="00704864">
        <w:rPr>
          <w:rFonts w:ascii="Bookman Old Style" w:hAnsi="Bookman Old Style" w:cs="Times New Roman"/>
          <w:noProof/>
          <w:lang w:val="es-CO"/>
        </w:rPr>
        <w:t xml:space="preserve">Sánchez, T. (2013). La evaluación educativa como dispositivo de constitución de sujetos. </w:t>
      </w:r>
      <w:r w:rsidRPr="00704864">
        <w:rPr>
          <w:rFonts w:ascii="Bookman Old Style" w:hAnsi="Bookman Old Style" w:cs="Times New Roman"/>
          <w:i/>
          <w:iCs/>
          <w:noProof/>
          <w:lang w:val="es-CO"/>
        </w:rPr>
        <w:t>Revista Latinoamericana de Ciencias Sociales</w:t>
      </w:r>
      <w:r w:rsidRPr="00704864">
        <w:rPr>
          <w:rFonts w:ascii="Bookman Old Style" w:hAnsi="Bookman Old Style" w:cs="Times New Roman"/>
          <w:noProof/>
          <w:lang w:val="es-CO"/>
        </w:rPr>
        <w:t xml:space="preserve">, </w:t>
      </w:r>
      <w:r w:rsidRPr="00704864">
        <w:rPr>
          <w:rFonts w:ascii="Bookman Old Style" w:hAnsi="Bookman Old Style" w:cs="Times New Roman"/>
          <w:i/>
          <w:iCs/>
          <w:noProof/>
          <w:lang w:val="es-CO"/>
        </w:rPr>
        <w:t>11</w:t>
      </w:r>
      <w:r w:rsidRPr="00704864">
        <w:rPr>
          <w:rFonts w:ascii="Bookman Old Style" w:hAnsi="Bookman Old Style" w:cs="Times New Roman"/>
          <w:noProof/>
          <w:lang w:val="es-CO"/>
        </w:rPr>
        <w:t>(2), 755-767. Recuperado a partir de http://revistalatinoamericanaumanizales.cinde.org.co/?page_id=2271</w:t>
      </w:r>
    </w:p>
    <w:p w14:paraId="6EA0B0BD" w14:textId="77777777" w:rsidR="0038735E" w:rsidRPr="00704864" w:rsidRDefault="0038735E" w:rsidP="0038735E">
      <w:pPr>
        <w:widowControl w:val="0"/>
        <w:autoSpaceDE w:val="0"/>
        <w:autoSpaceDN w:val="0"/>
        <w:adjustRightInd w:val="0"/>
        <w:spacing w:before="120" w:after="120" w:line="360" w:lineRule="auto"/>
        <w:ind w:left="480" w:hanging="480"/>
        <w:rPr>
          <w:rFonts w:ascii="Bookman Old Style" w:hAnsi="Bookman Old Style" w:cs="Times New Roman"/>
          <w:noProof/>
        </w:rPr>
      </w:pPr>
      <w:r w:rsidRPr="00704864">
        <w:rPr>
          <w:rFonts w:ascii="Bookman Old Style" w:hAnsi="Bookman Old Style" w:cs="Times New Roman"/>
          <w:noProof/>
          <w:lang w:val="es-CO"/>
        </w:rPr>
        <w:t xml:space="preserve">Universidad Distrital Francisco José de Caldas. Consejo Superior Universitario. (2002). Estatuto del profesor. Acuerdo No. 011 de 2002. Por el cual se expide el Estatuto del Docente de carrera de la Universidad Distrital Francisco José de Caldas". </w:t>
      </w:r>
      <w:r w:rsidRPr="00704864">
        <w:rPr>
          <w:rFonts w:ascii="Bookman Old Style" w:hAnsi="Bookman Old Style" w:cs="Times New Roman"/>
          <w:noProof/>
        </w:rPr>
        <w:t>Recuperado 21 de agosto de 2017, a partir de http://sgral.udistrital.edu.co/xdata/csu/acu_2002-011.pdf</w:t>
      </w:r>
    </w:p>
    <w:p w14:paraId="25A9438A" w14:textId="77777777" w:rsidR="0038735E" w:rsidRPr="00704864" w:rsidRDefault="0038735E" w:rsidP="0038735E">
      <w:pPr>
        <w:widowControl w:val="0"/>
        <w:autoSpaceDE w:val="0"/>
        <w:autoSpaceDN w:val="0"/>
        <w:adjustRightInd w:val="0"/>
        <w:spacing w:before="120" w:after="120" w:line="360" w:lineRule="auto"/>
        <w:ind w:left="480" w:hanging="480"/>
        <w:rPr>
          <w:rFonts w:ascii="Bookman Old Style" w:hAnsi="Bookman Old Style" w:cs="Times New Roman"/>
          <w:noProof/>
        </w:rPr>
      </w:pPr>
      <w:r w:rsidRPr="00905D10">
        <w:rPr>
          <w:rFonts w:ascii="Bookman Old Style" w:hAnsi="Bookman Old Style" w:cs="Times New Roman"/>
          <w:noProof/>
        </w:rPr>
        <w:t xml:space="preserve">Universidad Distrital Francisco José de Caldas. </w:t>
      </w:r>
      <w:r w:rsidRPr="00704864">
        <w:rPr>
          <w:rFonts w:ascii="Bookman Old Style" w:hAnsi="Bookman Old Style" w:cs="Times New Roman"/>
          <w:noProof/>
          <w:lang w:val="es-CO"/>
        </w:rPr>
        <w:t xml:space="preserve">Consejo Superior Unoversitario. (2007). Acuerdo 005 de 2007. Por el cual se expide el Reglamento de </w:t>
      </w:r>
      <w:r w:rsidRPr="00704864">
        <w:rPr>
          <w:rFonts w:ascii="Bookman Old Style" w:hAnsi="Bookman Old Style" w:cs="Times New Roman"/>
          <w:noProof/>
          <w:lang w:val="es-CO"/>
        </w:rPr>
        <w:lastRenderedPageBreak/>
        <w:t xml:space="preserve">Concursos Públicos de Méritos para la provisión de cargos en la Planta de Personal Docente de la Universidad Distrital Francisco José de Caldas. </w:t>
      </w:r>
      <w:r w:rsidRPr="00704864">
        <w:rPr>
          <w:rFonts w:ascii="Bookman Old Style" w:hAnsi="Bookman Old Style" w:cs="Times New Roman"/>
          <w:noProof/>
        </w:rPr>
        <w:t>Recuperado 21 de agosto de 2017, a partir de http://sgral.udistrital.edu.co/xdata/csu/acu_2007-005.pdf</w:t>
      </w:r>
    </w:p>
    <w:p w14:paraId="6990C8CA" w14:textId="77777777" w:rsidR="0038735E" w:rsidRPr="00704864" w:rsidRDefault="0038735E" w:rsidP="0038735E">
      <w:pPr>
        <w:widowControl w:val="0"/>
        <w:autoSpaceDE w:val="0"/>
        <w:autoSpaceDN w:val="0"/>
        <w:adjustRightInd w:val="0"/>
        <w:spacing w:before="120" w:after="120" w:line="360" w:lineRule="auto"/>
        <w:ind w:left="480" w:hanging="480"/>
        <w:rPr>
          <w:rFonts w:ascii="Bookman Old Style" w:hAnsi="Bookman Old Style" w:cs="Times New Roman"/>
          <w:noProof/>
        </w:rPr>
      </w:pPr>
      <w:r w:rsidRPr="00704864">
        <w:rPr>
          <w:rFonts w:ascii="Bookman Old Style" w:hAnsi="Bookman Old Style" w:cs="Times New Roman"/>
          <w:noProof/>
        </w:rPr>
        <w:t>Universidad Distrital, &amp; Francisco José De Caldas. Oficina de Docencia. (2010). Formato No. 7- Evaluación de docentes por estudiantes. Recuperado 22 de septiembre de 2017, a partir de http://www1.udistrital.edu.co:8080/documents/62257/edf42c77-452b-4881-a0d2-216504cbeef2</w:t>
      </w:r>
    </w:p>
    <w:p w14:paraId="7273EE68" w14:textId="77777777" w:rsidR="0038735E" w:rsidRPr="00704864" w:rsidRDefault="0038735E" w:rsidP="0038735E">
      <w:pPr>
        <w:widowControl w:val="0"/>
        <w:autoSpaceDE w:val="0"/>
        <w:autoSpaceDN w:val="0"/>
        <w:adjustRightInd w:val="0"/>
        <w:spacing w:before="120" w:after="120" w:line="360" w:lineRule="auto"/>
        <w:ind w:left="480" w:hanging="480"/>
        <w:rPr>
          <w:rFonts w:ascii="Bookman Old Style" w:hAnsi="Bookman Old Style" w:cs="Times New Roman"/>
          <w:noProof/>
          <w:lang w:val="es-CO"/>
        </w:rPr>
      </w:pPr>
      <w:r w:rsidRPr="00704864">
        <w:rPr>
          <w:rFonts w:ascii="Bookman Old Style" w:hAnsi="Bookman Old Style" w:cs="Times New Roman"/>
          <w:noProof/>
        </w:rPr>
        <w:t xml:space="preserve">Zuluaga, O. (1987). </w:t>
      </w:r>
      <w:r w:rsidRPr="00704864">
        <w:rPr>
          <w:rFonts w:ascii="Bookman Old Style" w:hAnsi="Bookman Old Style" w:cs="Times New Roman"/>
          <w:i/>
          <w:iCs/>
          <w:noProof/>
        </w:rPr>
        <w:t xml:space="preserve">Pedagogía e historia. </w:t>
      </w:r>
      <w:r w:rsidRPr="00704864">
        <w:rPr>
          <w:rFonts w:ascii="Bookman Old Style" w:hAnsi="Bookman Old Style" w:cs="Times New Roman"/>
          <w:i/>
          <w:iCs/>
          <w:noProof/>
          <w:lang w:val="es-CO"/>
        </w:rPr>
        <w:t>La historicidad de la pedagogía. La enseñanza, un objeto de saber</w:t>
      </w:r>
      <w:r w:rsidRPr="00704864">
        <w:rPr>
          <w:rFonts w:ascii="Bookman Old Style" w:hAnsi="Bookman Old Style" w:cs="Times New Roman"/>
          <w:noProof/>
          <w:lang w:val="es-CO"/>
        </w:rPr>
        <w:t>. Bogotá: Foro Nacional por Colombia.</w:t>
      </w:r>
    </w:p>
    <w:p w14:paraId="5C377941" w14:textId="6ECE913F" w:rsidR="00573721" w:rsidRPr="00905D10" w:rsidRDefault="0038735E" w:rsidP="00573721">
      <w:pPr>
        <w:rPr>
          <w:rFonts w:ascii="Bookman Old Style" w:eastAsia="Times New Roman" w:hAnsi="Bookman Old Style" w:cs="Times New Roman"/>
          <w:color w:val="000000"/>
          <w:szCs w:val="24"/>
          <w:lang w:val="es-CO" w:eastAsia="pt-BR"/>
        </w:rPr>
      </w:pPr>
      <w:r w:rsidRPr="00704864">
        <w:rPr>
          <w:rFonts w:ascii="Bookman Old Style" w:hAnsi="Bookman Old Style" w:cs="Times New Roman"/>
          <w:b/>
          <w:lang w:val="es-CO"/>
        </w:rPr>
        <w:fldChar w:fldCharType="end"/>
      </w:r>
    </w:p>
    <w:p w14:paraId="7A398541" w14:textId="23CA642B" w:rsidR="003A2145" w:rsidRPr="00905D10" w:rsidRDefault="003A2145" w:rsidP="000D234F">
      <w:pPr>
        <w:shd w:val="clear" w:color="auto" w:fill="FFFFFF"/>
        <w:spacing w:line="360" w:lineRule="auto"/>
        <w:textAlignment w:val="baseline"/>
        <w:rPr>
          <w:rFonts w:ascii="Bookman Old Style" w:eastAsia="Times New Roman" w:hAnsi="Bookman Old Style" w:cs="Times New Roman"/>
          <w:color w:val="000000"/>
          <w:szCs w:val="24"/>
          <w:lang w:val="es-CO" w:eastAsia="pt-BR"/>
        </w:rPr>
      </w:pPr>
    </w:p>
    <w:sectPr w:rsidR="003A2145" w:rsidRPr="00905D10" w:rsidSect="00AD5A14">
      <w:pgSz w:w="11905" w:h="16837"/>
      <w:pgMar w:top="1418" w:right="1191" w:bottom="1418" w:left="1191" w:header="539" w:footer="53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0BD5C" w14:textId="77777777" w:rsidR="00684E2C" w:rsidRDefault="00684E2C" w:rsidP="0010267A">
      <w:r>
        <w:separator/>
      </w:r>
    </w:p>
  </w:endnote>
  <w:endnote w:type="continuationSeparator" w:id="0">
    <w:p w14:paraId="7011DFB5" w14:textId="77777777" w:rsidR="00684E2C" w:rsidRDefault="00684E2C" w:rsidP="0010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DejaVu Sans">
    <w:altName w:val="Arial"/>
    <w:charset w:val="00"/>
    <w:family w:val="swiss"/>
    <w:pitch w:val="variable"/>
    <w:sig w:usb0="E7000EFF" w:usb1="5200FDFF" w:usb2="0A042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imes , serif">
    <w:altName w:val="Times New Roman"/>
    <w:panose1 w:val="00000000000000000000"/>
    <w:charset w:val="00"/>
    <w:family w:val="roman"/>
    <w:notTrueType/>
    <w:pitch w:val="default"/>
  </w:font>
  <w:font w:name="AvantGardeMdB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shd w:val="clear" w:color="auto" w:fill="5F497A" w:themeFill="accent4" w:themeFillShade="BF"/>
      <w:tblCellMar>
        <w:top w:w="144" w:type="dxa"/>
        <w:left w:w="115" w:type="dxa"/>
        <w:bottom w:w="144" w:type="dxa"/>
        <w:right w:w="115" w:type="dxa"/>
      </w:tblCellMar>
      <w:tblLook w:val="04A0" w:firstRow="1" w:lastRow="0" w:firstColumn="1" w:lastColumn="0" w:noHBand="0" w:noVBand="1"/>
    </w:tblPr>
    <w:tblGrid>
      <w:gridCol w:w="4768"/>
      <w:gridCol w:w="4756"/>
    </w:tblGrid>
    <w:tr w:rsidR="00E96513" w14:paraId="6007160F" w14:textId="77777777" w:rsidTr="00E96513">
      <w:trPr>
        <w:trHeight w:hRule="exact" w:val="20"/>
        <w:jc w:val="center"/>
      </w:trPr>
      <w:tc>
        <w:tcPr>
          <w:tcW w:w="4768" w:type="dxa"/>
          <w:shd w:val="clear" w:color="auto" w:fill="5F497A" w:themeFill="accent4" w:themeFillShade="BF"/>
          <w:tcMar>
            <w:top w:w="0" w:type="dxa"/>
            <w:bottom w:w="0" w:type="dxa"/>
          </w:tcMar>
        </w:tcPr>
        <w:p w14:paraId="4F9F8022" w14:textId="77777777" w:rsidR="00E96513" w:rsidRDefault="00E96513">
          <w:pPr>
            <w:pStyle w:val="Encabezado"/>
            <w:rPr>
              <w:caps/>
              <w:sz w:val="18"/>
            </w:rPr>
          </w:pPr>
        </w:p>
      </w:tc>
      <w:tc>
        <w:tcPr>
          <w:tcW w:w="4756" w:type="dxa"/>
          <w:shd w:val="clear" w:color="auto" w:fill="5F497A" w:themeFill="accent4" w:themeFillShade="BF"/>
          <w:tcMar>
            <w:top w:w="0" w:type="dxa"/>
            <w:bottom w:w="0" w:type="dxa"/>
          </w:tcMar>
        </w:tcPr>
        <w:p w14:paraId="350370B1" w14:textId="77777777" w:rsidR="00E96513" w:rsidRDefault="00E96513">
          <w:pPr>
            <w:pStyle w:val="Encabezado"/>
            <w:jc w:val="right"/>
            <w:rPr>
              <w:caps/>
              <w:sz w:val="18"/>
            </w:rPr>
          </w:pPr>
        </w:p>
      </w:tc>
    </w:tr>
  </w:tbl>
  <w:p w14:paraId="2AE3C7A5" w14:textId="77777777" w:rsidR="00E96513" w:rsidRPr="00836DED" w:rsidRDefault="00E96513" w:rsidP="00E96513">
    <w:pPr>
      <w:pStyle w:val="Piedepgina"/>
      <w:jc w:val="center"/>
      <w:rPr>
        <w:color w:val="808080" w:themeColor="background1" w:themeShade="80"/>
        <w:lang w:val="en-US"/>
      </w:rPr>
    </w:pPr>
    <w:proofErr w:type="spellStart"/>
    <w:r w:rsidRPr="00836DED">
      <w:rPr>
        <w:color w:val="808080" w:themeColor="background1" w:themeShade="80"/>
        <w:lang w:val="en-US"/>
      </w:rPr>
      <w:t>Revista</w:t>
    </w:r>
    <w:proofErr w:type="spellEnd"/>
    <w:r w:rsidRPr="00836DED">
      <w:rPr>
        <w:color w:val="808080" w:themeColor="background1" w:themeShade="80"/>
        <w:lang w:val="en-US"/>
      </w:rPr>
      <w:t xml:space="preserve"> </w:t>
    </w:r>
    <w:proofErr w:type="spellStart"/>
    <w:r w:rsidRPr="00836DED">
      <w:rPr>
        <w:color w:val="808080" w:themeColor="background1" w:themeShade="80"/>
        <w:lang w:val="en-US"/>
      </w:rPr>
      <w:t>Educere</w:t>
    </w:r>
    <w:proofErr w:type="spellEnd"/>
    <w:r w:rsidRPr="00836DED">
      <w:rPr>
        <w:color w:val="808080" w:themeColor="background1" w:themeShade="80"/>
        <w:lang w:val="en-US"/>
      </w:rPr>
      <w:t xml:space="preserve"> Et </w:t>
    </w:r>
    <w:proofErr w:type="spellStart"/>
    <w:r w:rsidRPr="00836DED">
      <w:rPr>
        <w:color w:val="808080" w:themeColor="background1" w:themeShade="80"/>
        <w:lang w:val="en-US"/>
      </w:rPr>
      <w:t>Educare</w:t>
    </w:r>
    <w:proofErr w:type="spellEnd"/>
    <w:r w:rsidRPr="00836DED">
      <w:rPr>
        <w:color w:val="808080" w:themeColor="background1" w:themeShade="80"/>
        <w:lang w:val="en-US"/>
      </w:rPr>
      <w:t xml:space="preserve">, Vol. XX, N. XXX, </w:t>
    </w:r>
    <w:proofErr w:type="spellStart"/>
    <w:proofErr w:type="gramStart"/>
    <w:r w:rsidRPr="00836DED">
      <w:rPr>
        <w:color w:val="808080" w:themeColor="background1" w:themeShade="80"/>
        <w:lang w:val="en-US"/>
      </w:rPr>
      <w:t>jan.</w:t>
    </w:r>
    <w:proofErr w:type="spellEnd"/>
    <w:r w:rsidRPr="00836DED">
      <w:rPr>
        <w:color w:val="808080" w:themeColor="background1" w:themeShade="80"/>
        <w:lang w:val="en-US"/>
      </w:rPr>
      <w:t>/</w:t>
    </w:r>
    <w:proofErr w:type="gramEnd"/>
    <w:r w:rsidRPr="00836DED">
      <w:rPr>
        <w:color w:val="808080" w:themeColor="background1" w:themeShade="80"/>
        <w:lang w:val="en-US"/>
      </w:rPr>
      <w:t xml:space="preserve">abr. 2018. </w:t>
    </w:r>
    <w:r w:rsidRPr="00836DED">
      <w:rPr>
        <w:i/>
        <w:color w:val="808080" w:themeColor="background1" w:themeShade="80"/>
        <w:lang w:val="en-US"/>
      </w:rPr>
      <w:t>Ahead of Print</w:t>
    </w:r>
    <w:r w:rsidRPr="00836DED">
      <w:rPr>
        <w:color w:val="808080" w:themeColor="background1" w:themeShade="80"/>
        <w:lang w:val="en-US"/>
      </w:rPr>
      <w:t>.</w:t>
    </w:r>
  </w:p>
  <w:p w14:paraId="7F6ED0FD" w14:textId="5954881F" w:rsidR="00E96513" w:rsidRPr="00836DED" w:rsidRDefault="00E96513" w:rsidP="00E96513">
    <w:pPr>
      <w:pStyle w:val="Piedepgina"/>
      <w:jc w:val="center"/>
      <w:rPr>
        <w:color w:val="808080" w:themeColor="background1" w:themeShade="80"/>
        <w:lang w:val="en-US"/>
      </w:rPr>
    </w:pPr>
    <w:r w:rsidRPr="00836DED">
      <w:rPr>
        <w:color w:val="808080" w:themeColor="background1" w:themeShade="80"/>
        <w:lang w:val="en-US"/>
      </w:rPr>
      <w:t>DOI: 455234524354352345</w:t>
    </w:r>
  </w:p>
  <w:p w14:paraId="1C13E73E" w14:textId="2A8AA898" w:rsidR="003E05CC" w:rsidRPr="00E96513" w:rsidRDefault="00E96513" w:rsidP="00E96513">
    <w:pPr>
      <w:pStyle w:val="Piedepgina"/>
      <w:jc w:val="center"/>
      <w:rPr>
        <w:color w:val="808080" w:themeColor="background1" w:themeShade="80"/>
      </w:rPr>
    </w:pPr>
    <w:r>
      <w:rPr>
        <w:noProof/>
        <w:color w:val="808080" w:themeColor="background1" w:themeShade="80"/>
        <w:lang w:eastAsia="pt-BR"/>
      </w:rPr>
      <w:drawing>
        <wp:inline distT="0" distB="0" distL="0" distR="0" wp14:anchorId="73A39DC7" wp14:editId="0E5067DA">
          <wp:extent cx="1514859" cy="4206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itoriadesenho.png"/>
                  <pic:cNvPicPr/>
                </pic:nvPicPr>
                <pic:blipFill>
                  <a:blip r:embed="rId1">
                    <a:extLst>
                      <a:ext uri="{28A0092B-C50C-407E-A947-70E740481C1C}">
                        <a14:useLocalDpi xmlns:a14="http://schemas.microsoft.com/office/drawing/2010/main" val="0"/>
                      </a:ext>
                    </a:extLst>
                  </a:blip>
                  <a:stretch>
                    <a:fillRect/>
                  </a:stretch>
                </pic:blipFill>
                <pic:spPr>
                  <a:xfrm>
                    <a:off x="0" y="0"/>
                    <a:ext cx="1514859" cy="42062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8572"/>
      <w:gridCol w:w="952"/>
    </w:tblGrid>
    <w:tr w:rsidR="00C205D3" w14:paraId="7225482A" w14:textId="77777777" w:rsidTr="00262F7F">
      <w:tc>
        <w:tcPr>
          <w:tcW w:w="4500" w:type="pct"/>
          <w:tcBorders>
            <w:top w:val="single" w:sz="4" w:space="0" w:color="000000" w:themeColor="text1"/>
          </w:tcBorders>
        </w:tcPr>
        <w:p w14:paraId="06AF6971" w14:textId="21297FD8" w:rsidR="00C205D3" w:rsidRDefault="00DB2B2D" w:rsidP="00262F7F">
          <w:pPr>
            <w:pStyle w:val="Piedepgina"/>
          </w:pPr>
          <w:r>
            <w:t>EDUCERE ET EDUCARE</w:t>
          </w:r>
          <w:r w:rsidR="00C205D3" w:rsidRPr="002A59A7">
            <w:t>, Ano 2</w:t>
          </w:r>
          <w:r w:rsidR="00C205D3">
            <w:t>9</w:t>
          </w:r>
          <w:r w:rsidR="00C205D3" w:rsidRPr="002A59A7">
            <w:t xml:space="preserve">, </w:t>
          </w:r>
          <w:proofErr w:type="spellStart"/>
          <w:r w:rsidR="00C205D3" w:rsidRPr="002A59A7">
            <w:t>Vol</w:t>
          </w:r>
          <w:proofErr w:type="spellEnd"/>
          <w:r w:rsidR="00C205D3" w:rsidRPr="002A59A7">
            <w:t xml:space="preserve"> </w:t>
          </w:r>
          <w:r w:rsidR="00C205D3">
            <w:t>1</w:t>
          </w:r>
        </w:p>
      </w:tc>
      <w:tc>
        <w:tcPr>
          <w:tcW w:w="500" w:type="pct"/>
          <w:tcBorders>
            <w:top w:val="single" w:sz="4" w:space="0" w:color="C0504D" w:themeColor="accent2"/>
          </w:tcBorders>
          <w:shd w:val="clear" w:color="auto" w:fill="808080" w:themeFill="background1" w:themeFillShade="80"/>
        </w:tcPr>
        <w:p w14:paraId="126CC744" w14:textId="77777777" w:rsidR="00C205D3" w:rsidRDefault="00C205D3" w:rsidP="00262F7F">
          <w:pPr>
            <w:pStyle w:val="Encabezado"/>
            <w:rPr>
              <w:color w:val="FFFFFF" w:themeColor="background1"/>
            </w:rPr>
          </w:pPr>
          <w:r>
            <w:fldChar w:fldCharType="begin"/>
          </w:r>
          <w:r>
            <w:instrText>PAGE   \* MERGEFORMAT</w:instrText>
          </w:r>
          <w:r>
            <w:fldChar w:fldCharType="separate"/>
          </w:r>
          <w:r w:rsidRPr="00262F7F">
            <w:rPr>
              <w:noProof/>
              <w:color w:val="FFFFFF" w:themeColor="background1"/>
            </w:rPr>
            <w:t>2</w:t>
          </w:r>
          <w:r>
            <w:rPr>
              <w:color w:val="FFFFFF" w:themeColor="background1"/>
            </w:rPr>
            <w:fldChar w:fldCharType="end"/>
          </w:r>
        </w:p>
      </w:tc>
    </w:tr>
  </w:tbl>
  <w:p w14:paraId="1B4E6E41" w14:textId="77777777" w:rsidR="00C205D3" w:rsidRDefault="00C205D3" w:rsidP="00F8371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shd w:val="clear" w:color="auto" w:fill="5F497A" w:themeFill="accent4" w:themeFillShade="BF"/>
      <w:tblCellMar>
        <w:top w:w="144" w:type="dxa"/>
        <w:left w:w="115" w:type="dxa"/>
        <w:bottom w:w="144" w:type="dxa"/>
        <w:right w:w="115" w:type="dxa"/>
      </w:tblCellMar>
      <w:tblLook w:val="04A0" w:firstRow="1" w:lastRow="0" w:firstColumn="1" w:lastColumn="0" w:noHBand="0" w:noVBand="1"/>
    </w:tblPr>
    <w:tblGrid>
      <w:gridCol w:w="4825"/>
      <w:gridCol w:w="4813"/>
    </w:tblGrid>
    <w:tr w:rsidR="001823A5" w14:paraId="76769121" w14:textId="77777777" w:rsidTr="00E96513">
      <w:trPr>
        <w:trHeight w:hRule="exact" w:val="20"/>
        <w:jc w:val="center"/>
      </w:trPr>
      <w:tc>
        <w:tcPr>
          <w:tcW w:w="4768" w:type="dxa"/>
          <w:shd w:val="clear" w:color="auto" w:fill="5F497A" w:themeFill="accent4" w:themeFillShade="BF"/>
          <w:tcMar>
            <w:top w:w="0" w:type="dxa"/>
            <w:bottom w:w="0" w:type="dxa"/>
          </w:tcMar>
        </w:tcPr>
        <w:p w14:paraId="30185421" w14:textId="77777777" w:rsidR="001823A5" w:rsidRDefault="001823A5">
          <w:pPr>
            <w:pStyle w:val="Encabezado"/>
            <w:rPr>
              <w:caps/>
              <w:sz w:val="18"/>
            </w:rPr>
          </w:pPr>
        </w:p>
      </w:tc>
      <w:tc>
        <w:tcPr>
          <w:tcW w:w="4756" w:type="dxa"/>
          <w:shd w:val="clear" w:color="auto" w:fill="5F497A" w:themeFill="accent4" w:themeFillShade="BF"/>
          <w:tcMar>
            <w:top w:w="0" w:type="dxa"/>
            <w:bottom w:w="0" w:type="dxa"/>
          </w:tcMar>
        </w:tcPr>
        <w:p w14:paraId="306038FA" w14:textId="77777777" w:rsidR="001823A5" w:rsidRDefault="001823A5">
          <w:pPr>
            <w:pStyle w:val="Encabezado"/>
            <w:jc w:val="right"/>
            <w:rPr>
              <w:caps/>
              <w:sz w:val="18"/>
            </w:rPr>
          </w:pPr>
        </w:p>
      </w:tc>
    </w:tr>
  </w:tbl>
  <w:p w14:paraId="3DAA95AD" w14:textId="77777777" w:rsidR="001823A5" w:rsidRPr="00836DED" w:rsidRDefault="001823A5" w:rsidP="00E96513">
    <w:pPr>
      <w:pStyle w:val="Piedepgina"/>
      <w:jc w:val="center"/>
      <w:rPr>
        <w:color w:val="808080" w:themeColor="background1" w:themeShade="80"/>
        <w:lang w:val="en-US"/>
      </w:rPr>
    </w:pPr>
    <w:proofErr w:type="spellStart"/>
    <w:r w:rsidRPr="00836DED">
      <w:rPr>
        <w:color w:val="808080" w:themeColor="background1" w:themeShade="80"/>
        <w:lang w:val="en-US"/>
      </w:rPr>
      <w:t>Revista</w:t>
    </w:r>
    <w:proofErr w:type="spellEnd"/>
    <w:r w:rsidRPr="00836DED">
      <w:rPr>
        <w:color w:val="808080" w:themeColor="background1" w:themeShade="80"/>
        <w:lang w:val="en-US"/>
      </w:rPr>
      <w:t xml:space="preserve"> </w:t>
    </w:r>
    <w:proofErr w:type="spellStart"/>
    <w:r w:rsidRPr="00836DED">
      <w:rPr>
        <w:color w:val="808080" w:themeColor="background1" w:themeShade="80"/>
        <w:lang w:val="en-US"/>
      </w:rPr>
      <w:t>Educere</w:t>
    </w:r>
    <w:proofErr w:type="spellEnd"/>
    <w:r w:rsidRPr="00836DED">
      <w:rPr>
        <w:color w:val="808080" w:themeColor="background1" w:themeShade="80"/>
        <w:lang w:val="en-US"/>
      </w:rPr>
      <w:t xml:space="preserve"> Et </w:t>
    </w:r>
    <w:proofErr w:type="spellStart"/>
    <w:r w:rsidRPr="00836DED">
      <w:rPr>
        <w:color w:val="808080" w:themeColor="background1" w:themeShade="80"/>
        <w:lang w:val="en-US"/>
      </w:rPr>
      <w:t>Educare</w:t>
    </w:r>
    <w:proofErr w:type="spellEnd"/>
    <w:r w:rsidRPr="00836DED">
      <w:rPr>
        <w:color w:val="808080" w:themeColor="background1" w:themeShade="80"/>
        <w:lang w:val="en-US"/>
      </w:rPr>
      <w:t xml:space="preserve">, Vol. XX, N. XXX, </w:t>
    </w:r>
    <w:proofErr w:type="spellStart"/>
    <w:proofErr w:type="gramStart"/>
    <w:r w:rsidRPr="00836DED">
      <w:rPr>
        <w:color w:val="808080" w:themeColor="background1" w:themeShade="80"/>
        <w:lang w:val="en-US"/>
      </w:rPr>
      <w:t>jan.</w:t>
    </w:r>
    <w:proofErr w:type="spellEnd"/>
    <w:r w:rsidRPr="00836DED">
      <w:rPr>
        <w:color w:val="808080" w:themeColor="background1" w:themeShade="80"/>
        <w:lang w:val="en-US"/>
      </w:rPr>
      <w:t>/</w:t>
    </w:r>
    <w:proofErr w:type="gramEnd"/>
    <w:r w:rsidRPr="00836DED">
      <w:rPr>
        <w:color w:val="808080" w:themeColor="background1" w:themeShade="80"/>
        <w:lang w:val="en-US"/>
      </w:rPr>
      <w:t xml:space="preserve">abr. 2018. </w:t>
    </w:r>
    <w:r w:rsidRPr="00836DED">
      <w:rPr>
        <w:i/>
        <w:color w:val="808080" w:themeColor="background1" w:themeShade="80"/>
        <w:lang w:val="en-US"/>
      </w:rPr>
      <w:t>Ahead of Print</w:t>
    </w:r>
    <w:r w:rsidRPr="00836DED">
      <w:rPr>
        <w:color w:val="808080" w:themeColor="background1" w:themeShade="80"/>
        <w:lang w:val="en-US"/>
      </w:rPr>
      <w:t>.</w:t>
    </w:r>
  </w:p>
  <w:p w14:paraId="543CDCE5" w14:textId="77777777" w:rsidR="001823A5" w:rsidRPr="00836DED" w:rsidRDefault="001823A5" w:rsidP="00E96513">
    <w:pPr>
      <w:pStyle w:val="Piedepgina"/>
      <w:jc w:val="center"/>
      <w:rPr>
        <w:color w:val="808080" w:themeColor="background1" w:themeShade="80"/>
        <w:lang w:val="en-US"/>
      </w:rPr>
    </w:pPr>
    <w:r w:rsidRPr="00836DED">
      <w:rPr>
        <w:color w:val="808080" w:themeColor="background1" w:themeShade="80"/>
        <w:lang w:val="en-US"/>
      </w:rPr>
      <w:t>DOI: 455234524354352345</w:t>
    </w:r>
  </w:p>
  <w:p w14:paraId="3DF32F3C" w14:textId="77777777" w:rsidR="001823A5" w:rsidRPr="00E96513" w:rsidRDefault="001823A5" w:rsidP="00E96513">
    <w:pPr>
      <w:pStyle w:val="Piedepgina"/>
      <w:jc w:val="center"/>
      <w:rPr>
        <w:color w:val="808080" w:themeColor="background1" w:themeShade="80"/>
      </w:rPr>
    </w:pPr>
    <w:r>
      <w:rPr>
        <w:noProof/>
        <w:color w:val="808080" w:themeColor="background1" w:themeShade="80"/>
        <w:lang w:eastAsia="pt-BR"/>
      </w:rPr>
      <w:drawing>
        <wp:inline distT="0" distB="0" distL="0" distR="0" wp14:anchorId="5C2F6B6A" wp14:editId="2238A52A">
          <wp:extent cx="1514859" cy="420625"/>
          <wp:effectExtent l="0" t="0" r="0" b="0"/>
          <wp:docPr id="1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itoriadesenho.png"/>
                  <pic:cNvPicPr/>
                </pic:nvPicPr>
                <pic:blipFill>
                  <a:blip r:embed="rId1">
                    <a:extLst>
                      <a:ext uri="{28A0092B-C50C-407E-A947-70E740481C1C}">
                        <a14:useLocalDpi xmlns:a14="http://schemas.microsoft.com/office/drawing/2010/main" val="0"/>
                      </a:ext>
                    </a:extLst>
                  </a:blip>
                  <a:stretch>
                    <a:fillRect/>
                  </a:stretch>
                </pic:blipFill>
                <pic:spPr>
                  <a:xfrm>
                    <a:off x="0" y="0"/>
                    <a:ext cx="1514859" cy="42062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8674"/>
      <w:gridCol w:w="964"/>
    </w:tblGrid>
    <w:tr w:rsidR="001823A5" w14:paraId="03FE107E" w14:textId="77777777" w:rsidTr="00262F7F">
      <w:tc>
        <w:tcPr>
          <w:tcW w:w="4500" w:type="pct"/>
          <w:tcBorders>
            <w:top w:val="single" w:sz="4" w:space="0" w:color="000000" w:themeColor="text1"/>
          </w:tcBorders>
        </w:tcPr>
        <w:p w14:paraId="6B8224D6" w14:textId="77777777" w:rsidR="001823A5" w:rsidRDefault="001823A5" w:rsidP="00262F7F">
          <w:pPr>
            <w:pStyle w:val="Piedepgina"/>
          </w:pPr>
          <w:r>
            <w:t>EDUCERE ET EDUCARE</w:t>
          </w:r>
          <w:r w:rsidRPr="002A59A7">
            <w:t>, Ano 2</w:t>
          </w:r>
          <w:r>
            <w:t>9</w:t>
          </w:r>
          <w:r w:rsidRPr="002A59A7">
            <w:t xml:space="preserve">, </w:t>
          </w:r>
          <w:proofErr w:type="spellStart"/>
          <w:r w:rsidRPr="002A59A7">
            <w:t>Vol</w:t>
          </w:r>
          <w:proofErr w:type="spellEnd"/>
          <w:r w:rsidRPr="002A59A7">
            <w:t xml:space="preserve"> </w:t>
          </w:r>
          <w:r>
            <w:t>1</w:t>
          </w:r>
        </w:p>
      </w:tc>
      <w:tc>
        <w:tcPr>
          <w:tcW w:w="500" w:type="pct"/>
          <w:tcBorders>
            <w:top w:val="single" w:sz="4" w:space="0" w:color="C0504D" w:themeColor="accent2"/>
          </w:tcBorders>
          <w:shd w:val="clear" w:color="auto" w:fill="808080" w:themeFill="background1" w:themeFillShade="80"/>
        </w:tcPr>
        <w:p w14:paraId="7ACC203F" w14:textId="77777777" w:rsidR="001823A5" w:rsidRDefault="001823A5" w:rsidP="00262F7F">
          <w:pPr>
            <w:pStyle w:val="Encabezado"/>
            <w:rPr>
              <w:color w:val="FFFFFF" w:themeColor="background1"/>
            </w:rPr>
          </w:pPr>
          <w:r>
            <w:fldChar w:fldCharType="begin"/>
          </w:r>
          <w:r>
            <w:instrText>PAGE   \* MERGEFORMAT</w:instrText>
          </w:r>
          <w:r>
            <w:fldChar w:fldCharType="separate"/>
          </w:r>
          <w:r w:rsidRPr="00262F7F">
            <w:rPr>
              <w:noProof/>
              <w:color w:val="FFFFFF" w:themeColor="background1"/>
            </w:rPr>
            <w:t>2</w:t>
          </w:r>
          <w:r>
            <w:rPr>
              <w:color w:val="FFFFFF" w:themeColor="background1"/>
            </w:rPr>
            <w:fldChar w:fldCharType="end"/>
          </w:r>
        </w:p>
      </w:tc>
    </w:tr>
  </w:tbl>
  <w:p w14:paraId="44CB7223" w14:textId="77777777" w:rsidR="001823A5" w:rsidRDefault="001823A5" w:rsidP="00F837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DC1C5" w14:textId="77777777" w:rsidR="00684E2C" w:rsidRDefault="00684E2C" w:rsidP="0010267A">
      <w:r>
        <w:separator/>
      </w:r>
    </w:p>
  </w:footnote>
  <w:footnote w:type="continuationSeparator" w:id="0">
    <w:p w14:paraId="4DCB10FF" w14:textId="77777777" w:rsidR="00684E2C" w:rsidRDefault="00684E2C" w:rsidP="00102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5"/>
      <w:gridCol w:w="487"/>
    </w:tblGrid>
    <w:tr w:rsidR="0027469E" w14:paraId="65B87E7A" w14:textId="77777777" w:rsidTr="0027469E">
      <w:trPr>
        <w:trHeight w:val="439"/>
        <w:jc w:val="center"/>
      </w:trPr>
      <w:tc>
        <w:tcPr>
          <w:tcW w:w="8735" w:type="dxa"/>
          <w:vAlign w:val="center"/>
        </w:tcPr>
        <w:p w14:paraId="0016403B" w14:textId="77777777" w:rsidR="00E100A5" w:rsidRDefault="0027469E" w:rsidP="0027469E">
          <w:pPr>
            <w:pStyle w:val="Encabezado"/>
            <w:jc w:val="left"/>
            <w:rPr>
              <w:rFonts w:cstheme="minorHAnsi"/>
              <w:b/>
              <w:szCs w:val="24"/>
            </w:rPr>
          </w:pPr>
          <w:r>
            <w:rPr>
              <w:noProof/>
              <w:lang w:eastAsia="pt-BR"/>
            </w:rPr>
            <w:drawing>
              <wp:inline distT="0" distB="0" distL="0" distR="0" wp14:anchorId="33081F2D" wp14:editId="42794D47">
                <wp:extent cx="3057525" cy="835724"/>
                <wp:effectExtent l="0" t="0" r="0" b="2540"/>
                <wp:docPr id="3" name="Imagem 3" descr="Resultado de imagem para revista educere et edu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m para revista educere et educ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9062" cy="855277"/>
                        </a:xfrm>
                        <a:prstGeom prst="rect">
                          <a:avLst/>
                        </a:prstGeom>
                        <a:noFill/>
                        <a:ln>
                          <a:noFill/>
                        </a:ln>
                      </pic:spPr>
                    </pic:pic>
                  </a:graphicData>
                </a:graphic>
              </wp:inline>
            </w:drawing>
          </w:r>
          <w:r>
            <w:rPr>
              <w:rFonts w:cstheme="minorHAnsi"/>
              <w:b/>
              <w:szCs w:val="24"/>
            </w:rPr>
            <w:t xml:space="preserve">      </w:t>
          </w:r>
        </w:p>
        <w:p w14:paraId="180C1FCD" w14:textId="56A3DBB5" w:rsidR="003E05CC" w:rsidRPr="00E100A5" w:rsidRDefault="00E100A5" w:rsidP="0027469E">
          <w:pPr>
            <w:pStyle w:val="Encabezado"/>
            <w:jc w:val="left"/>
          </w:pPr>
          <w:r w:rsidRPr="00E100A5">
            <w:rPr>
              <w:rFonts w:cstheme="minorHAnsi"/>
              <w:szCs w:val="24"/>
            </w:rPr>
            <w:t xml:space="preserve">Programa de Pós-Graduação em Educação – Universidade Estadual do Oeste do Paraná </w:t>
          </w:r>
          <w:r w:rsidR="0027469E" w:rsidRPr="00E100A5">
            <w:rPr>
              <w:rFonts w:cstheme="minorHAnsi"/>
              <w:szCs w:val="24"/>
            </w:rPr>
            <w:t xml:space="preserve">                                                            </w:t>
          </w:r>
        </w:p>
      </w:tc>
      <w:tc>
        <w:tcPr>
          <w:tcW w:w="487" w:type="dxa"/>
          <w:vAlign w:val="center"/>
        </w:tcPr>
        <w:p w14:paraId="242CCCC6" w14:textId="4C3A0AE2" w:rsidR="003E05CC" w:rsidRDefault="003E05CC" w:rsidP="00EE7B08">
          <w:pPr>
            <w:pStyle w:val="Encabezado"/>
            <w:jc w:val="left"/>
          </w:pPr>
        </w:p>
      </w:tc>
    </w:tr>
  </w:tbl>
  <w:p w14:paraId="3210794E" w14:textId="5B9C6205" w:rsidR="00C205D3" w:rsidRPr="003E05CC" w:rsidRDefault="00C205D3" w:rsidP="00EE7B08">
    <w:pPr>
      <w:pStyle w:val="Encabezado"/>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5"/>
      <w:gridCol w:w="487"/>
    </w:tblGrid>
    <w:tr w:rsidR="001823A5" w14:paraId="307BF8A2" w14:textId="77777777" w:rsidTr="0027469E">
      <w:trPr>
        <w:trHeight w:val="439"/>
        <w:jc w:val="center"/>
      </w:trPr>
      <w:tc>
        <w:tcPr>
          <w:tcW w:w="8735" w:type="dxa"/>
          <w:vAlign w:val="center"/>
        </w:tcPr>
        <w:p w14:paraId="31C7CB23" w14:textId="77777777" w:rsidR="001823A5" w:rsidRDefault="001823A5" w:rsidP="0027469E">
          <w:pPr>
            <w:pStyle w:val="Encabezado"/>
            <w:jc w:val="left"/>
            <w:rPr>
              <w:rFonts w:cstheme="minorHAnsi"/>
              <w:b/>
              <w:szCs w:val="24"/>
            </w:rPr>
          </w:pPr>
          <w:r>
            <w:rPr>
              <w:noProof/>
              <w:lang w:eastAsia="pt-BR"/>
            </w:rPr>
            <w:drawing>
              <wp:inline distT="0" distB="0" distL="0" distR="0" wp14:anchorId="65567151" wp14:editId="404618BA">
                <wp:extent cx="3057525" cy="835724"/>
                <wp:effectExtent l="0" t="0" r="0" b="2540"/>
                <wp:docPr id="13" name="Imagem 3" descr="Resultado de imagem para revista educere et edu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m para revista educere et educ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9062" cy="855277"/>
                        </a:xfrm>
                        <a:prstGeom prst="rect">
                          <a:avLst/>
                        </a:prstGeom>
                        <a:noFill/>
                        <a:ln>
                          <a:noFill/>
                        </a:ln>
                      </pic:spPr>
                    </pic:pic>
                  </a:graphicData>
                </a:graphic>
              </wp:inline>
            </w:drawing>
          </w:r>
          <w:r>
            <w:rPr>
              <w:rFonts w:cstheme="minorHAnsi"/>
              <w:b/>
              <w:szCs w:val="24"/>
            </w:rPr>
            <w:t xml:space="preserve">      </w:t>
          </w:r>
        </w:p>
        <w:p w14:paraId="58C8D96D" w14:textId="77777777" w:rsidR="001823A5" w:rsidRPr="00E100A5" w:rsidRDefault="001823A5" w:rsidP="0027469E">
          <w:pPr>
            <w:pStyle w:val="Encabezado"/>
            <w:jc w:val="left"/>
          </w:pPr>
          <w:r w:rsidRPr="00E100A5">
            <w:rPr>
              <w:rFonts w:cstheme="minorHAnsi"/>
              <w:szCs w:val="24"/>
            </w:rPr>
            <w:t xml:space="preserve">Programa de Pós-Graduação em Educação – Universidade Estadual do Oeste do Paraná                                                             </w:t>
          </w:r>
        </w:p>
      </w:tc>
      <w:tc>
        <w:tcPr>
          <w:tcW w:w="487" w:type="dxa"/>
          <w:vAlign w:val="center"/>
        </w:tcPr>
        <w:p w14:paraId="2C4A1107" w14:textId="77777777" w:rsidR="001823A5" w:rsidRDefault="001823A5" w:rsidP="00EE7B08">
          <w:pPr>
            <w:pStyle w:val="Encabezado"/>
            <w:jc w:val="left"/>
          </w:pPr>
        </w:p>
      </w:tc>
    </w:tr>
  </w:tbl>
  <w:p w14:paraId="1EFE3672" w14:textId="77777777" w:rsidR="001823A5" w:rsidRPr="003E05CC" w:rsidRDefault="001823A5" w:rsidP="00EE7B08">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A3550"/>
    <w:multiLevelType w:val="multilevel"/>
    <w:tmpl w:val="F468EA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4A710F"/>
    <w:multiLevelType w:val="multilevel"/>
    <w:tmpl w:val="04160025"/>
    <w:lvl w:ilvl="0">
      <w:start w:val="1"/>
      <w:numFmt w:val="decimal"/>
      <w:pStyle w:val="Ttulo1"/>
      <w:lvlText w:val="%1"/>
      <w:lvlJc w:val="left"/>
      <w:pPr>
        <w:ind w:left="432" w:hanging="432"/>
      </w:pPr>
      <w:rPr>
        <w:rFonts w:hint="default"/>
        <w:b/>
        <w:i w:val="0"/>
        <w:sz w:val="28"/>
        <w:szCs w:val="28"/>
      </w:rPr>
    </w:lvl>
    <w:lvl w:ilvl="1">
      <w:start w:val="1"/>
      <w:numFmt w:val="decimal"/>
      <w:pStyle w:val="Ttulo2"/>
      <w:lvlText w:val="%1.%2"/>
      <w:lvlJc w:val="left"/>
      <w:pPr>
        <w:ind w:left="576" w:hanging="576"/>
      </w:pPr>
      <w:rPr>
        <w:sz w:val="26"/>
        <w:szCs w:val="26"/>
      </w:rPr>
    </w:lvl>
    <w:lvl w:ilvl="2">
      <w:start w:val="1"/>
      <w:numFmt w:val="decimal"/>
      <w:pStyle w:val="Ttulo3"/>
      <w:lvlText w:val="%1.%2.%3"/>
      <w:lvlJc w:val="left"/>
      <w:pPr>
        <w:ind w:left="4406" w:hanging="720"/>
      </w:pPr>
      <w:rPr>
        <w:i/>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5A516E2"/>
    <w:multiLevelType w:val="multilevel"/>
    <w:tmpl w:val="2B72082A"/>
    <w:lvl w:ilvl="0">
      <w:start w:val="1"/>
      <w:numFmt w:val="decimal"/>
      <w:lvlText w:val="%1."/>
      <w:lvlJc w:val="left"/>
      <w:pPr>
        <w:ind w:left="360" w:hanging="360"/>
      </w:pPr>
      <w:rPr>
        <w:rFonts w:hint="default"/>
        <w:b/>
        <w:i w:val="0"/>
        <w:sz w:val="28"/>
        <w:szCs w:val="28"/>
      </w:rPr>
    </w:lvl>
    <w:lvl w:ilvl="1">
      <w:start w:val="1"/>
      <w:numFmt w:val="decimal"/>
      <w:lvlText w:val="%1.%2."/>
      <w:lvlJc w:val="left"/>
      <w:pPr>
        <w:ind w:left="792" w:hanging="432"/>
      </w:pPr>
      <w:rPr>
        <w:sz w:val="26"/>
        <w:szCs w:val="26"/>
      </w:rPr>
    </w:lvl>
    <w:lvl w:ilvl="2">
      <w:start w:val="1"/>
      <w:numFmt w:val="decimal"/>
      <w:lvlText w:val="%1.%2.%3."/>
      <w:lvlJc w:val="left"/>
      <w:pPr>
        <w:ind w:left="2206"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416B31"/>
    <w:multiLevelType w:val="hybridMultilevel"/>
    <w:tmpl w:val="8EC49AF2"/>
    <w:lvl w:ilvl="0" w:tplc="B4721036">
      <w:start w:val="1"/>
      <w:numFmt w:val="decimal"/>
      <w:lvlText w:val="%1."/>
      <w:lvlJc w:val="left"/>
      <w:pPr>
        <w:ind w:left="720" w:hanging="360"/>
      </w:pPr>
      <w:rPr>
        <w:rFonts w:ascii="Times New Roman" w:hAnsi="Times New Roman" w:cs="Times New Roman"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B5549E6"/>
    <w:multiLevelType w:val="hybridMultilevel"/>
    <w:tmpl w:val="B0EE3B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D40F9F"/>
    <w:multiLevelType w:val="hybridMultilevel"/>
    <w:tmpl w:val="14ECF1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F234A86"/>
    <w:multiLevelType w:val="hybridMultilevel"/>
    <w:tmpl w:val="BA222AFC"/>
    <w:lvl w:ilvl="0" w:tplc="769E2E20">
      <w:start w:val="1"/>
      <w:numFmt w:val="decimal"/>
      <w:pStyle w:val="Referncias"/>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FD15AA7"/>
    <w:multiLevelType w:val="hybridMultilevel"/>
    <w:tmpl w:val="E842C4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66829F4"/>
    <w:multiLevelType w:val="singleLevel"/>
    <w:tmpl w:val="3258E584"/>
    <w:lvl w:ilvl="0">
      <w:start w:val="1"/>
      <w:numFmt w:val="decimal"/>
      <w:lvlText w:val="%1."/>
      <w:lvlJc w:val="left"/>
      <w:pPr>
        <w:tabs>
          <w:tab w:val="num" w:pos="360"/>
        </w:tabs>
        <w:ind w:left="360" w:hanging="360"/>
      </w:pPr>
      <w:rPr>
        <w:rFonts w:cs="Times New Roman"/>
        <w:sz w:val="22"/>
        <w:szCs w:val="22"/>
      </w:rPr>
    </w:lvl>
  </w:abstractNum>
  <w:abstractNum w:abstractNumId="10" w15:restartNumberingAfterBreak="0">
    <w:nsid w:val="2B080F5A"/>
    <w:multiLevelType w:val="hybridMultilevel"/>
    <w:tmpl w:val="5DD6350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2FFB657D"/>
    <w:multiLevelType w:val="multilevel"/>
    <w:tmpl w:val="8228C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69706F"/>
    <w:multiLevelType w:val="multilevel"/>
    <w:tmpl w:val="8AA66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CC49AF"/>
    <w:multiLevelType w:val="hybridMultilevel"/>
    <w:tmpl w:val="FC5CDD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FB071BD"/>
    <w:multiLevelType w:val="multilevel"/>
    <w:tmpl w:val="EE32BB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3F679E"/>
    <w:multiLevelType w:val="hybridMultilevel"/>
    <w:tmpl w:val="BD3AF1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534175B"/>
    <w:multiLevelType w:val="hybridMultilevel"/>
    <w:tmpl w:val="BE1844D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15:restartNumberingAfterBreak="0">
    <w:nsid w:val="470665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783BB6"/>
    <w:multiLevelType w:val="hybridMultilevel"/>
    <w:tmpl w:val="7EB6AD74"/>
    <w:lvl w:ilvl="0" w:tplc="0ACA4CC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4C214ED9"/>
    <w:multiLevelType w:val="hybridMultilevel"/>
    <w:tmpl w:val="3F3649C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0" w15:restartNumberingAfterBreak="0">
    <w:nsid w:val="61A3698F"/>
    <w:multiLevelType w:val="multilevel"/>
    <w:tmpl w:val="BC906E3A"/>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sz w:val="26"/>
        <w:szCs w:val="26"/>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ED5204"/>
    <w:multiLevelType w:val="singleLevel"/>
    <w:tmpl w:val="5192B2A6"/>
    <w:lvl w:ilvl="0">
      <w:start w:val="1"/>
      <w:numFmt w:val="lowerLetter"/>
      <w:lvlText w:val="%1)"/>
      <w:lvlJc w:val="left"/>
      <w:pPr>
        <w:tabs>
          <w:tab w:val="num" w:pos="927"/>
        </w:tabs>
        <w:ind w:left="927" w:hanging="360"/>
      </w:pPr>
      <w:rPr>
        <w:b/>
      </w:rPr>
    </w:lvl>
  </w:abstractNum>
  <w:abstractNum w:abstractNumId="22" w15:restartNumberingAfterBreak="0">
    <w:nsid w:val="67BC6AD9"/>
    <w:multiLevelType w:val="hybridMultilevel"/>
    <w:tmpl w:val="A7E6AA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3" w15:restartNumberingAfterBreak="0">
    <w:nsid w:val="69EB3CA7"/>
    <w:multiLevelType w:val="multilevel"/>
    <w:tmpl w:val="0416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F503C4"/>
    <w:multiLevelType w:val="singleLevel"/>
    <w:tmpl w:val="0416000F"/>
    <w:lvl w:ilvl="0">
      <w:start w:val="1"/>
      <w:numFmt w:val="decimal"/>
      <w:lvlText w:val="%1."/>
      <w:lvlJc w:val="left"/>
      <w:pPr>
        <w:tabs>
          <w:tab w:val="num" w:pos="360"/>
        </w:tabs>
        <w:ind w:left="360" w:hanging="360"/>
      </w:pPr>
    </w:lvl>
  </w:abstractNum>
  <w:abstractNum w:abstractNumId="25" w15:restartNumberingAfterBreak="0">
    <w:nsid w:val="7A5431D9"/>
    <w:multiLevelType w:val="multilevel"/>
    <w:tmpl w:val="0416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0"/>
  </w:num>
  <w:num w:numId="3">
    <w:abstractNumId w:val="9"/>
  </w:num>
  <w:num w:numId="4">
    <w:abstractNumId w:val="19"/>
  </w:num>
  <w:num w:numId="5">
    <w:abstractNumId w:val="1"/>
  </w:num>
  <w:num w:numId="6">
    <w:abstractNumId w:val="11"/>
  </w:num>
  <w:num w:numId="7">
    <w:abstractNumId w:val="21"/>
    <w:lvlOverride w:ilvl="0">
      <w:startOverride w:val="1"/>
    </w:lvlOverride>
  </w:num>
  <w:num w:numId="8">
    <w:abstractNumId w:val="15"/>
  </w:num>
  <w:num w:numId="9">
    <w:abstractNumId w:val="4"/>
  </w:num>
  <w:num w:numId="10">
    <w:abstractNumId w:val="8"/>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8"/>
  </w:num>
  <w:num w:numId="13">
    <w:abstractNumId w:val="20"/>
  </w:num>
  <w:num w:numId="14">
    <w:abstractNumId w:val="14"/>
  </w:num>
  <w:num w:numId="15">
    <w:abstractNumId w:val="17"/>
  </w:num>
  <w:num w:numId="16">
    <w:abstractNumId w:val="12"/>
  </w:num>
  <w:num w:numId="17">
    <w:abstractNumId w:val="2"/>
  </w:num>
  <w:num w:numId="18">
    <w:abstractNumId w:val="3"/>
  </w:num>
  <w:num w:numId="19">
    <w:abstractNumId w:val="23"/>
  </w:num>
  <w:num w:numId="20">
    <w:abstractNumId w:val="25"/>
  </w:num>
  <w:num w:numId="21">
    <w:abstractNumId w:val="22"/>
  </w:num>
  <w:num w:numId="22">
    <w:abstractNumId w:val="16"/>
  </w:num>
  <w:num w:numId="23">
    <w:abstractNumId w:val="24"/>
  </w:num>
  <w:num w:numId="24">
    <w:abstractNumId w:val="7"/>
  </w:num>
  <w:num w:numId="25">
    <w:abstractNumId w:val="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pt-BR" w:vendorID="64" w:dllVersion="6" w:nlCheck="1" w:checkStyle="0"/>
  <w:activeWritingStyle w:appName="MSWord" w:lang="en-US" w:vendorID="64" w:dllVersion="6" w:nlCheck="1" w:checkStyle="0"/>
  <w:activeWritingStyle w:appName="MSWord" w:lang="es-ES" w:vendorID="64" w:dllVersion="0" w:nlCheck="1" w:checkStyle="0"/>
  <w:activeWritingStyle w:appName="MSWord" w:lang="pt-BR"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CO"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AEC"/>
    <w:rsid w:val="00013AB4"/>
    <w:rsid w:val="00013E19"/>
    <w:rsid w:val="000145F5"/>
    <w:rsid w:val="00052979"/>
    <w:rsid w:val="000552A3"/>
    <w:rsid w:val="00061F4E"/>
    <w:rsid w:val="000674E3"/>
    <w:rsid w:val="00077F2D"/>
    <w:rsid w:val="0009153A"/>
    <w:rsid w:val="00096554"/>
    <w:rsid w:val="000A1236"/>
    <w:rsid w:val="000A375D"/>
    <w:rsid w:val="000A4143"/>
    <w:rsid w:val="000B04CB"/>
    <w:rsid w:val="000B4896"/>
    <w:rsid w:val="000C10CF"/>
    <w:rsid w:val="000D234F"/>
    <w:rsid w:val="000F079F"/>
    <w:rsid w:val="000F1907"/>
    <w:rsid w:val="000F6DB2"/>
    <w:rsid w:val="00100667"/>
    <w:rsid w:val="00100C41"/>
    <w:rsid w:val="0010267A"/>
    <w:rsid w:val="00120857"/>
    <w:rsid w:val="001216B6"/>
    <w:rsid w:val="001222B4"/>
    <w:rsid w:val="00123710"/>
    <w:rsid w:val="00124A5B"/>
    <w:rsid w:val="00136E4A"/>
    <w:rsid w:val="0015617E"/>
    <w:rsid w:val="00167981"/>
    <w:rsid w:val="001703A4"/>
    <w:rsid w:val="00170864"/>
    <w:rsid w:val="001773DB"/>
    <w:rsid w:val="001823A5"/>
    <w:rsid w:val="00184DBA"/>
    <w:rsid w:val="001855EA"/>
    <w:rsid w:val="0018567B"/>
    <w:rsid w:val="001A4FC4"/>
    <w:rsid w:val="001B046A"/>
    <w:rsid w:val="001C1510"/>
    <w:rsid w:val="001D3853"/>
    <w:rsid w:val="001D5422"/>
    <w:rsid w:val="001F32F5"/>
    <w:rsid w:val="001F3ED0"/>
    <w:rsid w:val="00204FE9"/>
    <w:rsid w:val="0020798C"/>
    <w:rsid w:val="0022024A"/>
    <w:rsid w:val="00231379"/>
    <w:rsid w:val="00237531"/>
    <w:rsid w:val="00245CC8"/>
    <w:rsid w:val="002510B3"/>
    <w:rsid w:val="002622A6"/>
    <w:rsid w:val="00262F7F"/>
    <w:rsid w:val="00266FBA"/>
    <w:rsid w:val="0027469E"/>
    <w:rsid w:val="00277264"/>
    <w:rsid w:val="0027747D"/>
    <w:rsid w:val="002808F7"/>
    <w:rsid w:val="00281460"/>
    <w:rsid w:val="002909A8"/>
    <w:rsid w:val="0029188E"/>
    <w:rsid w:val="00295D0C"/>
    <w:rsid w:val="002A59A7"/>
    <w:rsid w:val="002A5DC4"/>
    <w:rsid w:val="002B0756"/>
    <w:rsid w:val="002C3E50"/>
    <w:rsid w:val="002C68A1"/>
    <w:rsid w:val="002C702C"/>
    <w:rsid w:val="002D67C6"/>
    <w:rsid w:val="002E3EB4"/>
    <w:rsid w:val="002F13A8"/>
    <w:rsid w:val="0031487B"/>
    <w:rsid w:val="003244E2"/>
    <w:rsid w:val="0033335C"/>
    <w:rsid w:val="00333979"/>
    <w:rsid w:val="003361BD"/>
    <w:rsid w:val="00356E97"/>
    <w:rsid w:val="00370DA5"/>
    <w:rsid w:val="00370DBE"/>
    <w:rsid w:val="00371161"/>
    <w:rsid w:val="0038735E"/>
    <w:rsid w:val="00390E96"/>
    <w:rsid w:val="003919B4"/>
    <w:rsid w:val="00391C00"/>
    <w:rsid w:val="00396756"/>
    <w:rsid w:val="003976D0"/>
    <w:rsid w:val="003A15AF"/>
    <w:rsid w:val="003A2145"/>
    <w:rsid w:val="003B3498"/>
    <w:rsid w:val="003B7CB3"/>
    <w:rsid w:val="003D62EC"/>
    <w:rsid w:val="003D7965"/>
    <w:rsid w:val="003D7C24"/>
    <w:rsid w:val="003E05CC"/>
    <w:rsid w:val="003F25C7"/>
    <w:rsid w:val="003F3227"/>
    <w:rsid w:val="00411F5A"/>
    <w:rsid w:val="00424A99"/>
    <w:rsid w:val="00431137"/>
    <w:rsid w:val="00432350"/>
    <w:rsid w:val="004520DA"/>
    <w:rsid w:val="00460F06"/>
    <w:rsid w:val="00465376"/>
    <w:rsid w:val="00465988"/>
    <w:rsid w:val="00465AF3"/>
    <w:rsid w:val="004730E6"/>
    <w:rsid w:val="00477AFE"/>
    <w:rsid w:val="00486DF1"/>
    <w:rsid w:val="004875DF"/>
    <w:rsid w:val="00487D23"/>
    <w:rsid w:val="00492F42"/>
    <w:rsid w:val="0049325B"/>
    <w:rsid w:val="00494E10"/>
    <w:rsid w:val="004A4D77"/>
    <w:rsid w:val="004B2DF5"/>
    <w:rsid w:val="004D10C0"/>
    <w:rsid w:val="004E1B8A"/>
    <w:rsid w:val="004E5789"/>
    <w:rsid w:val="004F6374"/>
    <w:rsid w:val="004F7BD0"/>
    <w:rsid w:val="00500634"/>
    <w:rsid w:val="005123EB"/>
    <w:rsid w:val="00512F5D"/>
    <w:rsid w:val="00536965"/>
    <w:rsid w:val="005437F2"/>
    <w:rsid w:val="00560A35"/>
    <w:rsid w:val="00561168"/>
    <w:rsid w:val="00571475"/>
    <w:rsid w:val="00573721"/>
    <w:rsid w:val="0058206A"/>
    <w:rsid w:val="00583BB2"/>
    <w:rsid w:val="00592AEC"/>
    <w:rsid w:val="005973E8"/>
    <w:rsid w:val="005A04E7"/>
    <w:rsid w:val="005D0429"/>
    <w:rsid w:val="005D213E"/>
    <w:rsid w:val="005D751D"/>
    <w:rsid w:val="005F0514"/>
    <w:rsid w:val="005F35FA"/>
    <w:rsid w:val="0061419C"/>
    <w:rsid w:val="00615818"/>
    <w:rsid w:val="00615954"/>
    <w:rsid w:val="00632213"/>
    <w:rsid w:val="00645DC1"/>
    <w:rsid w:val="00661501"/>
    <w:rsid w:val="006626EF"/>
    <w:rsid w:val="00674D09"/>
    <w:rsid w:val="0068013F"/>
    <w:rsid w:val="00683748"/>
    <w:rsid w:val="00684E2C"/>
    <w:rsid w:val="00685C4B"/>
    <w:rsid w:val="006876D2"/>
    <w:rsid w:val="00691F52"/>
    <w:rsid w:val="00695996"/>
    <w:rsid w:val="00697FF5"/>
    <w:rsid w:val="006A4743"/>
    <w:rsid w:val="006B0AED"/>
    <w:rsid w:val="006B1E33"/>
    <w:rsid w:val="006B2492"/>
    <w:rsid w:val="006B6F9D"/>
    <w:rsid w:val="006C3208"/>
    <w:rsid w:val="006D35E2"/>
    <w:rsid w:val="00700558"/>
    <w:rsid w:val="00701284"/>
    <w:rsid w:val="00704491"/>
    <w:rsid w:val="00707D6C"/>
    <w:rsid w:val="00713011"/>
    <w:rsid w:val="007137AD"/>
    <w:rsid w:val="00733853"/>
    <w:rsid w:val="0073660C"/>
    <w:rsid w:val="0074215C"/>
    <w:rsid w:val="00745D67"/>
    <w:rsid w:val="007525B0"/>
    <w:rsid w:val="00752CCF"/>
    <w:rsid w:val="00755C8D"/>
    <w:rsid w:val="007563EA"/>
    <w:rsid w:val="00760339"/>
    <w:rsid w:val="007660BF"/>
    <w:rsid w:val="00770D8D"/>
    <w:rsid w:val="00783577"/>
    <w:rsid w:val="007929A8"/>
    <w:rsid w:val="00793DE2"/>
    <w:rsid w:val="007A1A07"/>
    <w:rsid w:val="007A7F9B"/>
    <w:rsid w:val="007B6F66"/>
    <w:rsid w:val="007D1D34"/>
    <w:rsid w:val="007E3938"/>
    <w:rsid w:val="007E3DC4"/>
    <w:rsid w:val="007E4A11"/>
    <w:rsid w:val="007F78AC"/>
    <w:rsid w:val="00800FF3"/>
    <w:rsid w:val="00807E37"/>
    <w:rsid w:val="00813D0F"/>
    <w:rsid w:val="0082047E"/>
    <w:rsid w:val="008255A9"/>
    <w:rsid w:val="008268A8"/>
    <w:rsid w:val="00830E4A"/>
    <w:rsid w:val="00831317"/>
    <w:rsid w:val="008320B0"/>
    <w:rsid w:val="008338A7"/>
    <w:rsid w:val="00836DED"/>
    <w:rsid w:val="008506C8"/>
    <w:rsid w:val="00854425"/>
    <w:rsid w:val="0086358B"/>
    <w:rsid w:val="00866FDB"/>
    <w:rsid w:val="00870271"/>
    <w:rsid w:val="00873284"/>
    <w:rsid w:val="00886DF8"/>
    <w:rsid w:val="008878D3"/>
    <w:rsid w:val="00887918"/>
    <w:rsid w:val="0088795D"/>
    <w:rsid w:val="00887AAD"/>
    <w:rsid w:val="00894645"/>
    <w:rsid w:val="008973E7"/>
    <w:rsid w:val="008A709E"/>
    <w:rsid w:val="008B0B05"/>
    <w:rsid w:val="008B7743"/>
    <w:rsid w:val="008C1170"/>
    <w:rsid w:val="008D3F38"/>
    <w:rsid w:val="008D43F8"/>
    <w:rsid w:val="008F1424"/>
    <w:rsid w:val="008F2903"/>
    <w:rsid w:val="008F2D07"/>
    <w:rsid w:val="00902A8E"/>
    <w:rsid w:val="00905D10"/>
    <w:rsid w:val="00921B13"/>
    <w:rsid w:val="009362A0"/>
    <w:rsid w:val="00945007"/>
    <w:rsid w:val="00964674"/>
    <w:rsid w:val="00970578"/>
    <w:rsid w:val="00972E8C"/>
    <w:rsid w:val="00981555"/>
    <w:rsid w:val="00997BEC"/>
    <w:rsid w:val="009A3ABB"/>
    <w:rsid w:val="009B2E31"/>
    <w:rsid w:val="009C669B"/>
    <w:rsid w:val="009D45BF"/>
    <w:rsid w:val="009E1089"/>
    <w:rsid w:val="009E6603"/>
    <w:rsid w:val="009E7C7B"/>
    <w:rsid w:val="009F5EBD"/>
    <w:rsid w:val="009F6BD1"/>
    <w:rsid w:val="00A07D80"/>
    <w:rsid w:val="00A30951"/>
    <w:rsid w:val="00A3116F"/>
    <w:rsid w:val="00A4300D"/>
    <w:rsid w:val="00A769B3"/>
    <w:rsid w:val="00A76EDA"/>
    <w:rsid w:val="00A868FF"/>
    <w:rsid w:val="00AC1D77"/>
    <w:rsid w:val="00AC44D4"/>
    <w:rsid w:val="00AD4407"/>
    <w:rsid w:val="00AD49E7"/>
    <w:rsid w:val="00AD5A14"/>
    <w:rsid w:val="00AD7CCE"/>
    <w:rsid w:val="00AE27AE"/>
    <w:rsid w:val="00AF042E"/>
    <w:rsid w:val="00AF0E94"/>
    <w:rsid w:val="00AF71BA"/>
    <w:rsid w:val="00B00D4C"/>
    <w:rsid w:val="00B043C8"/>
    <w:rsid w:val="00B13B38"/>
    <w:rsid w:val="00B26BD8"/>
    <w:rsid w:val="00B424D9"/>
    <w:rsid w:val="00B5284B"/>
    <w:rsid w:val="00B5550B"/>
    <w:rsid w:val="00B55E6B"/>
    <w:rsid w:val="00B75CE3"/>
    <w:rsid w:val="00B874C2"/>
    <w:rsid w:val="00B875C6"/>
    <w:rsid w:val="00B9075E"/>
    <w:rsid w:val="00B96F75"/>
    <w:rsid w:val="00B97D47"/>
    <w:rsid w:val="00BB0E99"/>
    <w:rsid w:val="00BB5998"/>
    <w:rsid w:val="00BB60D6"/>
    <w:rsid w:val="00BC6D0F"/>
    <w:rsid w:val="00BF3C32"/>
    <w:rsid w:val="00BF6C24"/>
    <w:rsid w:val="00C00B1C"/>
    <w:rsid w:val="00C062DD"/>
    <w:rsid w:val="00C205D3"/>
    <w:rsid w:val="00C26118"/>
    <w:rsid w:val="00C31502"/>
    <w:rsid w:val="00C3408D"/>
    <w:rsid w:val="00C469B7"/>
    <w:rsid w:val="00C522F2"/>
    <w:rsid w:val="00C579C2"/>
    <w:rsid w:val="00C67AC8"/>
    <w:rsid w:val="00C75922"/>
    <w:rsid w:val="00C75B1B"/>
    <w:rsid w:val="00C82104"/>
    <w:rsid w:val="00C866F4"/>
    <w:rsid w:val="00C924AE"/>
    <w:rsid w:val="00C97255"/>
    <w:rsid w:val="00CA6CF6"/>
    <w:rsid w:val="00CA7536"/>
    <w:rsid w:val="00CB2F64"/>
    <w:rsid w:val="00CB6699"/>
    <w:rsid w:val="00CC3006"/>
    <w:rsid w:val="00CE1B8E"/>
    <w:rsid w:val="00CE31A5"/>
    <w:rsid w:val="00CE3B0E"/>
    <w:rsid w:val="00CE3CDF"/>
    <w:rsid w:val="00CF40CE"/>
    <w:rsid w:val="00D0048F"/>
    <w:rsid w:val="00D07342"/>
    <w:rsid w:val="00D338C9"/>
    <w:rsid w:val="00D357A9"/>
    <w:rsid w:val="00D40C23"/>
    <w:rsid w:val="00D44470"/>
    <w:rsid w:val="00D46991"/>
    <w:rsid w:val="00D647F5"/>
    <w:rsid w:val="00D67ED6"/>
    <w:rsid w:val="00D748BD"/>
    <w:rsid w:val="00D74C3C"/>
    <w:rsid w:val="00D74E5D"/>
    <w:rsid w:val="00D7763B"/>
    <w:rsid w:val="00D876CF"/>
    <w:rsid w:val="00D94FE7"/>
    <w:rsid w:val="00DA25EC"/>
    <w:rsid w:val="00DA2C56"/>
    <w:rsid w:val="00DB2B2D"/>
    <w:rsid w:val="00DD40FD"/>
    <w:rsid w:val="00DD6378"/>
    <w:rsid w:val="00DD712F"/>
    <w:rsid w:val="00DE0C27"/>
    <w:rsid w:val="00DE190B"/>
    <w:rsid w:val="00DE3F14"/>
    <w:rsid w:val="00DF1343"/>
    <w:rsid w:val="00DF3DD3"/>
    <w:rsid w:val="00DF7FCD"/>
    <w:rsid w:val="00E00358"/>
    <w:rsid w:val="00E07192"/>
    <w:rsid w:val="00E100A5"/>
    <w:rsid w:val="00E11023"/>
    <w:rsid w:val="00E12157"/>
    <w:rsid w:val="00E14CC1"/>
    <w:rsid w:val="00E20069"/>
    <w:rsid w:val="00E22989"/>
    <w:rsid w:val="00E23F03"/>
    <w:rsid w:val="00E25B04"/>
    <w:rsid w:val="00E30412"/>
    <w:rsid w:val="00E36955"/>
    <w:rsid w:val="00E40E69"/>
    <w:rsid w:val="00E44F53"/>
    <w:rsid w:val="00E517D2"/>
    <w:rsid w:val="00E71042"/>
    <w:rsid w:val="00E7741F"/>
    <w:rsid w:val="00E8496E"/>
    <w:rsid w:val="00E92E6F"/>
    <w:rsid w:val="00E96513"/>
    <w:rsid w:val="00E9798F"/>
    <w:rsid w:val="00EA3B12"/>
    <w:rsid w:val="00EA430F"/>
    <w:rsid w:val="00EA4AC3"/>
    <w:rsid w:val="00EA5173"/>
    <w:rsid w:val="00EA6684"/>
    <w:rsid w:val="00EB6068"/>
    <w:rsid w:val="00EB7ABB"/>
    <w:rsid w:val="00EC4867"/>
    <w:rsid w:val="00EC6E4D"/>
    <w:rsid w:val="00ED16F7"/>
    <w:rsid w:val="00ED54F5"/>
    <w:rsid w:val="00ED7CB7"/>
    <w:rsid w:val="00EE0224"/>
    <w:rsid w:val="00EE7B08"/>
    <w:rsid w:val="00EF05E7"/>
    <w:rsid w:val="00F04CB2"/>
    <w:rsid w:val="00F04F27"/>
    <w:rsid w:val="00F066AD"/>
    <w:rsid w:val="00F06D41"/>
    <w:rsid w:val="00F13010"/>
    <w:rsid w:val="00F157C3"/>
    <w:rsid w:val="00F17202"/>
    <w:rsid w:val="00F20251"/>
    <w:rsid w:val="00F21C0A"/>
    <w:rsid w:val="00F2442D"/>
    <w:rsid w:val="00F52760"/>
    <w:rsid w:val="00F56522"/>
    <w:rsid w:val="00F60984"/>
    <w:rsid w:val="00F83710"/>
    <w:rsid w:val="00FB6136"/>
    <w:rsid w:val="00FC0751"/>
    <w:rsid w:val="00FC4872"/>
    <w:rsid w:val="00FD12FB"/>
    <w:rsid w:val="00FE3E04"/>
    <w:rsid w:val="00FF233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888913"/>
  <w15:docId w15:val="{D32FD54A-B5FB-41BE-8DBF-DC861374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35C"/>
    <w:pPr>
      <w:spacing w:after="0" w:line="240" w:lineRule="auto"/>
      <w:jc w:val="both"/>
    </w:pPr>
    <w:rPr>
      <w:sz w:val="24"/>
    </w:rPr>
  </w:style>
  <w:style w:type="paragraph" w:styleId="Ttulo1">
    <w:name w:val="heading 1"/>
    <w:aliases w:val="Tópico"/>
    <w:basedOn w:val="Normal"/>
    <w:next w:val="Normal"/>
    <w:link w:val="Ttulo1Car"/>
    <w:uiPriority w:val="1"/>
    <w:qFormat/>
    <w:rsid w:val="00262F7F"/>
    <w:pPr>
      <w:keepNext/>
      <w:keepLines/>
      <w:numPr>
        <w:numId w:val="17"/>
      </w:numPr>
      <w:spacing w:before="360" w:after="240"/>
      <w:ind w:left="284" w:hanging="284"/>
      <w:outlineLvl w:val="0"/>
    </w:pPr>
    <w:rPr>
      <w:rFonts w:ascii="Calibri" w:eastAsiaTheme="majorEastAsia" w:hAnsi="Calibri" w:cstheme="majorBidi"/>
      <w:b/>
      <w:bCs/>
      <w:caps/>
      <w:color w:val="000000" w:themeColor="text1"/>
      <w:sz w:val="28"/>
      <w:szCs w:val="28"/>
    </w:rPr>
  </w:style>
  <w:style w:type="paragraph" w:styleId="Ttulo2">
    <w:name w:val="heading 2"/>
    <w:aliases w:val="Subtópico 1"/>
    <w:basedOn w:val="Ttulo1"/>
    <w:next w:val="Normal"/>
    <w:link w:val="Ttulo2Car"/>
    <w:uiPriority w:val="2"/>
    <w:qFormat/>
    <w:rsid w:val="000145F5"/>
    <w:pPr>
      <w:numPr>
        <w:ilvl w:val="1"/>
      </w:numPr>
      <w:spacing w:after="120"/>
      <w:ind w:left="794" w:hanging="510"/>
      <w:outlineLvl w:val="1"/>
    </w:pPr>
    <w:rPr>
      <w:rFonts w:eastAsia="Times New Roman" w:cs="Arial"/>
      <w:b w:val="0"/>
      <w:bCs w:val="0"/>
      <w:iCs/>
      <w:caps w:val="0"/>
      <w:sz w:val="26"/>
      <w:lang w:eastAsia="pt-BR"/>
    </w:rPr>
  </w:style>
  <w:style w:type="paragraph" w:styleId="Ttulo3">
    <w:name w:val="heading 3"/>
    <w:aliases w:val="Subtópico 2"/>
    <w:basedOn w:val="Subttulo"/>
    <w:next w:val="Normal"/>
    <w:link w:val="Ttulo3Car"/>
    <w:uiPriority w:val="4"/>
    <w:unhideWhenUsed/>
    <w:qFormat/>
    <w:rsid w:val="000145F5"/>
    <w:pPr>
      <w:numPr>
        <w:ilvl w:val="2"/>
      </w:numPr>
      <w:spacing w:after="120"/>
      <w:ind w:left="1446" w:hanging="737"/>
      <w:outlineLvl w:val="2"/>
    </w:pPr>
    <w:rPr>
      <w:i/>
      <w:sz w:val="24"/>
    </w:rPr>
  </w:style>
  <w:style w:type="paragraph" w:styleId="Ttulo4">
    <w:name w:val="heading 4"/>
    <w:basedOn w:val="Normal"/>
    <w:next w:val="Normal"/>
    <w:link w:val="Ttulo4Car"/>
    <w:uiPriority w:val="9"/>
    <w:semiHidden/>
    <w:unhideWhenUsed/>
    <w:rsid w:val="003976D0"/>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3976D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976D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976D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976D0"/>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976D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92AEC"/>
    <w:pPr>
      <w:spacing w:before="100" w:beforeAutospacing="1" w:after="100" w:afterAutospacing="1"/>
    </w:pPr>
    <w:rPr>
      <w:rFonts w:ascii="Times New Roman" w:eastAsia="Times New Roman" w:hAnsi="Times New Roman" w:cs="Times New Roman"/>
      <w:szCs w:val="24"/>
      <w:lang w:eastAsia="pt-BR"/>
    </w:rPr>
  </w:style>
  <w:style w:type="character" w:styleId="nfasis">
    <w:name w:val="Emphasis"/>
    <w:basedOn w:val="Fuentedeprrafopredeter"/>
    <w:uiPriority w:val="20"/>
    <w:qFormat/>
    <w:rsid w:val="00D0048F"/>
    <w:rPr>
      <w:i/>
      <w:iCs/>
    </w:rPr>
  </w:style>
  <w:style w:type="paragraph" w:styleId="Encabezado">
    <w:name w:val="header"/>
    <w:basedOn w:val="Normal"/>
    <w:link w:val="EncabezadoCar"/>
    <w:uiPriority w:val="99"/>
    <w:unhideWhenUsed/>
    <w:rsid w:val="0010267A"/>
    <w:pPr>
      <w:tabs>
        <w:tab w:val="center" w:pos="4252"/>
        <w:tab w:val="right" w:pos="8504"/>
      </w:tabs>
    </w:pPr>
  </w:style>
  <w:style w:type="character" w:customStyle="1" w:styleId="EncabezadoCar">
    <w:name w:val="Encabezado Car"/>
    <w:basedOn w:val="Fuentedeprrafopredeter"/>
    <w:link w:val="Encabezado"/>
    <w:uiPriority w:val="99"/>
    <w:rsid w:val="0010267A"/>
  </w:style>
  <w:style w:type="paragraph" w:styleId="Piedepgina">
    <w:name w:val="footer"/>
    <w:basedOn w:val="Normal"/>
    <w:link w:val="PiedepginaCar"/>
    <w:uiPriority w:val="99"/>
    <w:unhideWhenUsed/>
    <w:rsid w:val="0010267A"/>
    <w:pPr>
      <w:tabs>
        <w:tab w:val="center" w:pos="4252"/>
        <w:tab w:val="right" w:pos="8504"/>
      </w:tabs>
    </w:pPr>
  </w:style>
  <w:style w:type="character" w:customStyle="1" w:styleId="PiedepginaCar">
    <w:name w:val="Pie de página Car"/>
    <w:basedOn w:val="Fuentedeprrafopredeter"/>
    <w:link w:val="Piedepgina"/>
    <w:uiPriority w:val="99"/>
    <w:rsid w:val="0010267A"/>
  </w:style>
  <w:style w:type="paragraph" w:styleId="Textodeglobo">
    <w:name w:val="Balloon Text"/>
    <w:basedOn w:val="Normal"/>
    <w:link w:val="TextodegloboCar"/>
    <w:uiPriority w:val="99"/>
    <w:semiHidden/>
    <w:unhideWhenUsed/>
    <w:rsid w:val="0010267A"/>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67A"/>
    <w:rPr>
      <w:rFonts w:ascii="Tahoma" w:hAnsi="Tahoma" w:cs="Tahoma"/>
      <w:sz w:val="16"/>
      <w:szCs w:val="16"/>
    </w:rPr>
  </w:style>
  <w:style w:type="table" w:styleId="Tablaconcuadrcula">
    <w:name w:val="Table Grid"/>
    <w:basedOn w:val="Tablanormal"/>
    <w:locked/>
    <w:rsid w:val="00102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Corpo do Texto"/>
    <w:uiPriority w:val="1"/>
    <w:qFormat/>
    <w:rsid w:val="00512F5D"/>
    <w:pPr>
      <w:spacing w:before="120" w:after="120" w:line="252" w:lineRule="auto"/>
      <w:ind w:firstLine="709"/>
      <w:jc w:val="both"/>
    </w:pPr>
    <w:rPr>
      <w:sz w:val="24"/>
    </w:rPr>
  </w:style>
  <w:style w:type="paragraph" w:styleId="Textonotapie">
    <w:name w:val="footnote text"/>
    <w:basedOn w:val="Normal"/>
    <w:link w:val="TextonotapieCar"/>
    <w:uiPriority w:val="99"/>
    <w:semiHidden/>
    <w:unhideWhenUsed/>
    <w:rsid w:val="00B00D4C"/>
    <w:rPr>
      <w:sz w:val="20"/>
      <w:szCs w:val="20"/>
    </w:rPr>
  </w:style>
  <w:style w:type="character" w:customStyle="1" w:styleId="TextonotapieCar">
    <w:name w:val="Texto nota pie Car"/>
    <w:basedOn w:val="Fuentedeprrafopredeter"/>
    <w:link w:val="Textonotapie"/>
    <w:uiPriority w:val="99"/>
    <w:semiHidden/>
    <w:rsid w:val="00B00D4C"/>
    <w:rPr>
      <w:sz w:val="20"/>
      <w:szCs w:val="20"/>
    </w:rPr>
  </w:style>
  <w:style w:type="character" w:styleId="Refdenotaalpie">
    <w:name w:val="footnote reference"/>
    <w:basedOn w:val="Fuentedeprrafopredeter"/>
    <w:uiPriority w:val="99"/>
    <w:semiHidden/>
    <w:unhideWhenUsed/>
    <w:rsid w:val="00B00D4C"/>
    <w:rPr>
      <w:vertAlign w:val="superscript"/>
    </w:rPr>
  </w:style>
  <w:style w:type="paragraph" w:styleId="Prrafodelista">
    <w:name w:val="List Paragraph"/>
    <w:basedOn w:val="Normal"/>
    <w:uiPriority w:val="34"/>
    <w:qFormat/>
    <w:rsid w:val="00D0048F"/>
    <w:pPr>
      <w:ind w:left="720"/>
      <w:contextualSpacing/>
    </w:pPr>
  </w:style>
  <w:style w:type="table" w:styleId="Sombreadoclaro-nfasis2">
    <w:name w:val="Light Shading Accent 2"/>
    <w:basedOn w:val="Tablanormal"/>
    <w:uiPriority w:val="60"/>
    <w:locked/>
    <w:rsid w:val="00AC1D7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uadrculaclara">
    <w:name w:val="Light Grid"/>
    <w:basedOn w:val="Tablanormal"/>
    <w:uiPriority w:val="62"/>
    <w:locked/>
    <w:rsid w:val="00AC1D77"/>
    <w:pPr>
      <w:spacing w:after="0" w:line="240" w:lineRule="auto"/>
    </w:pPr>
    <w:tblPr>
      <w:tblStyleRowBandSize w:val="1"/>
      <w:tblStyleColBandSize w:val="1"/>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ario">
    <w:name w:val="annotation reference"/>
    <w:basedOn w:val="Fuentedeprrafopredeter"/>
    <w:uiPriority w:val="99"/>
    <w:semiHidden/>
    <w:unhideWhenUsed/>
    <w:rsid w:val="00D07342"/>
    <w:rPr>
      <w:sz w:val="16"/>
      <w:szCs w:val="16"/>
    </w:rPr>
  </w:style>
  <w:style w:type="paragraph" w:styleId="Textocomentario">
    <w:name w:val="annotation text"/>
    <w:basedOn w:val="Normal"/>
    <w:link w:val="TextocomentarioCar"/>
    <w:semiHidden/>
    <w:unhideWhenUsed/>
    <w:rsid w:val="00D07342"/>
    <w:rPr>
      <w:sz w:val="20"/>
      <w:szCs w:val="20"/>
    </w:rPr>
  </w:style>
  <w:style w:type="character" w:customStyle="1" w:styleId="TextocomentarioCar">
    <w:name w:val="Texto comentario Car"/>
    <w:basedOn w:val="Fuentedeprrafopredeter"/>
    <w:link w:val="Textocomentario"/>
    <w:uiPriority w:val="99"/>
    <w:semiHidden/>
    <w:rsid w:val="00D07342"/>
    <w:rPr>
      <w:sz w:val="20"/>
      <w:szCs w:val="20"/>
    </w:rPr>
  </w:style>
  <w:style w:type="paragraph" w:styleId="Asuntodelcomentario">
    <w:name w:val="annotation subject"/>
    <w:basedOn w:val="Textocomentario"/>
    <w:next w:val="Textocomentario"/>
    <w:link w:val="AsuntodelcomentarioCar"/>
    <w:uiPriority w:val="99"/>
    <w:semiHidden/>
    <w:unhideWhenUsed/>
    <w:rsid w:val="00D07342"/>
    <w:rPr>
      <w:b/>
      <w:bCs/>
    </w:rPr>
  </w:style>
  <w:style w:type="character" w:customStyle="1" w:styleId="AsuntodelcomentarioCar">
    <w:name w:val="Asunto del comentario Car"/>
    <w:basedOn w:val="TextocomentarioCar"/>
    <w:link w:val="Asuntodelcomentario"/>
    <w:uiPriority w:val="99"/>
    <w:semiHidden/>
    <w:rsid w:val="00D07342"/>
    <w:rPr>
      <w:b/>
      <w:bCs/>
      <w:sz w:val="20"/>
      <w:szCs w:val="20"/>
    </w:rPr>
  </w:style>
  <w:style w:type="character" w:customStyle="1" w:styleId="Ttulo2Car">
    <w:name w:val="Título 2 Car"/>
    <w:aliases w:val="Subtópico 1 Car"/>
    <w:basedOn w:val="Fuentedeprrafopredeter"/>
    <w:link w:val="Ttulo2"/>
    <w:uiPriority w:val="2"/>
    <w:rsid w:val="000145F5"/>
    <w:rPr>
      <w:rFonts w:ascii="Calibri" w:eastAsia="Times New Roman" w:hAnsi="Calibri" w:cs="Arial"/>
      <w:iCs/>
      <w:color w:val="000000" w:themeColor="text1"/>
      <w:sz w:val="26"/>
      <w:szCs w:val="28"/>
      <w:lang w:eastAsia="pt-BR"/>
    </w:rPr>
  </w:style>
  <w:style w:type="character" w:customStyle="1" w:styleId="Ttulo3Car">
    <w:name w:val="Título 3 Car"/>
    <w:aliases w:val="Subtópico 2 Car"/>
    <w:basedOn w:val="Fuentedeprrafopredeter"/>
    <w:link w:val="Ttulo3"/>
    <w:uiPriority w:val="4"/>
    <w:rsid w:val="000145F5"/>
    <w:rPr>
      <w:rFonts w:ascii="Calibri" w:eastAsiaTheme="majorEastAsia" w:hAnsi="Calibri" w:cstheme="majorBidi"/>
      <w:bCs/>
      <w:i/>
      <w:color w:val="000000" w:themeColor="text1"/>
      <w:spacing w:val="5"/>
      <w:kern w:val="28"/>
      <w:sz w:val="24"/>
      <w:szCs w:val="52"/>
    </w:rPr>
  </w:style>
  <w:style w:type="character" w:styleId="Textoennegrita">
    <w:name w:val="Strong"/>
    <w:basedOn w:val="Fuentedeprrafopredeter"/>
    <w:uiPriority w:val="22"/>
    <w:qFormat/>
    <w:rsid w:val="00D0048F"/>
    <w:rPr>
      <w:rFonts w:cs="Times New Roman"/>
      <w:b/>
    </w:rPr>
  </w:style>
  <w:style w:type="paragraph" w:styleId="Descripcin">
    <w:name w:val="caption"/>
    <w:basedOn w:val="Normal"/>
    <w:next w:val="Normal"/>
    <w:uiPriority w:val="99"/>
    <w:qFormat/>
    <w:rsid w:val="00674D09"/>
    <w:pPr>
      <w:spacing w:before="120" w:after="120"/>
      <w:jc w:val="center"/>
    </w:pPr>
    <w:rPr>
      <w:rFonts w:eastAsia="Times New Roman" w:cs="Arial"/>
      <w:b/>
      <w:bCs/>
      <w:sz w:val="20"/>
      <w:szCs w:val="20"/>
    </w:rPr>
  </w:style>
  <w:style w:type="paragraph" w:customStyle="1" w:styleId="Textbody">
    <w:name w:val="Text body"/>
    <w:basedOn w:val="Normal"/>
    <w:uiPriority w:val="99"/>
    <w:locked/>
    <w:rsid w:val="00F04CB2"/>
    <w:pPr>
      <w:suppressAutoHyphens/>
      <w:autoSpaceDN w:val="0"/>
      <w:jc w:val="center"/>
      <w:textAlignment w:val="baseline"/>
    </w:pPr>
    <w:rPr>
      <w:rFonts w:ascii="Times New Roman" w:eastAsia="Times New Roman" w:hAnsi="Times New Roman" w:cs="Times New Roman"/>
      <w:b/>
      <w:bCs/>
      <w:kern w:val="3"/>
      <w:szCs w:val="24"/>
      <w:u w:val="single"/>
      <w:lang w:eastAsia="pt-BR"/>
    </w:rPr>
  </w:style>
  <w:style w:type="character" w:styleId="Hipervnculo">
    <w:name w:val="Hyperlink"/>
    <w:basedOn w:val="Fuentedeprrafopredeter"/>
    <w:uiPriority w:val="99"/>
    <w:rsid w:val="002B0756"/>
    <w:rPr>
      <w:rFonts w:cs="Times New Roman"/>
      <w:color w:val="0000FF"/>
      <w:u w:val="single"/>
    </w:rPr>
  </w:style>
  <w:style w:type="paragraph" w:styleId="Textoindependiente">
    <w:name w:val="Body Text"/>
    <w:basedOn w:val="Normal"/>
    <w:link w:val="TextoindependienteCar"/>
    <w:rsid w:val="004E1B8A"/>
    <w:rPr>
      <w:rFonts w:ascii="Times New Roman" w:eastAsia="Times New Roman" w:hAnsi="Times New Roman" w:cs="Times New Roman"/>
      <w:szCs w:val="24"/>
      <w:lang w:eastAsia="pt-BR"/>
    </w:rPr>
  </w:style>
  <w:style w:type="character" w:customStyle="1" w:styleId="TextoindependienteCar">
    <w:name w:val="Texto independiente Car"/>
    <w:basedOn w:val="Fuentedeprrafopredeter"/>
    <w:link w:val="Textoindependiente"/>
    <w:rsid w:val="004E1B8A"/>
    <w:rPr>
      <w:rFonts w:ascii="Times New Roman" w:eastAsia="Times New Roman" w:hAnsi="Times New Roman" w:cs="Times New Roman"/>
      <w:sz w:val="24"/>
      <w:szCs w:val="24"/>
      <w:lang w:eastAsia="pt-BR"/>
    </w:rPr>
  </w:style>
  <w:style w:type="paragraph" w:customStyle="1" w:styleId="HOLOS-ttulodoartigo">
    <w:name w:val="HOLOS - título do artigo"/>
    <w:basedOn w:val="Normal"/>
    <w:autoRedefine/>
    <w:locked/>
    <w:rsid w:val="00571475"/>
    <w:pPr>
      <w:spacing w:before="240" w:after="240"/>
      <w:jc w:val="center"/>
    </w:pPr>
    <w:rPr>
      <w:rFonts w:ascii="Bookman Old Style" w:hAnsi="Bookman Old Style" w:cs="Arial"/>
      <w:b/>
      <w:bCs/>
      <w:snapToGrid w:val="0"/>
      <w:color w:val="7030A0"/>
      <w:sz w:val="28"/>
      <w:szCs w:val="24"/>
      <w:lang w:val="es-ES" w:eastAsia="es-ES"/>
    </w:rPr>
  </w:style>
  <w:style w:type="paragraph" w:customStyle="1" w:styleId="HOLOS-Autores">
    <w:name w:val="HOLOS - Autores"/>
    <w:basedOn w:val="Normal"/>
    <w:locked/>
    <w:rsid w:val="00615818"/>
    <w:pPr>
      <w:jc w:val="center"/>
    </w:pPr>
    <w:rPr>
      <w:rFonts w:cstheme="minorHAnsi"/>
      <w:b/>
      <w:sz w:val="18"/>
    </w:rPr>
  </w:style>
  <w:style w:type="paragraph" w:customStyle="1" w:styleId="HOLOS-ResumoeAbstract">
    <w:name w:val="HOLOS - Resumo e Abstract"/>
    <w:basedOn w:val="Normal"/>
    <w:locked/>
    <w:rsid w:val="00707D6C"/>
    <w:rPr>
      <w:rFonts w:cstheme="minorHAnsi"/>
      <w:bCs/>
      <w:sz w:val="20"/>
      <w:szCs w:val="24"/>
      <w:lang w:val="en-US"/>
    </w:rPr>
  </w:style>
  <w:style w:type="paragraph" w:customStyle="1" w:styleId="HOLOS-subtitulos">
    <w:name w:val="HOLOS - subtitulos"/>
    <w:basedOn w:val="Sinespaciado"/>
    <w:locked/>
    <w:rsid w:val="00D0048F"/>
    <w:rPr>
      <w:rFonts w:cstheme="minorHAnsi"/>
      <w:b/>
      <w:szCs w:val="24"/>
    </w:rPr>
  </w:style>
  <w:style w:type="character" w:customStyle="1" w:styleId="Ttulo1Car">
    <w:name w:val="Título 1 Car"/>
    <w:aliases w:val="Tópico Car"/>
    <w:basedOn w:val="Fuentedeprrafopredeter"/>
    <w:link w:val="Ttulo1"/>
    <w:uiPriority w:val="1"/>
    <w:rsid w:val="00262F7F"/>
    <w:rPr>
      <w:rFonts w:ascii="Calibri" w:eastAsiaTheme="majorEastAsia" w:hAnsi="Calibri" w:cstheme="majorBidi"/>
      <w:b/>
      <w:bCs/>
      <w:caps/>
      <w:color w:val="000000" w:themeColor="text1"/>
      <w:sz w:val="28"/>
      <w:szCs w:val="28"/>
    </w:rPr>
  </w:style>
  <w:style w:type="paragraph" w:customStyle="1" w:styleId="Padro">
    <w:name w:val="Padrão"/>
    <w:locked/>
    <w:rsid w:val="00707D6C"/>
    <w:pPr>
      <w:widowControl w:val="0"/>
      <w:tabs>
        <w:tab w:val="left" w:pos="709"/>
      </w:tabs>
      <w:suppressAutoHyphens/>
      <w:spacing w:after="0" w:line="200" w:lineRule="atLeast"/>
    </w:pPr>
    <w:rPr>
      <w:rFonts w:ascii="Times New Roman" w:eastAsia="DejaVu Sans" w:hAnsi="Times New Roman" w:cs="DejaVu Sans"/>
      <w:sz w:val="24"/>
      <w:szCs w:val="24"/>
      <w:lang w:eastAsia="pt-BR" w:bidi="pt-BR"/>
    </w:rPr>
  </w:style>
  <w:style w:type="character" w:customStyle="1" w:styleId="apple-style-span">
    <w:name w:val="apple-style-span"/>
    <w:basedOn w:val="Fuentedeprrafopredeter"/>
    <w:locked/>
    <w:rsid w:val="00707D6C"/>
  </w:style>
  <w:style w:type="character" w:customStyle="1" w:styleId="apple-converted-space">
    <w:name w:val="apple-converted-space"/>
    <w:basedOn w:val="Fuentedeprrafopredeter"/>
    <w:locked/>
    <w:rsid w:val="00707D6C"/>
  </w:style>
  <w:style w:type="paragraph" w:styleId="Sangra3detindependiente">
    <w:name w:val="Body Text Indent 3"/>
    <w:basedOn w:val="Normal"/>
    <w:link w:val="Sangra3detindependienteCar"/>
    <w:uiPriority w:val="99"/>
    <w:semiHidden/>
    <w:unhideWhenUsed/>
    <w:rsid w:val="00707D6C"/>
    <w:pPr>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07D6C"/>
    <w:rPr>
      <w:sz w:val="16"/>
      <w:szCs w:val="16"/>
    </w:rPr>
  </w:style>
  <w:style w:type="paragraph" w:customStyle="1" w:styleId="PargrafodaLista1">
    <w:name w:val="Parágrafo da Lista1"/>
    <w:basedOn w:val="Padro"/>
    <w:locked/>
    <w:rsid w:val="00707D6C"/>
    <w:pPr>
      <w:ind w:left="720"/>
    </w:pPr>
  </w:style>
  <w:style w:type="paragraph" w:customStyle="1" w:styleId="Contedodetabela">
    <w:name w:val="Conteúdo de tabela"/>
    <w:basedOn w:val="Padro"/>
    <w:locked/>
    <w:rsid w:val="00707D6C"/>
    <w:pPr>
      <w:suppressLineNumbers/>
    </w:pPr>
  </w:style>
  <w:style w:type="paragraph" w:customStyle="1" w:styleId="Referncias">
    <w:name w:val="Referências"/>
    <w:qFormat/>
    <w:locked/>
    <w:rsid w:val="00512F5D"/>
    <w:pPr>
      <w:widowControl w:val="0"/>
      <w:numPr>
        <w:numId w:val="24"/>
      </w:numPr>
      <w:tabs>
        <w:tab w:val="left" w:pos="426"/>
      </w:tabs>
      <w:suppressAutoHyphens/>
      <w:spacing w:before="120" w:after="120" w:line="240" w:lineRule="auto"/>
      <w:ind w:left="426" w:hanging="426"/>
      <w:jc w:val="both"/>
    </w:pPr>
    <w:rPr>
      <w:rFonts w:eastAsia="DejaVu Sans" w:cs="DejaVu Sans"/>
      <w:sz w:val="24"/>
      <w:szCs w:val="24"/>
      <w:lang w:val="en-US" w:eastAsia="pt-BR" w:bidi="pt-BR"/>
    </w:rPr>
  </w:style>
  <w:style w:type="character" w:styleId="Hipervnculovisitado">
    <w:name w:val="FollowedHyperlink"/>
    <w:basedOn w:val="Fuentedeprrafopredeter"/>
    <w:uiPriority w:val="99"/>
    <w:semiHidden/>
    <w:unhideWhenUsed/>
    <w:rsid w:val="00A07D80"/>
    <w:rPr>
      <w:color w:val="800080" w:themeColor="followedHyperlink"/>
      <w:u w:val="single"/>
    </w:rPr>
  </w:style>
  <w:style w:type="paragraph" w:styleId="Subttulo">
    <w:name w:val="Subtitle"/>
    <w:basedOn w:val="Ttulo1"/>
    <w:next w:val="Normal"/>
    <w:link w:val="SubttuloCar"/>
    <w:uiPriority w:val="3"/>
    <w:rsid w:val="000A1236"/>
    <w:pPr>
      <w:outlineLvl w:val="1"/>
    </w:pPr>
    <w:rPr>
      <w:b w:val="0"/>
      <w:caps w:val="0"/>
      <w:spacing w:val="5"/>
      <w:kern w:val="28"/>
      <w:sz w:val="26"/>
      <w:szCs w:val="52"/>
    </w:rPr>
  </w:style>
  <w:style w:type="character" w:customStyle="1" w:styleId="SubttuloCar">
    <w:name w:val="Subtítulo Car"/>
    <w:basedOn w:val="Fuentedeprrafopredeter"/>
    <w:link w:val="Subttulo"/>
    <w:uiPriority w:val="3"/>
    <w:rsid w:val="003976D0"/>
    <w:rPr>
      <w:rFonts w:ascii="Calibri" w:eastAsiaTheme="majorEastAsia" w:hAnsi="Calibri" w:cstheme="majorBidi"/>
      <w:bCs/>
      <w:color w:val="000000" w:themeColor="text1"/>
      <w:spacing w:val="5"/>
      <w:kern w:val="28"/>
      <w:sz w:val="26"/>
      <w:szCs w:val="52"/>
    </w:rPr>
  </w:style>
  <w:style w:type="character" w:customStyle="1" w:styleId="Ttulo4Car">
    <w:name w:val="Título 4 Car"/>
    <w:basedOn w:val="Fuentedeprrafopredeter"/>
    <w:link w:val="Ttulo4"/>
    <w:uiPriority w:val="9"/>
    <w:semiHidden/>
    <w:rsid w:val="003976D0"/>
    <w:rPr>
      <w:rFonts w:asciiTheme="majorHAnsi" w:eastAsiaTheme="majorEastAsia" w:hAnsiTheme="majorHAnsi" w:cstheme="majorBidi"/>
      <w:b/>
      <w:bCs/>
      <w:i/>
      <w:iCs/>
      <w:color w:val="4F81BD" w:themeColor="accent1"/>
      <w:sz w:val="24"/>
    </w:rPr>
  </w:style>
  <w:style w:type="character" w:customStyle="1" w:styleId="Ttulo5Car">
    <w:name w:val="Título 5 Car"/>
    <w:basedOn w:val="Fuentedeprrafopredeter"/>
    <w:link w:val="Ttulo5"/>
    <w:uiPriority w:val="9"/>
    <w:semiHidden/>
    <w:rsid w:val="003976D0"/>
    <w:rPr>
      <w:rFonts w:asciiTheme="majorHAnsi" w:eastAsiaTheme="majorEastAsia" w:hAnsiTheme="majorHAnsi" w:cstheme="majorBidi"/>
      <w:color w:val="243F60" w:themeColor="accent1" w:themeShade="7F"/>
      <w:sz w:val="24"/>
    </w:rPr>
  </w:style>
  <w:style w:type="character" w:customStyle="1" w:styleId="Ttulo6Car">
    <w:name w:val="Título 6 Car"/>
    <w:basedOn w:val="Fuentedeprrafopredeter"/>
    <w:link w:val="Ttulo6"/>
    <w:uiPriority w:val="9"/>
    <w:semiHidden/>
    <w:rsid w:val="003976D0"/>
    <w:rPr>
      <w:rFonts w:asciiTheme="majorHAnsi" w:eastAsiaTheme="majorEastAsia" w:hAnsiTheme="majorHAnsi" w:cstheme="majorBidi"/>
      <w:i/>
      <w:iCs/>
      <w:color w:val="243F60" w:themeColor="accent1" w:themeShade="7F"/>
      <w:sz w:val="24"/>
    </w:rPr>
  </w:style>
  <w:style w:type="character" w:customStyle="1" w:styleId="Ttulo7Car">
    <w:name w:val="Título 7 Car"/>
    <w:basedOn w:val="Fuentedeprrafopredeter"/>
    <w:link w:val="Ttulo7"/>
    <w:uiPriority w:val="9"/>
    <w:semiHidden/>
    <w:rsid w:val="003976D0"/>
    <w:rPr>
      <w:rFonts w:asciiTheme="majorHAnsi" w:eastAsiaTheme="majorEastAsia" w:hAnsiTheme="majorHAnsi" w:cstheme="majorBidi"/>
      <w:i/>
      <w:iCs/>
      <w:color w:val="404040" w:themeColor="text1" w:themeTint="BF"/>
      <w:sz w:val="24"/>
    </w:rPr>
  </w:style>
  <w:style w:type="character" w:customStyle="1" w:styleId="Ttulo8Car">
    <w:name w:val="Título 8 Car"/>
    <w:basedOn w:val="Fuentedeprrafopredeter"/>
    <w:link w:val="Ttulo8"/>
    <w:uiPriority w:val="9"/>
    <w:semiHidden/>
    <w:rsid w:val="003976D0"/>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976D0"/>
    <w:rPr>
      <w:rFonts w:asciiTheme="majorHAnsi" w:eastAsiaTheme="majorEastAsia" w:hAnsiTheme="majorHAnsi" w:cstheme="majorBidi"/>
      <w:i/>
      <w:iCs/>
      <w:color w:val="404040" w:themeColor="text1" w:themeTint="BF"/>
      <w:sz w:val="20"/>
      <w:szCs w:val="20"/>
    </w:rPr>
  </w:style>
  <w:style w:type="table" w:customStyle="1" w:styleId="Calendrio1">
    <w:name w:val="Calendário 1"/>
    <w:basedOn w:val="Tablanormal"/>
    <w:uiPriority w:val="99"/>
    <w:qFormat/>
    <w:locked/>
    <w:rsid w:val="003B7CB3"/>
    <w:pPr>
      <w:spacing w:after="0" w:line="240" w:lineRule="auto"/>
    </w:pPr>
    <w:rPr>
      <w:rFonts w:eastAsiaTheme="minorEastAsia"/>
      <w:lang w:eastAsia="pt-B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ita">
    <w:name w:val="Quote"/>
    <w:basedOn w:val="Normal"/>
    <w:next w:val="Normal"/>
    <w:link w:val="CitaCar"/>
    <w:uiPriority w:val="29"/>
    <w:qFormat/>
    <w:rsid w:val="00277264"/>
    <w:pPr>
      <w:spacing w:before="240" w:after="240"/>
      <w:ind w:left="2268"/>
    </w:pPr>
    <w:rPr>
      <w:iCs/>
      <w:color w:val="000000" w:themeColor="text1"/>
      <w:sz w:val="22"/>
    </w:rPr>
  </w:style>
  <w:style w:type="character" w:customStyle="1" w:styleId="CitaCar">
    <w:name w:val="Cita Car"/>
    <w:basedOn w:val="Fuentedeprrafopredeter"/>
    <w:link w:val="Cita"/>
    <w:uiPriority w:val="29"/>
    <w:rsid w:val="00277264"/>
    <w:rPr>
      <w:iCs/>
      <w:color w:val="000000" w:themeColor="text1"/>
    </w:rPr>
  </w:style>
  <w:style w:type="paragraph" w:styleId="Textonotaalfinal">
    <w:name w:val="endnote text"/>
    <w:basedOn w:val="Normal"/>
    <w:link w:val="TextonotaalfinalCar"/>
    <w:semiHidden/>
    <w:unhideWhenUsed/>
    <w:rsid w:val="0038735E"/>
    <w:pPr>
      <w:jc w:val="left"/>
    </w:pPr>
    <w:rPr>
      <w:rFonts w:ascii="Times" w:eastAsia="Times New Roman" w:hAnsi="Times" w:cs="Times , serif"/>
      <w:sz w:val="20"/>
      <w:szCs w:val="20"/>
      <w:lang w:val="pt-PT" w:eastAsia="pt-PT"/>
    </w:rPr>
  </w:style>
  <w:style w:type="character" w:customStyle="1" w:styleId="TextonotaalfinalCar">
    <w:name w:val="Texto nota al final Car"/>
    <w:basedOn w:val="Fuentedeprrafopredeter"/>
    <w:link w:val="Textonotaalfinal"/>
    <w:semiHidden/>
    <w:rsid w:val="0038735E"/>
    <w:rPr>
      <w:rFonts w:ascii="Times" w:eastAsia="Times New Roman" w:hAnsi="Times" w:cs="Times , serif"/>
      <w:sz w:val="20"/>
      <w:szCs w:val="20"/>
      <w:lang w:val="pt-PT" w:eastAsia="pt-PT"/>
    </w:rPr>
  </w:style>
  <w:style w:type="character" w:styleId="Refdenotaalfinal">
    <w:name w:val="endnote reference"/>
    <w:basedOn w:val="Fuentedeprrafopredeter"/>
    <w:semiHidden/>
    <w:unhideWhenUsed/>
    <w:rsid w:val="003873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031191">
      <w:bodyDiv w:val="1"/>
      <w:marLeft w:val="0"/>
      <w:marRight w:val="0"/>
      <w:marTop w:val="0"/>
      <w:marBottom w:val="0"/>
      <w:divBdr>
        <w:top w:val="none" w:sz="0" w:space="0" w:color="auto"/>
        <w:left w:val="none" w:sz="0" w:space="0" w:color="auto"/>
        <w:bottom w:val="none" w:sz="0" w:space="0" w:color="auto"/>
        <w:right w:val="none" w:sz="0" w:space="0" w:color="auto"/>
      </w:divBdr>
    </w:div>
    <w:div w:id="1280186008">
      <w:bodyDiv w:val="1"/>
      <w:marLeft w:val="0"/>
      <w:marRight w:val="0"/>
      <w:marTop w:val="0"/>
      <w:marBottom w:val="0"/>
      <w:divBdr>
        <w:top w:val="none" w:sz="0" w:space="0" w:color="auto"/>
        <w:left w:val="none" w:sz="0" w:space="0" w:color="auto"/>
        <w:bottom w:val="none" w:sz="0" w:space="0" w:color="auto"/>
        <w:right w:val="none" w:sz="0" w:space="0" w:color="auto"/>
      </w:divBdr>
    </w:div>
    <w:div w:id="1436636439">
      <w:bodyDiv w:val="1"/>
      <w:marLeft w:val="0"/>
      <w:marRight w:val="0"/>
      <w:marTop w:val="0"/>
      <w:marBottom w:val="0"/>
      <w:divBdr>
        <w:top w:val="none" w:sz="0" w:space="0" w:color="auto"/>
        <w:left w:val="none" w:sz="0" w:space="0" w:color="auto"/>
        <w:bottom w:val="none" w:sz="0" w:space="0" w:color="auto"/>
        <w:right w:val="none" w:sz="0" w:space="0" w:color="auto"/>
      </w:divBdr>
    </w:div>
    <w:div w:id="1443919840">
      <w:bodyDiv w:val="1"/>
      <w:marLeft w:val="0"/>
      <w:marRight w:val="0"/>
      <w:marTop w:val="0"/>
      <w:marBottom w:val="0"/>
      <w:divBdr>
        <w:top w:val="none" w:sz="0" w:space="0" w:color="auto"/>
        <w:left w:val="none" w:sz="0" w:space="0" w:color="auto"/>
        <w:bottom w:val="none" w:sz="0" w:space="0" w:color="auto"/>
        <w:right w:val="none" w:sz="0" w:space="0" w:color="auto"/>
      </w:divBdr>
    </w:div>
    <w:div w:id="213224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3-1258-4333"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Con921</b:Tag>
    <b:SourceType>Misc</b:SourceType>
    <b:Guid>{E9D6B49E-716D-451C-96E8-99739BAEAEDC}</b:Guid>
    <b:Author>
      <b:Author>
        <b:Corporate>Congreso de Colombia</b:Corporate>
      </b:Author>
    </b:Author>
    <b:PublicationTitle>Ley 30 de 1992. Por la cual se organiza el servicio público de la Educación Superior</b:PublicationTitle>
    <b:Year>1992</b:Year>
    <b:Month>diciembre</b:Month>
    <b:Day>28</b:Day>
    <b:City>Bogotá</b:City>
    <b:CountryRegion>Colombia</b:CountryRegion>
    <b:URL>http://www.secretariasenado.gov.co/senado/basedoc/ley/1992/ley_0030_1992.html</b:URL>
    <b:RefOrder>7</b:RefOrder>
  </b:Source>
  <b:Source>
    <b:Tag>Fou76</b:Tag>
    <b:SourceType>Book</b:SourceType>
    <b:Guid>{81BDAFB6-FC15-44CB-8D83-D55FC083B2A9}</b:Guid>
    <b:Title>Vigilar y castigar</b:Title>
    <b:Year>1976</b:Year>
    <b:City>México</b:City>
    <b:Publisher>Siglo XXI</b:Publisher>
    <b:Author>
      <b:Author>
        <b:NameList>
          <b:Person>
            <b:Last>Foucault</b:Last>
            <b:First>M.</b:First>
          </b:Person>
        </b:NameList>
      </b:Author>
    </b:Author>
    <b:RefOrder>9</b:RefOrder>
  </b:Source>
</b:Sources>
</file>

<file path=customXml/itemProps1.xml><?xml version="1.0" encoding="utf-8"?>
<ds:datastoreItem xmlns:ds="http://schemas.openxmlformats.org/officeDocument/2006/customXml" ds:itemID="{299F3A22-4785-4E09-A069-0B0A4CC35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24</Pages>
  <Words>9913</Words>
  <Characters>54526</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Bamam Medeiros de Souza</dc:creator>
  <cp:lastModifiedBy>TOSAM</cp:lastModifiedBy>
  <cp:revision>3</cp:revision>
  <cp:lastPrinted>2011-05-27T11:14:00Z</cp:lastPrinted>
  <dcterms:created xsi:type="dcterms:W3CDTF">2018-03-13T18:52:00Z</dcterms:created>
  <dcterms:modified xsi:type="dcterms:W3CDTF">2020-03-17T15:36:00Z</dcterms:modified>
</cp:coreProperties>
</file>