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75E" w:rsidRDefault="0013595A" w:rsidP="00DC0444">
      <w:pPr>
        <w:spacing w:after="0" w:line="240" w:lineRule="auto"/>
        <w:jc w:val="center"/>
        <w:rPr>
          <w:rFonts w:ascii="Times New Roman" w:hAnsi="Times New Roman" w:cs="Times New Roman"/>
          <w:b/>
          <w:caps/>
          <w:sz w:val="28"/>
          <w:szCs w:val="28"/>
        </w:rPr>
      </w:pPr>
      <w:r w:rsidRPr="0029175E">
        <w:rPr>
          <w:rFonts w:ascii="Times New Roman" w:hAnsi="Times New Roman" w:cs="Times New Roman"/>
          <w:b/>
          <w:caps/>
          <w:sz w:val="28"/>
          <w:szCs w:val="28"/>
        </w:rPr>
        <w:t>O cercamento do campesinato pelo capital</w:t>
      </w:r>
      <w:r w:rsidR="00DC0444">
        <w:rPr>
          <w:rFonts w:ascii="Times New Roman" w:hAnsi="Times New Roman" w:cs="Times New Roman"/>
          <w:b/>
          <w:caps/>
          <w:sz w:val="28"/>
          <w:szCs w:val="28"/>
        </w:rPr>
        <w:t xml:space="preserve"> em itapuranga</w:t>
      </w:r>
    </w:p>
    <w:p w:rsidR="00DC0444" w:rsidRPr="00DC0444" w:rsidRDefault="00DC0444" w:rsidP="00DC0444">
      <w:pPr>
        <w:spacing w:after="0" w:line="240" w:lineRule="auto"/>
        <w:jc w:val="center"/>
        <w:rPr>
          <w:rFonts w:ascii="Times New Roman" w:hAnsi="Times New Roman" w:cs="Times New Roman"/>
          <w:b/>
          <w:caps/>
          <w:sz w:val="28"/>
          <w:szCs w:val="28"/>
        </w:rPr>
      </w:pPr>
    </w:p>
    <w:p w:rsidR="0013595A" w:rsidRPr="00F42D13" w:rsidRDefault="0013595A" w:rsidP="0015615B">
      <w:pPr>
        <w:spacing w:after="0" w:line="240" w:lineRule="auto"/>
        <w:jc w:val="both"/>
        <w:rPr>
          <w:rFonts w:ascii="Times New Roman" w:hAnsi="Times New Roman" w:cs="Times New Roman"/>
        </w:rPr>
      </w:pPr>
      <w:r w:rsidRPr="00F42D13">
        <w:rPr>
          <w:rFonts w:ascii="Times New Roman" w:hAnsi="Times New Roman" w:cs="Times New Roman"/>
          <w:b/>
        </w:rPr>
        <w:t xml:space="preserve">Resumo: </w:t>
      </w:r>
      <w:r w:rsidRPr="00F42D13">
        <w:rPr>
          <w:rFonts w:ascii="Times New Roman" w:hAnsi="Times New Roman" w:cs="Times New Roman"/>
        </w:rPr>
        <w:t>Este artigo tem o objetivo de discutir a</w:t>
      </w:r>
      <w:r w:rsidR="00734DF2" w:rsidRPr="00F42D13">
        <w:rPr>
          <w:rFonts w:ascii="Times New Roman" w:hAnsi="Times New Roman" w:cs="Times New Roman"/>
        </w:rPr>
        <w:t xml:space="preserve">s ações do agronegócio no município </w:t>
      </w:r>
      <w:r w:rsidR="005E665D" w:rsidRPr="00F42D13">
        <w:rPr>
          <w:rFonts w:ascii="Times New Roman" w:hAnsi="Times New Roman" w:cs="Times New Roman"/>
        </w:rPr>
        <w:t>de Itapurang</w:t>
      </w:r>
      <w:r w:rsidR="00CF3C71" w:rsidRPr="00F42D13">
        <w:rPr>
          <w:rFonts w:ascii="Times New Roman" w:hAnsi="Times New Roman" w:cs="Times New Roman"/>
        </w:rPr>
        <w:t xml:space="preserve">a, as consequências produzidas para </w:t>
      </w:r>
      <w:r w:rsidR="005E665D" w:rsidRPr="00F42D13">
        <w:rPr>
          <w:rFonts w:ascii="Times New Roman" w:hAnsi="Times New Roman" w:cs="Times New Roman"/>
        </w:rPr>
        <w:t>a produção agropecuária e as resistências articuladas a este processo pelo</w:t>
      </w:r>
      <w:r w:rsidR="00734DF2" w:rsidRPr="00F42D13">
        <w:rPr>
          <w:rFonts w:ascii="Times New Roman" w:hAnsi="Times New Roman" w:cs="Times New Roman"/>
        </w:rPr>
        <w:t xml:space="preserve"> campesinato</w:t>
      </w:r>
      <w:r w:rsidR="002B01EF" w:rsidRPr="00F42D13">
        <w:rPr>
          <w:rFonts w:ascii="Times New Roman" w:hAnsi="Times New Roman" w:cs="Times New Roman"/>
        </w:rPr>
        <w:t xml:space="preserve"> itapuranguense</w:t>
      </w:r>
      <w:r w:rsidR="00734DF2" w:rsidRPr="00F42D13">
        <w:rPr>
          <w:rFonts w:ascii="Times New Roman" w:hAnsi="Times New Roman" w:cs="Times New Roman"/>
        </w:rPr>
        <w:t>. Para isso foram realizadas pesquisa bibliográfica, com localização, levantamento, leitura e fichamento d</w:t>
      </w:r>
      <w:r w:rsidR="005E665D" w:rsidRPr="00F42D13">
        <w:rPr>
          <w:rFonts w:ascii="Times New Roman" w:hAnsi="Times New Roman" w:cs="Times New Roman"/>
        </w:rPr>
        <w:t>e referências. Além de busca</w:t>
      </w:r>
      <w:r w:rsidR="00734DF2" w:rsidRPr="00F42D13">
        <w:rPr>
          <w:rFonts w:ascii="Times New Roman" w:hAnsi="Times New Roman" w:cs="Times New Roman"/>
        </w:rPr>
        <w:t xml:space="preserve"> de dados secundários no Instituto Brasileiro de Geografia e Estatística (IBGE), Instituto Nacional de Colonização e Reforma Agrária (INCRA</w:t>
      </w:r>
      <w:r w:rsidR="005E665D" w:rsidRPr="00F42D13">
        <w:rPr>
          <w:rFonts w:ascii="Times New Roman" w:hAnsi="Times New Roman" w:cs="Times New Roman"/>
        </w:rPr>
        <w:t>), Instituto Mauro Borges (IMB)</w:t>
      </w:r>
      <w:r w:rsidR="00CF3C71" w:rsidRPr="00F42D13">
        <w:rPr>
          <w:rFonts w:ascii="Times New Roman" w:hAnsi="Times New Roman" w:cs="Times New Roman"/>
        </w:rPr>
        <w:t>, entre outros</w:t>
      </w:r>
      <w:r w:rsidR="005E665D" w:rsidRPr="00F42D13">
        <w:rPr>
          <w:rFonts w:ascii="Times New Roman" w:hAnsi="Times New Roman" w:cs="Times New Roman"/>
        </w:rPr>
        <w:t>. Além da pesquisa de campo, com</w:t>
      </w:r>
      <w:r w:rsidR="00734DF2" w:rsidRPr="00F42D13">
        <w:rPr>
          <w:rFonts w:ascii="Times New Roman" w:hAnsi="Times New Roman" w:cs="Times New Roman"/>
        </w:rPr>
        <w:t xml:space="preserve"> observaçã</w:t>
      </w:r>
      <w:r w:rsidR="005E665D" w:rsidRPr="00F42D13">
        <w:rPr>
          <w:rFonts w:ascii="Times New Roman" w:hAnsi="Times New Roman" w:cs="Times New Roman"/>
        </w:rPr>
        <w:t xml:space="preserve">o sistemática e realização de entrevistas </w:t>
      </w:r>
      <w:proofErr w:type="gramStart"/>
      <w:r w:rsidR="005E665D" w:rsidRPr="00F42D13">
        <w:rPr>
          <w:rFonts w:ascii="Times New Roman" w:hAnsi="Times New Roman" w:cs="Times New Roman"/>
        </w:rPr>
        <w:t>semi-estruturadas</w:t>
      </w:r>
      <w:proofErr w:type="gramEnd"/>
      <w:r w:rsidR="00734DF2" w:rsidRPr="00F42D13">
        <w:rPr>
          <w:rFonts w:ascii="Times New Roman" w:hAnsi="Times New Roman" w:cs="Times New Roman"/>
        </w:rPr>
        <w:t>. Os resultados aponta</w:t>
      </w:r>
      <w:r w:rsidR="002F60F8" w:rsidRPr="00F42D13">
        <w:rPr>
          <w:rFonts w:ascii="Times New Roman" w:hAnsi="Times New Roman" w:cs="Times New Roman"/>
        </w:rPr>
        <w:t>m que na</w:t>
      </w:r>
      <w:r w:rsidR="00734DF2" w:rsidRPr="00F42D13">
        <w:rPr>
          <w:rFonts w:ascii="Times New Roman" w:hAnsi="Times New Roman" w:cs="Times New Roman"/>
        </w:rPr>
        <w:t xml:space="preserve"> década </w:t>
      </w:r>
      <w:r w:rsidR="002F60F8" w:rsidRPr="00F42D13">
        <w:rPr>
          <w:rFonts w:ascii="Times New Roman" w:hAnsi="Times New Roman" w:cs="Times New Roman"/>
        </w:rPr>
        <w:t>de 2000 ocorreu uma ampliação da produção de cana-</w:t>
      </w:r>
      <w:r w:rsidR="005E665D" w:rsidRPr="00F42D13">
        <w:rPr>
          <w:rFonts w:ascii="Times New Roman" w:hAnsi="Times New Roman" w:cs="Times New Roman"/>
        </w:rPr>
        <w:t xml:space="preserve">de-açúcar, por meio da empresa Vale </w:t>
      </w:r>
      <w:proofErr w:type="gramStart"/>
      <w:r w:rsidR="005842C1" w:rsidRPr="00F42D13">
        <w:rPr>
          <w:rFonts w:ascii="Times New Roman" w:hAnsi="Times New Roman" w:cs="Times New Roman"/>
        </w:rPr>
        <w:t>Verde Empreendimentos</w:t>
      </w:r>
      <w:proofErr w:type="gramEnd"/>
      <w:r w:rsidR="005842C1" w:rsidRPr="00F42D13">
        <w:rPr>
          <w:rFonts w:ascii="Times New Roman" w:hAnsi="Times New Roman" w:cs="Times New Roman"/>
        </w:rPr>
        <w:t xml:space="preserve"> Agrícolas</w:t>
      </w:r>
      <w:r w:rsidR="005E665D" w:rsidRPr="00F42D13">
        <w:rPr>
          <w:rFonts w:ascii="Times New Roman" w:hAnsi="Times New Roman" w:cs="Times New Roman"/>
        </w:rPr>
        <w:t xml:space="preserve"> amparada pelo Estado</w:t>
      </w:r>
      <w:r w:rsidR="002F60F8" w:rsidRPr="00F42D13">
        <w:rPr>
          <w:rFonts w:ascii="Times New Roman" w:hAnsi="Times New Roman" w:cs="Times New Roman"/>
        </w:rPr>
        <w:t>.</w:t>
      </w:r>
      <w:r w:rsidR="005E665D" w:rsidRPr="00F42D13">
        <w:rPr>
          <w:rFonts w:ascii="Times New Roman" w:hAnsi="Times New Roman" w:cs="Times New Roman"/>
        </w:rPr>
        <w:t xml:space="preserve"> E</w:t>
      </w:r>
      <w:r w:rsidR="00D9541C" w:rsidRPr="00F42D13">
        <w:rPr>
          <w:rFonts w:ascii="Times New Roman" w:hAnsi="Times New Roman" w:cs="Times New Roman"/>
        </w:rPr>
        <w:t>ss</w:t>
      </w:r>
      <w:r w:rsidR="005E665D" w:rsidRPr="00F42D13">
        <w:rPr>
          <w:rFonts w:ascii="Times New Roman" w:hAnsi="Times New Roman" w:cs="Times New Roman"/>
        </w:rPr>
        <w:t>e processo acarretou na queda de produção de atividades agropecuárias típicas do campesinato</w:t>
      </w:r>
      <w:r w:rsidR="002B01EF" w:rsidRPr="00F42D13">
        <w:rPr>
          <w:rFonts w:ascii="Times New Roman" w:hAnsi="Times New Roman" w:cs="Times New Roman"/>
        </w:rPr>
        <w:t xml:space="preserve"> devido aos arrendamento</w:t>
      </w:r>
      <w:r w:rsidR="008826A7" w:rsidRPr="00F42D13">
        <w:rPr>
          <w:rFonts w:ascii="Times New Roman" w:hAnsi="Times New Roman" w:cs="Times New Roman"/>
        </w:rPr>
        <w:t>s</w:t>
      </w:r>
      <w:r w:rsidR="005E665D" w:rsidRPr="00F42D13">
        <w:rPr>
          <w:rFonts w:ascii="Times New Roman" w:hAnsi="Times New Roman" w:cs="Times New Roman"/>
        </w:rPr>
        <w:t xml:space="preserve">. </w:t>
      </w:r>
      <w:r w:rsidR="002F60F8" w:rsidRPr="00F42D13">
        <w:rPr>
          <w:rFonts w:ascii="Times New Roman" w:hAnsi="Times New Roman" w:cs="Times New Roman"/>
        </w:rPr>
        <w:t>Não obst</w:t>
      </w:r>
      <w:r w:rsidR="0072228D" w:rsidRPr="00F42D13">
        <w:rPr>
          <w:rFonts w:ascii="Times New Roman" w:hAnsi="Times New Roman" w:cs="Times New Roman"/>
        </w:rPr>
        <w:t>ante, a resistência histórica dos camponeses itapuranguenses, com a formação de organizações de luta pelo direito a sua reprodução social desde a década de 1960</w:t>
      </w:r>
      <w:r w:rsidR="002B01EF" w:rsidRPr="00F42D13">
        <w:rPr>
          <w:rFonts w:ascii="Times New Roman" w:hAnsi="Times New Roman" w:cs="Times New Roman"/>
        </w:rPr>
        <w:t xml:space="preserve"> permitiu a recuperação </w:t>
      </w:r>
      <w:r w:rsidR="0072228D" w:rsidRPr="00F42D13">
        <w:rPr>
          <w:rFonts w:ascii="Times New Roman" w:hAnsi="Times New Roman" w:cs="Times New Roman"/>
        </w:rPr>
        <w:t xml:space="preserve">de algumas atividades nos primeiros anos da segunda década do século XXI. </w:t>
      </w:r>
    </w:p>
    <w:p w:rsidR="000E3AC0" w:rsidRPr="0015615B" w:rsidRDefault="000E3AC0" w:rsidP="0015615B">
      <w:pPr>
        <w:spacing w:after="0" w:line="240" w:lineRule="auto"/>
        <w:jc w:val="both"/>
        <w:rPr>
          <w:rFonts w:ascii="Times New Roman" w:hAnsi="Times New Roman" w:cs="Times New Roman"/>
          <w:sz w:val="24"/>
          <w:szCs w:val="24"/>
        </w:rPr>
      </w:pPr>
    </w:p>
    <w:p w:rsidR="004E3BC6" w:rsidRPr="0080627A" w:rsidRDefault="000E3AC0" w:rsidP="0015615B">
      <w:pPr>
        <w:spacing w:after="0" w:line="240" w:lineRule="auto"/>
        <w:jc w:val="both"/>
        <w:rPr>
          <w:rFonts w:ascii="Times New Roman" w:hAnsi="Times New Roman" w:cs="Times New Roman"/>
          <w:sz w:val="24"/>
          <w:szCs w:val="24"/>
          <w:lang w:val="en-US"/>
        </w:rPr>
      </w:pPr>
      <w:r w:rsidRPr="0015615B">
        <w:rPr>
          <w:rFonts w:ascii="Times New Roman" w:hAnsi="Times New Roman" w:cs="Times New Roman"/>
          <w:b/>
          <w:sz w:val="24"/>
          <w:szCs w:val="24"/>
        </w:rPr>
        <w:t>Palavras-chave:</w:t>
      </w:r>
      <w:r w:rsidRPr="0015615B">
        <w:rPr>
          <w:rFonts w:ascii="Times New Roman" w:hAnsi="Times New Roman" w:cs="Times New Roman"/>
          <w:sz w:val="24"/>
          <w:szCs w:val="24"/>
        </w:rPr>
        <w:t xml:space="preserve"> C</w:t>
      </w:r>
      <w:r w:rsidR="0072228D" w:rsidRPr="0015615B">
        <w:rPr>
          <w:rFonts w:ascii="Times New Roman" w:hAnsi="Times New Roman" w:cs="Times New Roman"/>
          <w:sz w:val="24"/>
          <w:szCs w:val="24"/>
        </w:rPr>
        <w:t xml:space="preserve">ampesinato. Agronegócio. </w:t>
      </w:r>
      <w:r w:rsidR="005842C1" w:rsidRPr="0015615B">
        <w:rPr>
          <w:rFonts w:ascii="Times New Roman" w:hAnsi="Times New Roman" w:cs="Times New Roman"/>
          <w:sz w:val="24"/>
          <w:szCs w:val="24"/>
        </w:rPr>
        <w:t>Resistência</w:t>
      </w:r>
      <w:r w:rsidRPr="0015615B">
        <w:rPr>
          <w:rFonts w:ascii="Times New Roman" w:hAnsi="Times New Roman" w:cs="Times New Roman"/>
          <w:sz w:val="24"/>
          <w:szCs w:val="24"/>
        </w:rPr>
        <w:t xml:space="preserve"> camponesa. </w:t>
      </w:r>
      <w:proofErr w:type="gramStart"/>
      <w:r w:rsidRPr="0080627A">
        <w:rPr>
          <w:rFonts w:ascii="Times New Roman" w:hAnsi="Times New Roman" w:cs="Times New Roman"/>
          <w:i/>
          <w:sz w:val="24"/>
          <w:szCs w:val="24"/>
          <w:lang w:val="en-US"/>
        </w:rPr>
        <w:t>Commodities.</w:t>
      </w:r>
      <w:proofErr w:type="gramEnd"/>
    </w:p>
    <w:p w:rsidR="004E3BC6" w:rsidRPr="0080627A" w:rsidRDefault="004E3BC6" w:rsidP="0015615B">
      <w:pPr>
        <w:spacing w:after="0" w:line="240" w:lineRule="auto"/>
        <w:jc w:val="both"/>
        <w:rPr>
          <w:rFonts w:ascii="Times New Roman" w:hAnsi="Times New Roman" w:cs="Times New Roman"/>
          <w:sz w:val="24"/>
          <w:szCs w:val="24"/>
          <w:lang w:val="en-US"/>
        </w:rPr>
      </w:pPr>
    </w:p>
    <w:p w:rsidR="00707DC6" w:rsidRDefault="00707DC6" w:rsidP="00707DC6">
      <w:pPr>
        <w:pStyle w:val="NormalWeb"/>
        <w:spacing w:before="0" w:beforeAutospacing="0" w:after="0" w:afterAutospacing="0"/>
        <w:jc w:val="center"/>
        <w:rPr>
          <w:b/>
          <w:bCs/>
          <w:sz w:val="28"/>
          <w:szCs w:val="28"/>
          <w:shd w:val="clear" w:color="auto" w:fill="FFFFFF"/>
          <w:lang w:val="en-US"/>
        </w:rPr>
      </w:pPr>
      <w:r w:rsidRPr="00F043AE">
        <w:rPr>
          <w:b/>
          <w:bCs/>
          <w:sz w:val="28"/>
          <w:szCs w:val="28"/>
          <w:shd w:val="clear" w:color="auto" w:fill="FFFFFF"/>
          <w:lang w:val="en-US"/>
        </w:rPr>
        <w:t>THE FENCING OF</w:t>
      </w:r>
      <w:r w:rsidRPr="00F043AE">
        <w:rPr>
          <w:b/>
          <w:bCs/>
          <w:color w:val="FF0000"/>
          <w:sz w:val="28"/>
          <w:szCs w:val="28"/>
          <w:shd w:val="clear" w:color="auto" w:fill="FFFFFF"/>
          <w:lang w:val="en-US"/>
        </w:rPr>
        <w:t xml:space="preserve"> </w:t>
      </w:r>
      <w:r w:rsidRPr="00F043AE">
        <w:rPr>
          <w:b/>
          <w:bCs/>
          <w:sz w:val="28"/>
          <w:szCs w:val="28"/>
          <w:shd w:val="clear" w:color="auto" w:fill="FFFFFF"/>
          <w:lang w:val="en-US"/>
        </w:rPr>
        <w:t>THE PEASANTRY BY THE CAPITAL IN ITAPURANGA</w:t>
      </w:r>
    </w:p>
    <w:p w:rsidR="00707DC6" w:rsidRDefault="00707DC6" w:rsidP="00707DC6">
      <w:pPr>
        <w:pStyle w:val="NormalWeb"/>
        <w:spacing w:before="0" w:beforeAutospacing="0" w:after="0" w:afterAutospacing="0"/>
        <w:jc w:val="center"/>
        <w:rPr>
          <w:b/>
          <w:bCs/>
          <w:sz w:val="28"/>
          <w:szCs w:val="28"/>
          <w:shd w:val="clear" w:color="auto" w:fill="FFFFFF"/>
          <w:lang w:val="en-US"/>
        </w:rPr>
      </w:pPr>
    </w:p>
    <w:p w:rsidR="00707DC6" w:rsidRDefault="00707DC6" w:rsidP="00707DC6">
      <w:pPr>
        <w:pStyle w:val="NormalWeb"/>
        <w:spacing w:before="0" w:beforeAutospacing="0" w:after="0" w:afterAutospacing="0"/>
        <w:jc w:val="both"/>
        <w:rPr>
          <w:bCs/>
          <w:sz w:val="22"/>
          <w:szCs w:val="22"/>
          <w:shd w:val="clear" w:color="auto" w:fill="FFFFFF"/>
          <w:lang w:val="en-US"/>
        </w:rPr>
      </w:pPr>
      <w:r w:rsidRPr="00F043AE">
        <w:rPr>
          <w:b/>
          <w:sz w:val="22"/>
          <w:szCs w:val="22"/>
          <w:lang w:val="en-US"/>
        </w:rPr>
        <w:t xml:space="preserve">Abstract: </w:t>
      </w:r>
      <w:r w:rsidRPr="00F043AE">
        <w:rPr>
          <w:bCs/>
          <w:sz w:val="22"/>
          <w:szCs w:val="22"/>
          <w:shd w:val="clear" w:color="auto" w:fill="FFFFFF"/>
          <w:lang w:val="en-US"/>
        </w:rPr>
        <w:t xml:space="preserve">This paper has as an objective to discuss the actions of the agribusiness in </w:t>
      </w:r>
      <w:proofErr w:type="spellStart"/>
      <w:r w:rsidRPr="00F043AE">
        <w:rPr>
          <w:bCs/>
          <w:sz w:val="22"/>
          <w:szCs w:val="22"/>
          <w:shd w:val="clear" w:color="auto" w:fill="FFFFFF"/>
          <w:lang w:val="en-US"/>
        </w:rPr>
        <w:t>Itapuranga</w:t>
      </w:r>
      <w:proofErr w:type="spellEnd"/>
      <w:r w:rsidRPr="00F043AE">
        <w:rPr>
          <w:bCs/>
          <w:sz w:val="22"/>
          <w:szCs w:val="22"/>
          <w:shd w:val="clear" w:color="auto" w:fill="FFFFFF"/>
          <w:lang w:val="en-US"/>
        </w:rPr>
        <w:t xml:space="preserve"> town, the consequences produced for the livestock production and the resistances articulated to this process by the peasantry from </w:t>
      </w:r>
      <w:proofErr w:type="spellStart"/>
      <w:r w:rsidRPr="00F043AE">
        <w:rPr>
          <w:bCs/>
          <w:sz w:val="22"/>
          <w:szCs w:val="22"/>
          <w:shd w:val="clear" w:color="auto" w:fill="FFFFFF"/>
          <w:lang w:val="en-US"/>
        </w:rPr>
        <w:t>Itapuranga</w:t>
      </w:r>
      <w:proofErr w:type="spellEnd"/>
      <w:r w:rsidRPr="00F043AE">
        <w:rPr>
          <w:bCs/>
          <w:sz w:val="22"/>
          <w:szCs w:val="22"/>
          <w:shd w:val="clear" w:color="auto" w:fill="FFFFFF"/>
          <w:lang w:val="en-US"/>
        </w:rPr>
        <w:t>. For this it was carried out bibliographical research, with location, survey, reading and categorizing of references. In addition to search of secondary data from the Brazilian Institute of Geography and Statistics (</w:t>
      </w:r>
      <w:proofErr w:type="spellStart"/>
      <w:r w:rsidRPr="00F043AE">
        <w:rPr>
          <w:bCs/>
          <w:sz w:val="22"/>
          <w:szCs w:val="22"/>
          <w:shd w:val="clear" w:color="auto" w:fill="FFFFFF"/>
          <w:lang w:val="en-US"/>
        </w:rPr>
        <w:t>IBGE</w:t>
      </w:r>
      <w:proofErr w:type="spellEnd"/>
      <w:r w:rsidRPr="00F043AE">
        <w:rPr>
          <w:bCs/>
          <w:sz w:val="22"/>
          <w:szCs w:val="22"/>
          <w:shd w:val="clear" w:color="auto" w:fill="FFFFFF"/>
          <w:lang w:val="en-US"/>
        </w:rPr>
        <w:t>), the National Institute of Colonization and Agrarian Reform (</w:t>
      </w:r>
      <w:proofErr w:type="spellStart"/>
      <w:r w:rsidRPr="00F043AE">
        <w:rPr>
          <w:bCs/>
          <w:sz w:val="22"/>
          <w:szCs w:val="22"/>
          <w:shd w:val="clear" w:color="auto" w:fill="FFFFFF"/>
          <w:lang w:val="en-US"/>
        </w:rPr>
        <w:t>INCRA</w:t>
      </w:r>
      <w:proofErr w:type="spellEnd"/>
      <w:r w:rsidRPr="00F043AE">
        <w:rPr>
          <w:bCs/>
          <w:sz w:val="22"/>
          <w:szCs w:val="22"/>
          <w:shd w:val="clear" w:color="auto" w:fill="FFFFFF"/>
          <w:lang w:val="en-US"/>
        </w:rPr>
        <w:t>), Mauro Borges Institute (</w:t>
      </w:r>
      <w:proofErr w:type="spellStart"/>
      <w:r w:rsidRPr="00F043AE">
        <w:rPr>
          <w:bCs/>
          <w:sz w:val="22"/>
          <w:szCs w:val="22"/>
          <w:shd w:val="clear" w:color="auto" w:fill="FFFFFF"/>
          <w:lang w:val="en-US"/>
        </w:rPr>
        <w:t>IMB</w:t>
      </w:r>
      <w:proofErr w:type="spellEnd"/>
      <w:r w:rsidRPr="00F043AE">
        <w:rPr>
          <w:bCs/>
          <w:sz w:val="22"/>
          <w:szCs w:val="22"/>
          <w:shd w:val="clear" w:color="auto" w:fill="FFFFFF"/>
          <w:lang w:val="en-US"/>
        </w:rPr>
        <w:t xml:space="preserve">), among others. </w:t>
      </w:r>
      <w:proofErr w:type="gramStart"/>
      <w:r w:rsidRPr="00F043AE">
        <w:rPr>
          <w:bCs/>
          <w:sz w:val="22"/>
          <w:szCs w:val="22"/>
          <w:shd w:val="clear" w:color="auto" w:fill="FFFFFF"/>
          <w:lang w:val="en-US"/>
        </w:rPr>
        <w:t>In addition to the field research, with systematic observation and performance of semi-structured interviews.</w:t>
      </w:r>
      <w:proofErr w:type="gramEnd"/>
      <w:r w:rsidRPr="00F043AE">
        <w:rPr>
          <w:bCs/>
          <w:sz w:val="22"/>
          <w:szCs w:val="22"/>
          <w:shd w:val="clear" w:color="auto" w:fill="FFFFFF"/>
          <w:lang w:val="en-US"/>
        </w:rPr>
        <w:t xml:space="preserve"> The results indicate that in the </w:t>
      </w:r>
      <w:proofErr w:type="spellStart"/>
      <w:r w:rsidRPr="00F043AE">
        <w:rPr>
          <w:bCs/>
          <w:sz w:val="22"/>
          <w:szCs w:val="22"/>
          <w:shd w:val="clear" w:color="auto" w:fill="FFFFFF"/>
          <w:lang w:val="en-US"/>
        </w:rPr>
        <w:t>2000’s</w:t>
      </w:r>
      <w:proofErr w:type="spellEnd"/>
      <w:r w:rsidRPr="00F043AE">
        <w:rPr>
          <w:bCs/>
          <w:sz w:val="22"/>
          <w:szCs w:val="22"/>
          <w:shd w:val="clear" w:color="auto" w:fill="FFFFFF"/>
          <w:lang w:val="en-US"/>
        </w:rPr>
        <w:t xml:space="preserve"> occurred an expansion of sugar cane production, through Vale Verde Agricultural Ventures company supported by the State. This process resulted in the fall in production of agricultural activities typical of the peasantry due to the leases. Nevertheless, the peasants’ historic resistance from </w:t>
      </w:r>
      <w:proofErr w:type="spellStart"/>
      <w:r w:rsidRPr="00F043AE">
        <w:rPr>
          <w:bCs/>
          <w:sz w:val="22"/>
          <w:szCs w:val="22"/>
          <w:shd w:val="clear" w:color="auto" w:fill="FFFFFF"/>
          <w:lang w:val="en-US"/>
        </w:rPr>
        <w:t>Itapuranga</w:t>
      </w:r>
      <w:proofErr w:type="spellEnd"/>
      <w:r w:rsidRPr="00F043AE">
        <w:rPr>
          <w:bCs/>
          <w:sz w:val="22"/>
          <w:szCs w:val="22"/>
          <w:shd w:val="clear" w:color="auto" w:fill="FFFFFF"/>
          <w:lang w:val="en-US"/>
        </w:rPr>
        <w:t xml:space="preserve">, with the formation of organizations to fight for the right to their social reproduction since the </w:t>
      </w:r>
      <w:proofErr w:type="spellStart"/>
      <w:r w:rsidRPr="00F043AE">
        <w:rPr>
          <w:bCs/>
          <w:sz w:val="22"/>
          <w:szCs w:val="22"/>
          <w:shd w:val="clear" w:color="auto" w:fill="FFFFFF"/>
          <w:lang w:val="en-US"/>
        </w:rPr>
        <w:t>1960’s</w:t>
      </w:r>
      <w:proofErr w:type="spellEnd"/>
      <w:r w:rsidRPr="00F043AE">
        <w:rPr>
          <w:bCs/>
          <w:sz w:val="22"/>
          <w:szCs w:val="22"/>
          <w:shd w:val="clear" w:color="auto" w:fill="FFFFFF"/>
          <w:lang w:val="en-US"/>
        </w:rPr>
        <w:t xml:space="preserve"> has led to the recovery of some of the activities in the first years of the second decade of the 21</w:t>
      </w:r>
      <w:r w:rsidRPr="00F043AE">
        <w:rPr>
          <w:bCs/>
          <w:sz w:val="22"/>
          <w:szCs w:val="22"/>
          <w:shd w:val="clear" w:color="auto" w:fill="FFFFFF"/>
          <w:vertAlign w:val="superscript"/>
          <w:lang w:val="en-US"/>
        </w:rPr>
        <w:t>st</w:t>
      </w:r>
      <w:r w:rsidRPr="00F043AE">
        <w:rPr>
          <w:bCs/>
          <w:sz w:val="22"/>
          <w:szCs w:val="22"/>
          <w:shd w:val="clear" w:color="auto" w:fill="FFFFFF"/>
          <w:lang w:val="en-US"/>
        </w:rPr>
        <w:t xml:space="preserve"> century.</w:t>
      </w:r>
    </w:p>
    <w:p w:rsidR="00707DC6" w:rsidRDefault="00707DC6" w:rsidP="00707DC6">
      <w:pPr>
        <w:pStyle w:val="NormalWeb"/>
        <w:spacing w:before="0" w:beforeAutospacing="0" w:after="0" w:afterAutospacing="0"/>
        <w:jc w:val="both"/>
        <w:rPr>
          <w:bCs/>
          <w:sz w:val="22"/>
          <w:szCs w:val="22"/>
          <w:shd w:val="clear" w:color="auto" w:fill="FFFFFF"/>
          <w:lang w:val="en-US"/>
        </w:rPr>
      </w:pPr>
    </w:p>
    <w:p w:rsidR="00707DC6" w:rsidRDefault="00707DC6" w:rsidP="00707DC6">
      <w:pPr>
        <w:pStyle w:val="NormalWeb"/>
        <w:spacing w:before="0" w:beforeAutospacing="0" w:after="0" w:afterAutospacing="0"/>
        <w:jc w:val="both"/>
        <w:rPr>
          <w:bCs/>
          <w:shd w:val="clear" w:color="auto" w:fill="FFFFFF"/>
        </w:rPr>
      </w:pPr>
      <w:r w:rsidRPr="00ED07F2">
        <w:rPr>
          <w:b/>
          <w:bCs/>
          <w:shd w:val="clear" w:color="auto" w:fill="FFFFFF"/>
          <w:lang w:val="en-US"/>
        </w:rPr>
        <w:t>Keywords:</w:t>
      </w:r>
      <w:r w:rsidRPr="00ED07F2">
        <w:rPr>
          <w:bCs/>
          <w:shd w:val="clear" w:color="auto" w:fill="FFFFFF"/>
          <w:lang w:val="en-US"/>
        </w:rPr>
        <w:t xml:space="preserve"> Peasantry. Agribusiness. Peasant Resistance. </w:t>
      </w:r>
      <w:r w:rsidRPr="00ED07F2">
        <w:rPr>
          <w:bCs/>
          <w:shd w:val="clear" w:color="auto" w:fill="FFFFFF"/>
        </w:rPr>
        <w:t>Commodities.</w:t>
      </w:r>
    </w:p>
    <w:p w:rsidR="004E3BC6" w:rsidRPr="00FB216A" w:rsidRDefault="004E3BC6" w:rsidP="0015615B">
      <w:pPr>
        <w:spacing w:after="0" w:line="240" w:lineRule="auto"/>
        <w:jc w:val="both"/>
        <w:rPr>
          <w:rFonts w:ascii="Times New Roman" w:hAnsi="Times New Roman" w:cs="Times New Roman"/>
          <w:sz w:val="24"/>
          <w:szCs w:val="24"/>
        </w:rPr>
      </w:pPr>
    </w:p>
    <w:p w:rsidR="00707DC6" w:rsidRPr="00FB216A" w:rsidRDefault="00707DC6" w:rsidP="0015615B">
      <w:pPr>
        <w:spacing w:after="0" w:line="240" w:lineRule="auto"/>
        <w:jc w:val="both"/>
        <w:rPr>
          <w:rFonts w:ascii="Times New Roman" w:hAnsi="Times New Roman" w:cs="Times New Roman"/>
          <w:sz w:val="24"/>
          <w:szCs w:val="24"/>
        </w:rPr>
      </w:pPr>
    </w:p>
    <w:p w:rsidR="004E3BC6" w:rsidRDefault="0013595A" w:rsidP="004E3BC6">
      <w:pPr>
        <w:spacing w:after="0" w:line="240" w:lineRule="auto"/>
        <w:jc w:val="both"/>
        <w:rPr>
          <w:rFonts w:ascii="Times New Roman" w:hAnsi="Times New Roman" w:cs="Times New Roman"/>
          <w:b/>
          <w:sz w:val="24"/>
          <w:szCs w:val="24"/>
        </w:rPr>
      </w:pPr>
      <w:r w:rsidRPr="0015615B">
        <w:rPr>
          <w:rFonts w:ascii="Times New Roman" w:hAnsi="Times New Roman" w:cs="Times New Roman"/>
          <w:b/>
          <w:sz w:val="24"/>
          <w:szCs w:val="24"/>
        </w:rPr>
        <w:t>Introdução</w:t>
      </w:r>
    </w:p>
    <w:p w:rsidR="00707DC6" w:rsidRPr="0015615B" w:rsidRDefault="00707DC6" w:rsidP="004E3BC6">
      <w:pPr>
        <w:spacing w:after="0" w:line="240" w:lineRule="auto"/>
        <w:jc w:val="both"/>
        <w:rPr>
          <w:rFonts w:ascii="Times New Roman" w:hAnsi="Times New Roman" w:cs="Times New Roman"/>
          <w:b/>
          <w:sz w:val="24"/>
          <w:szCs w:val="24"/>
        </w:rPr>
      </w:pPr>
    </w:p>
    <w:p w:rsidR="00821DE5" w:rsidRPr="0015615B" w:rsidRDefault="00CF3C71" w:rsidP="0015615B">
      <w:pPr>
        <w:spacing w:after="0" w:line="240" w:lineRule="auto"/>
        <w:jc w:val="both"/>
        <w:rPr>
          <w:rFonts w:ascii="Times New Roman" w:hAnsi="Times New Roman" w:cs="Times New Roman"/>
          <w:sz w:val="24"/>
          <w:szCs w:val="24"/>
        </w:rPr>
      </w:pPr>
      <w:r w:rsidRPr="0015615B">
        <w:rPr>
          <w:rFonts w:ascii="Times New Roman" w:hAnsi="Times New Roman" w:cs="Times New Roman"/>
          <w:sz w:val="24"/>
          <w:szCs w:val="24"/>
        </w:rPr>
        <w:tab/>
        <w:t>Este</w:t>
      </w:r>
      <w:r w:rsidR="003D32B4" w:rsidRPr="0015615B">
        <w:rPr>
          <w:rFonts w:ascii="Times New Roman" w:hAnsi="Times New Roman" w:cs="Times New Roman"/>
          <w:sz w:val="24"/>
          <w:szCs w:val="24"/>
        </w:rPr>
        <w:t xml:space="preserve"> artigo é resultado de</w:t>
      </w:r>
      <w:r w:rsidRPr="0015615B">
        <w:rPr>
          <w:rFonts w:ascii="Times New Roman" w:hAnsi="Times New Roman" w:cs="Times New Roman"/>
          <w:sz w:val="24"/>
          <w:szCs w:val="24"/>
        </w:rPr>
        <w:t xml:space="preserve"> projeto de pesquisa desenvolvido na Universidade Estadual de Goiás. Parte do entendimento de que há uma ação hegemônica do capital no campo</w:t>
      </w:r>
      <w:r w:rsidR="002B01EF" w:rsidRPr="0015615B">
        <w:rPr>
          <w:rFonts w:ascii="Times New Roman" w:hAnsi="Times New Roman" w:cs="Times New Roman"/>
          <w:sz w:val="24"/>
          <w:szCs w:val="24"/>
        </w:rPr>
        <w:t>,</w:t>
      </w:r>
      <w:r w:rsidR="00EF2EB0" w:rsidRPr="0015615B">
        <w:rPr>
          <w:rFonts w:ascii="Times New Roman" w:hAnsi="Times New Roman" w:cs="Times New Roman"/>
          <w:sz w:val="24"/>
          <w:szCs w:val="24"/>
        </w:rPr>
        <w:t xml:space="preserve"> que</w:t>
      </w:r>
      <w:r w:rsidRPr="0015615B">
        <w:rPr>
          <w:rFonts w:ascii="Times New Roman" w:hAnsi="Times New Roman" w:cs="Times New Roman"/>
          <w:sz w:val="24"/>
          <w:szCs w:val="24"/>
        </w:rPr>
        <w:t xml:space="preserve"> produz reações dos sujeitos</w:t>
      </w:r>
      <w:r w:rsidR="003D32B4" w:rsidRPr="0015615B">
        <w:rPr>
          <w:rFonts w:ascii="Times New Roman" w:hAnsi="Times New Roman" w:cs="Times New Roman"/>
          <w:sz w:val="24"/>
          <w:szCs w:val="24"/>
        </w:rPr>
        <w:t xml:space="preserve"> explorados</w:t>
      </w:r>
      <w:r w:rsidR="002B01EF" w:rsidRPr="0015615B">
        <w:rPr>
          <w:rFonts w:ascii="Times New Roman" w:hAnsi="Times New Roman" w:cs="Times New Roman"/>
          <w:sz w:val="24"/>
          <w:szCs w:val="24"/>
        </w:rPr>
        <w:t xml:space="preserve">. O recorte espacial adotado, o município de </w:t>
      </w:r>
      <w:proofErr w:type="spellStart"/>
      <w:r w:rsidR="002B01EF" w:rsidRPr="0015615B">
        <w:rPr>
          <w:rFonts w:ascii="Times New Roman" w:hAnsi="Times New Roman" w:cs="Times New Roman"/>
          <w:sz w:val="24"/>
          <w:szCs w:val="24"/>
        </w:rPr>
        <w:t>Itapuranga</w:t>
      </w:r>
      <w:proofErr w:type="spellEnd"/>
      <w:r w:rsidR="002B01EF" w:rsidRPr="0015615B">
        <w:rPr>
          <w:rFonts w:ascii="Times New Roman" w:hAnsi="Times New Roman" w:cs="Times New Roman"/>
          <w:sz w:val="24"/>
          <w:szCs w:val="24"/>
        </w:rPr>
        <w:t>,</w:t>
      </w:r>
      <w:r w:rsidR="0080627A">
        <w:rPr>
          <w:rFonts w:ascii="Times New Roman" w:hAnsi="Times New Roman" w:cs="Times New Roman"/>
          <w:sz w:val="24"/>
          <w:szCs w:val="24"/>
        </w:rPr>
        <w:t xml:space="preserve"> teve</w:t>
      </w:r>
      <w:r w:rsidR="00124BCC" w:rsidRPr="0015615B">
        <w:rPr>
          <w:rFonts w:ascii="Times New Roman" w:hAnsi="Times New Roman" w:cs="Times New Roman"/>
          <w:sz w:val="24"/>
          <w:szCs w:val="24"/>
        </w:rPr>
        <w:t xml:space="preserve"> por</w:t>
      </w:r>
      <w:r w:rsidR="002B01EF" w:rsidRPr="0015615B">
        <w:rPr>
          <w:rFonts w:ascii="Times New Roman" w:hAnsi="Times New Roman" w:cs="Times New Roman"/>
          <w:sz w:val="24"/>
          <w:szCs w:val="24"/>
        </w:rPr>
        <w:t xml:space="preserve"> in</w:t>
      </w:r>
      <w:r w:rsidR="00124BCC" w:rsidRPr="0015615B">
        <w:rPr>
          <w:rFonts w:ascii="Times New Roman" w:hAnsi="Times New Roman" w:cs="Times New Roman"/>
          <w:sz w:val="24"/>
          <w:szCs w:val="24"/>
        </w:rPr>
        <w:t xml:space="preserve">tuito </w:t>
      </w:r>
      <w:r w:rsidR="002B01EF" w:rsidRPr="0015615B">
        <w:rPr>
          <w:rFonts w:ascii="Times New Roman" w:hAnsi="Times New Roman" w:cs="Times New Roman"/>
          <w:sz w:val="24"/>
          <w:szCs w:val="24"/>
        </w:rPr>
        <w:t xml:space="preserve">entender </w:t>
      </w:r>
      <w:r w:rsidR="00124BCC" w:rsidRPr="0015615B">
        <w:rPr>
          <w:rFonts w:ascii="Times New Roman" w:hAnsi="Times New Roman" w:cs="Times New Roman"/>
          <w:sz w:val="24"/>
          <w:szCs w:val="24"/>
        </w:rPr>
        <w:t>as ações do capital</w:t>
      </w:r>
      <w:r w:rsidR="002B01EF" w:rsidRPr="0015615B">
        <w:rPr>
          <w:rFonts w:ascii="Times New Roman" w:hAnsi="Times New Roman" w:cs="Times New Roman"/>
          <w:sz w:val="24"/>
          <w:szCs w:val="24"/>
        </w:rPr>
        <w:t xml:space="preserve"> e as reações articuladas pelo campesinato</w:t>
      </w:r>
      <w:r w:rsidR="00124BCC" w:rsidRPr="0015615B">
        <w:rPr>
          <w:rFonts w:ascii="Times New Roman" w:hAnsi="Times New Roman" w:cs="Times New Roman"/>
          <w:sz w:val="24"/>
          <w:szCs w:val="24"/>
        </w:rPr>
        <w:t xml:space="preserve"> </w:t>
      </w:r>
      <w:r w:rsidR="00D9541C" w:rsidRPr="0015615B">
        <w:rPr>
          <w:rFonts w:ascii="Times New Roman" w:hAnsi="Times New Roman" w:cs="Times New Roman"/>
          <w:sz w:val="24"/>
          <w:szCs w:val="24"/>
        </w:rPr>
        <w:t>ness</w:t>
      </w:r>
      <w:r w:rsidR="00124BCC" w:rsidRPr="0015615B">
        <w:rPr>
          <w:rFonts w:ascii="Times New Roman" w:hAnsi="Times New Roman" w:cs="Times New Roman"/>
          <w:sz w:val="24"/>
          <w:szCs w:val="24"/>
        </w:rPr>
        <w:t>e local</w:t>
      </w:r>
      <w:r w:rsidR="002B01EF" w:rsidRPr="0015615B">
        <w:rPr>
          <w:rFonts w:ascii="Times New Roman" w:hAnsi="Times New Roman" w:cs="Times New Roman"/>
          <w:sz w:val="24"/>
          <w:szCs w:val="24"/>
        </w:rPr>
        <w:t>, quanto ao recort</w:t>
      </w:r>
      <w:r w:rsidR="0080627A">
        <w:rPr>
          <w:rFonts w:ascii="Times New Roman" w:hAnsi="Times New Roman" w:cs="Times New Roman"/>
          <w:sz w:val="24"/>
          <w:szCs w:val="24"/>
        </w:rPr>
        <w:t>e temporal, de 2000 a 2013, visou analisar como se materializou</w:t>
      </w:r>
      <w:r w:rsidR="002B01EF" w:rsidRPr="0015615B">
        <w:rPr>
          <w:rFonts w:ascii="Times New Roman" w:hAnsi="Times New Roman" w:cs="Times New Roman"/>
          <w:sz w:val="24"/>
          <w:szCs w:val="24"/>
        </w:rPr>
        <w:t xml:space="preserve"> neste município </w:t>
      </w:r>
      <w:r w:rsidR="005842C1" w:rsidRPr="0015615B">
        <w:rPr>
          <w:rFonts w:ascii="Times New Roman" w:hAnsi="Times New Roman" w:cs="Times New Roman"/>
          <w:sz w:val="24"/>
          <w:szCs w:val="24"/>
        </w:rPr>
        <w:t xml:space="preserve">o que Delgado (2013) denomina como </w:t>
      </w:r>
      <w:r w:rsidR="002B01EF" w:rsidRPr="0015615B">
        <w:rPr>
          <w:rFonts w:ascii="Times New Roman" w:hAnsi="Times New Roman" w:cs="Times New Roman"/>
          <w:sz w:val="24"/>
          <w:szCs w:val="24"/>
        </w:rPr>
        <w:t>a escolha do Estado pela sustentação da e</w:t>
      </w:r>
      <w:r w:rsidR="00124BCC" w:rsidRPr="0015615B">
        <w:rPr>
          <w:rFonts w:ascii="Times New Roman" w:hAnsi="Times New Roman" w:cs="Times New Roman"/>
          <w:sz w:val="24"/>
          <w:szCs w:val="24"/>
        </w:rPr>
        <w:t>conomia do agronegócio</w:t>
      </w:r>
      <w:r w:rsidR="0080627A">
        <w:rPr>
          <w:rFonts w:ascii="Times New Roman" w:hAnsi="Times New Roman" w:cs="Times New Roman"/>
          <w:sz w:val="24"/>
          <w:szCs w:val="24"/>
        </w:rPr>
        <w:t>, viabilizada por um pacto de poder de economia política</w:t>
      </w:r>
      <w:r w:rsidR="002B01EF" w:rsidRPr="0015615B">
        <w:rPr>
          <w:rFonts w:ascii="Times New Roman" w:hAnsi="Times New Roman" w:cs="Times New Roman"/>
          <w:sz w:val="24"/>
          <w:szCs w:val="24"/>
        </w:rPr>
        <w:t>. Segundo o IBGE (2015) Itapuranga</w:t>
      </w:r>
      <w:r w:rsidR="003D32B4" w:rsidRPr="0015615B">
        <w:rPr>
          <w:rFonts w:ascii="Times New Roman" w:hAnsi="Times New Roman" w:cs="Times New Roman"/>
          <w:sz w:val="24"/>
          <w:szCs w:val="24"/>
        </w:rPr>
        <w:t xml:space="preserve"> tem</w:t>
      </w:r>
      <w:r w:rsidR="00821DE5" w:rsidRPr="0015615B">
        <w:rPr>
          <w:rFonts w:ascii="Times New Roman" w:hAnsi="Times New Roman" w:cs="Times New Roman"/>
          <w:sz w:val="24"/>
          <w:szCs w:val="24"/>
        </w:rPr>
        <w:t xml:space="preserve"> origem n</w:t>
      </w:r>
      <w:r w:rsidR="00124BCC" w:rsidRPr="0015615B">
        <w:rPr>
          <w:rFonts w:ascii="Times New Roman" w:hAnsi="Times New Roman" w:cs="Times New Roman"/>
          <w:sz w:val="24"/>
          <w:szCs w:val="24"/>
        </w:rPr>
        <w:t>a solicitação de frades dominicanos</w:t>
      </w:r>
      <w:r w:rsidR="0080627A">
        <w:rPr>
          <w:rFonts w:ascii="Times New Roman" w:hAnsi="Times New Roman" w:cs="Times New Roman"/>
          <w:sz w:val="24"/>
          <w:szCs w:val="24"/>
        </w:rPr>
        <w:t xml:space="preserve"> da cidade de Goiás,</w:t>
      </w:r>
      <w:r w:rsidR="00EF2EB0" w:rsidRPr="0015615B">
        <w:rPr>
          <w:rFonts w:ascii="Times New Roman" w:hAnsi="Times New Roman" w:cs="Times New Roman"/>
          <w:sz w:val="24"/>
          <w:szCs w:val="24"/>
        </w:rPr>
        <w:t xml:space="preserve"> de terras</w:t>
      </w:r>
      <w:r w:rsidR="003D32B4" w:rsidRPr="0015615B">
        <w:rPr>
          <w:rFonts w:ascii="Times New Roman" w:hAnsi="Times New Roman" w:cs="Times New Roman"/>
          <w:sz w:val="24"/>
          <w:szCs w:val="24"/>
        </w:rPr>
        <w:t xml:space="preserve"> </w:t>
      </w:r>
      <w:r w:rsidR="0080627A">
        <w:rPr>
          <w:rFonts w:ascii="Times New Roman" w:hAnsi="Times New Roman" w:cs="Times New Roman"/>
          <w:sz w:val="24"/>
          <w:szCs w:val="24"/>
        </w:rPr>
        <w:t xml:space="preserve">localizadas </w:t>
      </w:r>
      <w:r w:rsidR="00821DE5" w:rsidRPr="0015615B">
        <w:rPr>
          <w:rFonts w:ascii="Times New Roman" w:hAnsi="Times New Roman" w:cs="Times New Roman"/>
          <w:sz w:val="24"/>
          <w:szCs w:val="24"/>
        </w:rPr>
        <w:t>as margens do Ribeirão Canastra</w:t>
      </w:r>
      <w:r w:rsidR="00EF2EB0" w:rsidRPr="0015615B">
        <w:rPr>
          <w:rFonts w:ascii="Times New Roman" w:hAnsi="Times New Roman" w:cs="Times New Roman"/>
          <w:sz w:val="24"/>
          <w:szCs w:val="24"/>
        </w:rPr>
        <w:t>.</w:t>
      </w:r>
    </w:p>
    <w:p w:rsidR="00603B29" w:rsidRPr="0015615B" w:rsidRDefault="0080627A" w:rsidP="001561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O topônimo “</w:t>
      </w:r>
      <w:proofErr w:type="spellStart"/>
      <w:r>
        <w:rPr>
          <w:rFonts w:ascii="Times New Roman" w:hAnsi="Times New Roman" w:cs="Times New Roman"/>
          <w:sz w:val="24"/>
          <w:szCs w:val="24"/>
        </w:rPr>
        <w:t>Xixa</w:t>
      </w:r>
      <w:proofErr w:type="spellEnd"/>
      <w:r>
        <w:rPr>
          <w:rFonts w:ascii="Times New Roman" w:hAnsi="Times New Roman" w:cs="Times New Roman"/>
          <w:sz w:val="24"/>
          <w:szCs w:val="24"/>
        </w:rPr>
        <w:t xml:space="preserve">” </w:t>
      </w:r>
      <w:r w:rsidR="0097112C" w:rsidRPr="0015615B">
        <w:rPr>
          <w:rFonts w:ascii="Times New Roman" w:hAnsi="Times New Roman" w:cs="Times New Roman"/>
          <w:sz w:val="24"/>
          <w:szCs w:val="24"/>
        </w:rPr>
        <w:t>se refere à</w:t>
      </w:r>
      <w:r w:rsidR="00821DE5" w:rsidRPr="0015615B">
        <w:rPr>
          <w:rFonts w:ascii="Times New Roman" w:hAnsi="Times New Roman" w:cs="Times New Roman"/>
          <w:sz w:val="24"/>
          <w:szCs w:val="24"/>
        </w:rPr>
        <w:t xml:space="preserve"> realização da primeira missa campal a sombra de uma á</w:t>
      </w:r>
      <w:r w:rsidR="00603B29" w:rsidRPr="0015615B">
        <w:rPr>
          <w:rFonts w:ascii="Times New Roman" w:hAnsi="Times New Roman" w:cs="Times New Roman"/>
          <w:sz w:val="24"/>
          <w:szCs w:val="24"/>
        </w:rPr>
        <w:t>rvore</w:t>
      </w:r>
      <w:r w:rsidR="00821DE5" w:rsidRPr="0015615B">
        <w:rPr>
          <w:rFonts w:ascii="Times New Roman" w:hAnsi="Times New Roman" w:cs="Times New Roman"/>
          <w:sz w:val="24"/>
          <w:szCs w:val="24"/>
        </w:rPr>
        <w:t xml:space="preserve"> conhecida como Xixazeiro. A instalação de comer</w:t>
      </w:r>
      <w:r>
        <w:rPr>
          <w:rFonts w:ascii="Times New Roman" w:hAnsi="Times New Roman" w:cs="Times New Roman"/>
          <w:sz w:val="24"/>
          <w:szCs w:val="24"/>
        </w:rPr>
        <w:t>ciantes e fazendeiros fortaleceu</w:t>
      </w:r>
      <w:r w:rsidR="00821DE5" w:rsidRPr="0015615B">
        <w:rPr>
          <w:rFonts w:ascii="Times New Roman" w:hAnsi="Times New Roman" w:cs="Times New Roman"/>
          <w:sz w:val="24"/>
          <w:szCs w:val="24"/>
        </w:rPr>
        <w:t xml:space="preserve"> o povoado, que ascendeu a categoria de vila em </w:t>
      </w:r>
      <w:r w:rsidR="00D9541C" w:rsidRPr="0015615B">
        <w:rPr>
          <w:rFonts w:ascii="Times New Roman" w:hAnsi="Times New Roman" w:cs="Times New Roman"/>
          <w:sz w:val="24"/>
          <w:szCs w:val="24"/>
        </w:rPr>
        <w:t>dezenove</w:t>
      </w:r>
      <w:r w:rsidR="00821DE5" w:rsidRPr="0015615B">
        <w:rPr>
          <w:rFonts w:ascii="Times New Roman" w:hAnsi="Times New Roman" w:cs="Times New Roman"/>
          <w:sz w:val="24"/>
          <w:szCs w:val="24"/>
        </w:rPr>
        <w:t xml:space="preserve"> de dezembro de 1943, pelo decreto nº 8</w:t>
      </w:r>
      <w:r w:rsidR="00603B29" w:rsidRPr="0015615B">
        <w:rPr>
          <w:rFonts w:ascii="Times New Roman" w:hAnsi="Times New Roman" w:cs="Times New Roman"/>
          <w:sz w:val="24"/>
          <w:szCs w:val="24"/>
        </w:rPr>
        <w:t>.</w:t>
      </w:r>
      <w:r w:rsidR="00821DE5" w:rsidRPr="0015615B">
        <w:rPr>
          <w:rFonts w:ascii="Times New Roman" w:hAnsi="Times New Roman" w:cs="Times New Roman"/>
          <w:sz w:val="24"/>
          <w:szCs w:val="24"/>
        </w:rPr>
        <w:t xml:space="preserve">305. O topônimo </w:t>
      </w:r>
      <w:proofErr w:type="spellStart"/>
      <w:r w:rsidR="00821DE5" w:rsidRPr="0015615B">
        <w:rPr>
          <w:rFonts w:ascii="Times New Roman" w:hAnsi="Times New Roman" w:cs="Times New Roman"/>
          <w:sz w:val="24"/>
          <w:szCs w:val="24"/>
        </w:rPr>
        <w:t>Xixa</w:t>
      </w:r>
      <w:proofErr w:type="spellEnd"/>
      <w:r w:rsidR="00821DE5" w:rsidRPr="0015615B">
        <w:rPr>
          <w:rFonts w:ascii="Times New Roman" w:hAnsi="Times New Roman" w:cs="Times New Roman"/>
          <w:sz w:val="24"/>
          <w:szCs w:val="24"/>
        </w:rPr>
        <w:t xml:space="preserve"> foi mudado pela Câmara Municipal do Município de Goiás para Itapuranga, que significa em tupi/guarani pedra vermelha. </w:t>
      </w:r>
      <w:r w:rsidR="00603B29" w:rsidRPr="0015615B">
        <w:rPr>
          <w:rFonts w:ascii="Times New Roman" w:hAnsi="Times New Roman" w:cs="Times New Roman"/>
          <w:sz w:val="24"/>
          <w:szCs w:val="24"/>
        </w:rPr>
        <w:t>A vila se</w:t>
      </w:r>
      <w:r w:rsidR="00821DE5" w:rsidRPr="0015615B">
        <w:rPr>
          <w:rFonts w:ascii="Times New Roman" w:hAnsi="Times New Roman" w:cs="Times New Roman"/>
          <w:sz w:val="24"/>
          <w:szCs w:val="24"/>
        </w:rPr>
        <w:t xml:space="preserve"> elevou a categoria de município pela Lei Estadual nº 748,</w:t>
      </w:r>
      <w:r w:rsidR="00603B29" w:rsidRPr="0015615B">
        <w:rPr>
          <w:rFonts w:ascii="Times New Roman" w:hAnsi="Times New Roman" w:cs="Times New Roman"/>
          <w:sz w:val="24"/>
          <w:szCs w:val="24"/>
        </w:rPr>
        <w:t xml:space="preserve"> </w:t>
      </w:r>
      <w:r w:rsidR="00821DE5" w:rsidRPr="0015615B">
        <w:rPr>
          <w:rFonts w:ascii="Times New Roman" w:hAnsi="Times New Roman" w:cs="Times New Roman"/>
          <w:sz w:val="24"/>
          <w:szCs w:val="24"/>
        </w:rPr>
        <w:t xml:space="preserve">de três </w:t>
      </w:r>
      <w:r w:rsidR="00603B29" w:rsidRPr="0015615B">
        <w:rPr>
          <w:rFonts w:ascii="Times New Roman" w:hAnsi="Times New Roman" w:cs="Times New Roman"/>
          <w:sz w:val="24"/>
          <w:szCs w:val="24"/>
        </w:rPr>
        <w:t>de Julho de 1943. Segundo o IBGE (2015) o município tem uma área de 1.276,479 Km</w:t>
      </w:r>
      <w:r w:rsidR="00603B29" w:rsidRPr="0015615B">
        <w:rPr>
          <w:rFonts w:ascii="Times New Roman" w:hAnsi="Times New Roman" w:cs="Times New Roman"/>
          <w:sz w:val="24"/>
          <w:szCs w:val="24"/>
          <w:vertAlign w:val="superscript"/>
        </w:rPr>
        <w:t>2</w:t>
      </w:r>
      <w:r w:rsidR="00603B29" w:rsidRPr="0015615B">
        <w:rPr>
          <w:rFonts w:ascii="Times New Roman" w:hAnsi="Times New Roman" w:cs="Times New Roman"/>
          <w:sz w:val="24"/>
          <w:szCs w:val="24"/>
        </w:rPr>
        <w:t>, conta com 26.125 habitantes, sendo 21.235 no centro ur</w:t>
      </w:r>
      <w:r w:rsidR="00124BCC" w:rsidRPr="0015615B">
        <w:rPr>
          <w:rFonts w:ascii="Times New Roman" w:hAnsi="Times New Roman" w:cs="Times New Roman"/>
          <w:sz w:val="24"/>
          <w:szCs w:val="24"/>
        </w:rPr>
        <w:t>bano e 4.890 no espaço agrário,</w:t>
      </w:r>
      <w:r w:rsidR="00603B29" w:rsidRPr="0015615B">
        <w:rPr>
          <w:rFonts w:ascii="Times New Roman" w:hAnsi="Times New Roman" w:cs="Times New Roman"/>
          <w:sz w:val="24"/>
          <w:szCs w:val="24"/>
        </w:rPr>
        <w:t xml:space="preserve"> está localizado na mesorregião do Centro Goiano</w:t>
      </w:r>
      <w:r>
        <w:rPr>
          <w:rFonts w:ascii="Times New Roman" w:hAnsi="Times New Roman" w:cs="Times New Roman"/>
          <w:sz w:val="24"/>
          <w:szCs w:val="24"/>
        </w:rPr>
        <w:t xml:space="preserve"> e na microrregião de Ceres</w:t>
      </w:r>
      <w:r w:rsidR="00603B29" w:rsidRPr="0015615B">
        <w:rPr>
          <w:rFonts w:ascii="Times New Roman" w:hAnsi="Times New Roman" w:cs="Times New Roman"/>
          <w:sz w:val="24"/>
          <w:szCs w:val="24"/>
        </w:rPr>
        <w:t xml:space="preserve">. </w:t>
      </w:r>
    </w:p>
    <w:p w:rsidR="00603B29" w:rsidRPr="0015615B" w:rsidRDefault="00603B29" w:rsidP="0015615B">
      <w:pPr>
        <w:spacing w:after="0" w:line="240" w:lineRule="auto"/>
        <w:jc w:val="both"/>
        <w:rPr>
          <w:rFonts w:ascii="Times New Roman" w:hAnsi="Times New Roman" w:cs="Times New Roman"/>
          <w:sz w:val="24"/>
          <w:szCs w:val="24"/>
        </w:rPr>
      </w:pPr>
      <w:r w:rsidRPr="0015615B">
        <w:rPr>
          <w:rFonts w:ascii="Times New Roman" w:hAnsi="Times New Roman" w:cs="Times New Roman"/>
          <w:sz w:val="24"/>
          <w:szCs w:val="24"/>
        </w:rPr>
        <w:tab/>
        <w:t>A questão central que motivou a pesquisa foi entender até que ponto a um cerco do capital, representado pelo agronegócio</w:t>
      </w:r>
      <w:r w:rsidR="003D32B4" w:rsidRPr="0015615B">
        <w:rPr>
          <w:rFonts w:ascii="Times New Roman" w:hAnsi="Times New Roman" w:cs="Times New Roman"/>
          <w:sz w:val="24"/>
          <w:szCs w:val="24"/>
        </w:rPr>
        <w:t xml:space="preserve"> </w:t>
      </w:r>
      <w:r w:rsidR="0018626E" w:rsidRPr="0015615B">
        <w:rPr>
          <w:rFonts w:ascii="Times New Roman" w:hAnsi="Times New Roman" w:cs="Times New Roman"/>
          <w:sz w:val="24"/>
          <w:szCs w:val="24"/>
        </w:rPr>
        <w:t>ao campesinato itapuranguense e como e</w:t>
      </w:r>
      <w:r w:rsidR="00D9541C" w:rsidRPr="0015615B">
        <w:rPr>
          <w:rFonts w:ascii="Times New Roman" w:hAnsi="Times New Roman" w:cs="Times New Roman"/>
          <w:sz w:val="24"/>
          <w:szCs w:val="24"/>
        </w:rPr>
        <w:t>ss</w:t>
      </w:r>
      <w:r w:rsidR="0018626E" w:rsidRPr="0015615B">
        <w:rPr>
          <w:rFonts w:ascii="Times New Roman" w:hAnsi="Times New Roman" w:cs="Times New Roman"/>
          <w:sz w:val="24"/>
          <w:szCs w:val="24"/>
        </w:rPr>
        <w:t xml:space="preserve">e sujeito social </w:t>
      </w:r>
      <w:r w:rsidR="00124BCC" w:rsidRPr="0015615B">
        <w:rPr>
          <w:rFonts w:ascii="Times New Roman" w:hAnsi="Times New Roman" w:cs="Times New Roman"/>
          <w:sz w:val="24"/>
          <w:szCs w:val="24"/>
        </w:rPr>
        <w:t xml:space="preserve">reage </w:t>
      </w:r>
      <w:r w:rsidR="0018626E" w:rsidRPr="0015615B">
        <w:rPr>
          <w:rFonts w:ascii="Times New Roman" w:hAnsi="Times New Roman" w:cs="Times New Roman"/>
          <w:sz w:val="24"/>
          <w:szCs w:val="24"/>
        </w:rPr>
        <w:t>a e</w:t>
      </w:r>
      <w:r w:rsidR="00D9541C" w:rsidRPr="0015615B">
        <w:rPr>
          <w:rFonts w:ascii="Times New Roman" w:hAnsi="Times New Roman" w:cs="Times New Roman"/>
          <w:sz w:val="24"/>
          <w:szCs w:val="24"/>
        </w:rPr>
        <w:t>ss</w:t>
      </w:r>
      <w:r w:rsidR="0018626E" w:rsidRPr="0015615B">
        <w:rPr>
          <w:rFonts w:ascii="Times New Roman" w:hAnsi="Times New Roman" w:cs="Times New Roman"/>
          <w:sz w:val="24"/>
          <w:szCs w:val="24"/>
        </w:rPr>
        <w:t>e processo? Com isso, o objetivo geral foi en</w:t>
      </w:r>
      <w:r w:rsidR="00124BCC" w:rsidRPr="0015615B">
        <w:rPr>
          <w:rFonts w:ascii="Times New Roman" w:hAnsi="Times New Roman" w:cs="Times New Roman"/>
          <w:sz w:val="24"/>
          <w:szCs w:val="24"/>
        </w:rPr>
        <w:t>tender o cerco do capital ao</w:t>
      </w:r>
      <w:r w:rsidR="00D9541C" w:rsidRPr="0015615B">
        <w:rPr>
          <w:rFonts w:ascii="Times New Roman" w:hAnsi="Times New Roman" w:cs="Times New Roman"/>
          <w:sz w:val="24"/>
          <w:szCs w:val="24"/>
        </w:rPr>
        <w:t xml:space="preserve"> campesinato e as reações desse sujeito social</w:t>
      </w:r>
      <w:r w:rsidR="0018626E" w:rsidRPr="0015615B">
        <w:rPr>
          <w:rFonts w:ascii="Times New Roman" w:hAnsi="Times New Roman" w:cs="Times New Roman"/>
          <w:sz w:val="24"/>
          <w:szCs w:val="24"/>
        </w:rPr>
        <w:t xml:space="preserve"> a</w:t>
      </w:r>
      <w:r w:rsidR="00D9541C" w:rsidRPr="0015615B">
        <w:rPr>
          <w:rFonts w:ascii="Times New Roman" w:hAnsi="Times New Roman" w:cs="Times New Roman"/>
          <w:sz w:val="24"/>
          <w:szCs w:val="24"/>
        </w:rPr>
        <w:t>o agronegócio. Para atingir esse objetivo</w:t>
      </w:r>
      <w:r w:rsidR="0018626E" w:rsidRPr="0015615B">
        <w:rPr>
          <w:rFonts w:ascii="Times New Roman" w:hAnsi="Times New Roman" w:cs="Times New Roman"/>
          <w:sz w:val="24"/>
          <w:szCs w:val="24"/>
        </w:rPr>
        <w:t xml:space="preserve"> se </w:t>
      </w:r>
      <w:proofErr w:type="gramStart"/>
      <w:r w:rsidR="0018626E" w:rsidRPr="0015615B">
        <w:rPr>
          <w:rFonts w:ascii="Times New Roman" w:hAnsi="Times New Roman" w:cs="Times New Roman"/>
          <w:sz w:val="24"/>
          <w:szCs w:val="24"/>
        </w:rPr>
        <w:t>procedeu</w:t>
      </w:r>
      <w:proofErr w:type="gramEnd"/>
      <w:r w:rsidR="0018626E" w:rsidRPr="0015615B">
        <w:rPr>
          <w:rFonts w:ascii="Times New Roman" w:hAnsi="Times New Roman" w:cs="Times New Roman"/>
          <w:sz w:val="24"/>
          <w:szCs w:val="24"/>
        </w:rPr>
        <w:t xml:space="preserve"> à pesquisa bibliográfica, com a localização, levantamento, leitura e </w:t>
      </w:r>
      <w:proofErr w:type="spellStart"/>
      <w:r w:rsidR="0018626E" w:rsidRPr="0015615B">
        <w:rPr>
          <w:rFonts w:ascii="Times New Roman" w:hAnsi="Times New Roman" w:cs="Times New Roman"/>
          <w:sz w:val="24"/>
          <w:szCs w:val="24"/>
        </w:rPr>
        <w:t>fichamento</w:t>
      </w:r>
      <w:proofErr w:type="spellEnd"/>
      <w:r w:rsidR="0018626E" w:rsidRPr="0015615B">
        <w:rPr>
          <w:rFonts w:ascii="Times New Roman" w:hAnsi="Times New Roman" w:cs="Times New Roman"/>
          <w:sz w:val="24"/>
          <w:szCs w:val="24"/>
        </w:rPr>
        <w:t xml:space="preserve"> de referencias.</w:t>
      </w:r>
      <w:r w:rsidR="0080627A">
        <w:rPr>
          <w:rFonts w:ascii="Times New Roman" w:hAnsi="Times New Roman" w:cs="Times New Roman"/>
          <w:sz w:val="24"/>
          <w:szCs w:val="24"/>
        </w:rPr>
        <w:t xml:space="preserve"> </w:t>
      </w:r>
      <w:r w:rsidR="0018626E" w:rsidRPr="0015615B">
        <w:rPr>
          <w:rFonts w:ascii="Times New Roman" w:hAnsi="Times New Roman" w:cs="Times New Roman"/>
          <w:sz w:val="24"/>
          <w:szCs w:val="24"/>
        </w:rPr>
        <w:t>Assim como a busca de dados secundários no IBGE, no IMB, no INCRA, no Ministério da Agricultura</w:t>
      </w:r>
      <w:r w:rsidR="00124BCC" w:rsidRPr="0015615B">
        <w:rPr>
          <w:rFonts w:ascii="Times New Roman" w:hAnsi="Times New Roman" w:cs="Times New Roman"/>
          <w:sz w:val="24"/>
          <w:szCs w:val="24"/>
        </w:rPr>
        <w:t>,</w:t>
      </w:r>
      <w:r w:rsidR="0018626E" w:rsidRPr="0015615B">
        <w:rPr>
          <w:rFonts w:ascii="Times New Roman" w:hAnsi="Times New Roman" w:cs="Times New Roman"/>
          <w:sz w:val="24"/>
          <w:szCs w:val="24"/>
        </w:rPr>
        <w:t xml:space="preserve"> Pecuária e Abastecimento (MAPA) e em sítios de organi</w:t>
      </w:r>
      <w:r w:rsidR="003A242D" w:rsidRPr="0015615B">
        <w:rPr>
          <w:rFonts w:ascii="Times New Roman" w:hAnsi="Times New Roman" w:cs="Times New Roman"/>
          <w:sz w:val="24"/>
          <w:szCs w:val="24"/>
        </w:rPr>
        <w:t>zações que atuam n</w:t>
      </w:r>
      <w:r w:rsidR="0018626E" w:rsidRPr="0015615B">
        <w:rPr>
          <w:rFonts w:ascii="Times New Roman" w:hAnsi="Times New Roman" w:cs="Times New Roman"/>
          <w:sz w:val="24"/>
          <w:szCs w:val="24"/>
        </w:rPr>
        <w:t>o município. Além disso, se realizou pesquisa de campo,</w:t>
      </w:r>
      <w:r w:rsidR="003A242D" w:rsidRPr="0015615B">
        <w:rPr>
          <w:rFonts w:ascii="Times New Roman" w:hAnsi="Times New Roman" w:cs="Times New Roman"/>
          <w:sz w:val="24"/>
          <w:szCs w:val="24"/>
        </w:rPr>
        <w:t xml:space="preserve"> com a aplicação de entrevista s</w:t>
      </w:r>
      <w:r w:rsidR="0018626E" w:rsidRPr="0015615B">
        <w:rPr>
          <w:rFonts w:ascii="Times New Roman" w:hAnsi="Times New Roman" w:cs="Times New Roman"/>
          <w:sz w:val="24"/>
          <w:szCs w:val="24"/>
        </w:rPr>
        <w:t>emi-estruturada com membros do Sindicato de Trabalhadores Rurais de Itapuranga (STRI) e integrantes da Cooperativa da Agricultura Fa</w:t>
      </w:r>
      <w:r w:rsidR="003A242D" w:rsidRPr="0015615B">
        <w:rPr>
          <w:rFonts w:ascii="Times New Roman" w:hAnsi="Times New Roman" w:cs="Times New Roman"/>
          <w:sz w:val="24"/>
          <w:szCs w:val="24"/>
        </w:rPr>
        <w:t xml:space="preserve">miliar de </w:t>
      </w:r>
      <w:proofErr w:type="spellStart"/>
      <w:r w:rsidR="003A242D" w:rsidRPr="0015615B">
        <w:rPr>
          <w:rFonts w:ascii="Times New Roman" w:hAnsi="Times New Roman" w:cs="Times New Roman"/>
          <w:sz w:val="24"/>
          <w:szCs w:val="24"/>
        </w:rPr>
        <w:t>Itapuranga</w:t>
      </w:r>
      <w:proofErr w:type="spellEnd"/>
      <w:r w:rsidR="003A242D" w:rsidRPr="0015615B">
        <w:rPr>
          <w:rFonts w:ascii="Times New Roman" w:hAnsi="Times New Roman" w:cs="Times New Roman"/>
          <w:sz w:val="24"/>
          <w:szCs w:val="24"/>
        </w:rPr>
        <w:t xml:space="preserve"> (</w:t>
      </w:r>
      <w:proofErr w:type="spellStart"/>
      <w:r w:rsidR="003A242D" w:rsidRPr="0015615B">
        <w:rPr>
          <w:rFonts w:ascii="Times New Roman" w:hAnsi="Times New Roman" w:cs="Times New Roman"/>
          <w:sz w:val="24"/>
          <w:szCs w:val="24"/>
        </w:rPr>
        <w:t>COOPERAF</w:t>
      </w:r>
      <w:r w:rsidR="00C13108" w:rsidRPr="0015615B">
        <w:rPr>
          <w:rFonts w:ascii="Times New Roman" w:hAnsi="Times New Roman" w:cs="Times New Roman"/>
          <w:sz w:val="24"/>
          <w:szCs w:val="24"/>
        </w:rPr>
        <w:t>I</w:t>
      </w:r>
      <w:proofErr w:type="spellEnd"/>
      <w:r w:rsidR="003A242D" w:rsidRPr="0015615B">
        <w:rPr>
          <w:rFonts w:ascii="Times New Roman" w:hAnsi="Times New Roman" w:cs="Times New Roman"/>
          <w:sz w:val="24"/>
          <w:szCs w:val="24"/>
        </w:rPr>
        <w:t xml:space="preserve">), </w:t>
      </w:r>
      <w:r w:rsidR="00D9541C" w:rsidRPr="0015615B">
        <w:rPr>
          <w:rFonts w:ascii="Times New Roman" w:hAnsi="Times New Roman" w:cs="Times New Roman"/>
          <w:sz w:val="24"/>
          <w:szCs w:val="24"/>
        </w:rPr>
        <w:t>também</w:t>
      </w:r>
      <w:r w:rsidR="0080627A">
        <w:rPr>
          <w:rFonts w:ascii="Times New Roman" w:hAnsi="Times New Roman" w:cs="Times New Roman"/>
          <w:sz w:val="24"/>
          <w:szCs w:val="24"/>
        </w:rPr>
        <w:t xml:space="preserve"> se procedeu </w:t>
      </w:r>
      <w:proofErr w:type="gramStart"/>
      <w:r w:rsidR="0080627A">
        <w:rPr>
          <w:rFonts w:ascii="Times New Roman" w:hAnsi="Times New Roman" w:cs="Times New Roman"/>
          <w:sz w:val="24"/>
          <w:szCs w:val="24"/>
        </w:rPr>
        <w:t>a</w:t>
      </w:r>
      <w:proofErr w:type="gramEnd"/>
      <w:r w:rsidR="003A242D" w:rsidRPr="0015615B">
        <w:rPr>
          <w:rFonts w:ascii="Times New Roman" w:hAnsi="Times New Roman" w:cs="Times New Roman"/>
          <w:sz w:val="24"/>
          <w:szCs w:val="24"/>
        </w:rPr>
        <w:t xml:space="preserve"> observação sistemática na Feira do Produtor Rural. Os dados e informações coletados foram tabulados e apresentados em gráficos,</w:t>
      </w:r>
      <w:r w:rsidR="00D9541C" w:rsidRPr="0015615B">
        <w:rPr>
          <w:rFonts w:ascii="Times New Roman" w:hAnsi="Times New Roman" w:cs="Times New Roman"/>
          <w:sz w:val="24"/>
          <w:szCs w:val="24"/>
        </w:rPr>
        <w:t xml:space="preserve"> em</w:t>
      </w:r>
      <w:r w:rsidR="003A242D" w:rsidRPr="0015615B">
        <w:rPr>
          <w:rFonts w:ascii="Times New Roman" w:hAnsi="Times New Roman" w:cs="Times New Roman"/>
          <w:sz w:val="24"/>
          <w:szCs w:val="24"/>
        </w:rPr>
        <w:t xml:space="preserve"> tabe</w:t>
      </w:r>
      <w:r w:rsidR="00124BCC" w:rsidRPr="0015615B">
        <w:rPr>
          <w:rFonts w:ascii="Times New Roman" w:hAnsi="Times New Roman" w:cs="Times New Roman"/>
          <w:sz w:val="24"/>
          <w:szCs w:val="24"/>
        </w:rPr>
        <w:t>las e no corpo do texto</w:t>
      </w:r>
      <w:r w:rsidR="003A242D" w:rsidRPr="0015615B">
        <w:rPr>
          <w:rFonts w:ascii="Times New Roman" w:hAnsi="Times New Roman" w:cs="Times New Roman"/>
          <w:sz w:val="24"/>
          <w:szCs w:val="24"/>
        </w:rPr>
        <w:t>.</w:t>
      </w:r>
    </w:p>
    <w:p w:rsidR="003A242D" w:rsidRDefault="003A242D" w:rsidP="001F267F">
      <w:pPr>
        <w:spacing w:after="0" w:line="240" w:lineRule="auto"/>
        <w:jc w:val="both"/>
        <w:rPr>
          <w:rFonts w:ascii="Times New Roman" w:hAnsi="Times New Roman" w:cs="Times New Roman"/>
          <w:sz w:val="24"/>
          <w:szCs w:val="24"/>
        </w:rPr>
      </w:pPr>
      <w:r w:rsidRPr="0015615B">
        <w:rPr>
          <w:rFonts w:ascii="Times New Roman" w:hAnsi="Times New Roman" w:cs="Times New Roman"/>
          <w:sz w:val="24"/>
          <w:szCs w:val="24"/>
        </w:rPr>
        <w:tab/>
        <w:t>Na apresentação das entrevistas se adotou nomes fictícios para os interlocutores, tendo em vista</w:t>
      </w:r>
      <w:r w:rsidR="0080627A">
        <w:rPr>
          <w:rFonts w:ascii="Times New Roman" w:hAnsi="Times New Roman" w:cs="Times New Roman"/>
          <w:sz w:val="24"/>
          <w:szCs w:val="24"/>
        </w:rPr>
        <w:t xml:space="preserve"> a</w:t>
      </w:r>
      <w:r w:rsidRPr="0015615B">
        <w:rPr>
          <w:rFonts w:ascii="Times New Roman" w:hAnsi="Times New Roman" w:cs="Times New Roman"/>
          <w:sz w:val="24"/>
          <w:szCs w:val="24"/>
        </w:rPr>
        <w:t xml:space="preserve"> p</w:t>
      </w:r>
      <w:r w:rsidR="00D9541C" w:rsidRPr="0015615B">
        <w:rPr>
          <w:rFonts w:ascii="Times New Roman" w:hAnsi="Times New Roman" w:cs="Times New Roman"/>
          <w:sz w:val="24"/>
          <w:szCs w:val="24"/>
        </w:rPr>
        <w:t>reservação da integridade dos mesmos</w:t>
      </w:r>
      <w:r w:rsidRPr="0015615B">
        <w:rPr>
          <w:rFonts w:ascii="Times New Roman" w:hAnsi="Times New Roman" w:cs="Times New Roman"/>
          <w:sz w:val="24"/>
          <w:szCs w:val="24"/>
        </w:rPr>
        <w:t>. Já os depoimentos foram expostos, graças à autorização dos entrevistados. O artigo está dividido em três partes; na primeira se discute o conceito de campesinato, na segunda o termo agronegócio e na terceira a ação do agronegócio em Itapuranga e a reação do campesinato. Desta maneira, no próximo item o debate se vincula a categoria campesinato.</w:t>
      </w:r>
    </w:p>
    <w:p w:rsidR="001F267F" w:rsidRDefault="001F267F" w:rsidP="001F267F">
      <w:pPr>
        <w:spacing w:after="0" w:line="240" w:lineRule="auto"/>
        <w:jc w:val="both"/>
        <w:rPr>
          <w:rFonts w:ascii="Times New Roman" w:hAnsi="Times New Roman" w:cs="Times New Roman"/>
          <w:sz w:val="24"/>
          <w:szCs w:val="24"/>
        </w:rPr>
      </w:pPr>
    </w:p>
    <w:p w:rsidR="004E3BC6" w:rsidRPr="0015615B" w:rsidRDefault="004E3BC6" w:rsidP="001F267F">
      <w:pPr>
        <w:spacing w:after="0" w:line="240" w:lineRule="auto"/>
        <w:jc w:val="both"/>
        <w:rPr>
          <w:rFonts w:ascii="Times New Roman" w:hAnsi="Times New Roman" w:cs="Times New Roman"/>
          <w:sz w:val="24"/>
          <w:szCs w:val="24"/>
        </w:rPr>
      </w:pPr>
    </w:p>
    <w:p w:rsidR="001F267F" w:rsidRDefault="0013595A" w:rsidP="004E3BC6">
      <w:pPr>
        <w:spacing w:after="0" w:line="240" w:lineRule="auto"/>
        <w:jc w:val="both"/>
        <w:rPr>
          <w:rFonts w:ascii="Times New Roman" w:hAnsi="Times New Roman" w:cs="Times New Roman"/>
          <w:b/>
          <w:sz w:val="24"/>
          <w:szCs w:val="24"/>
        </w:rPr>
      </w:pPr>
      <w:r w:rsidRPr="0015615B">
        <w:rPr>
          <w:rFonts w:ascii="Times New Roman" w:hAnsi="Times New Roman" w:cs="Times New Roman"/>
          <w:b/>
          <w:sz w:val="24"/>
          <w:szCs w:val="24"/>
        </w:rPr>
        <w:t>Por</w:t>
      </w:r>
      <w:r w:rsidR="00D9541C" w:rsidRPr="0015615B">
        <w:rPr>
          <w:rFonts w:ascii="Times New Roman" w:hAnsi="Times New Roman" w:cs="Times New Roman"/>
          <w:b/>
          <w:sz w:val="24"/>
          <w:szCs w:val="24"/>
        </w:rPr>
        <w:t xml:space="preserve"> </w:t>
      </w:r>
      <w:r w:rsidRPr="0015615B">
        <w:rPr>
          <w:rFonts w:ascii="Times New Roman" w:hAnsi="Times New Roman" w:cs="Times New Roman"/>
          <w:b/>
          <w:sz w:val="24"/>
          <w:szCs w:val="24"/>
        </w:rPr>
        <w:t>que ainda falar de camponeses?</w:t>
      </w:r>
    </w:p>
    <w:p w:rsidR="004E3BC6" w:rsidRPr="0015615B" w:rsidRDefault="004E3BC6" w:rsidP="004E3BC6">
      <w:pPr>
        <w:spacing w:after="0" w:line="240" w:lineRule="auto"/>
        <w:jc w:val="both"/>
        <w:rPr>
          <w:rFonts w:ascii="Times New Roman" w:hAnsi="Times New Roman" w:cs="Times New Roman"/>
          <w:b/>
          <w:sz w:val="24"/>
          <w:szCs w:val="24"/>
        </w:rPr>
      </w:pPr>
    </w:p>
    <w:p w:rsidR="006263AA" w:rsidRPr="0015615B" w:rsidRDefault="00D91DA0" w:rsidP="0015615B">
      <w:pPr>
        <w:spacing w:after="0" w:line="240" w:lineRule="auto"/>
        <w:ind w:firstLine="709"/>
        <w:jc w:val="both"/>
        <w:rPr>
          <w:rFonts w:ascii="Times New Roman" w:hAnsi="Times New Roman" w:cs="Times New Roman"/>
          <w:sz w:val="24"/>
          <w:szCs w:val="24"/>
        </w:rPr>
      </w:pPr>
      <w:r w:rsidRPr="0015615B">
        <w:rPr>
          <w:rFonts w:ascii="Times New Roman" w:hAnsi="Times New Roman" w:cs="Times New Roman"/>
          <w:sz w:val="24"/>
          <w:szCs w:val="24"/>
        </w:rPr>
        <w:t>Costa (2013)</w:t>
      </w:r>
      <w:r w:rsidR="0097112C" w:rsidRPr="0015615B">
        <w:rPr>
          <w:rFonts w:ascii="Times New Roman" w:hAnsi="Times New Roman" w:cs="Times New Roman"/>
          <w:sz w:val="24"/>
          <w:szCs w:val="24"/>
        </w:rPr>
        <w:t xml:space="preserve"> na</w:t>
      </w:r>
      <w:r w:rsidR="00124BCC" w:rsidRPr="0015615B">
        <w:rPr>
          <w:rFonts w:ascii="Times New Roman" w:hAnsi="Times New Roman" w:cs="Times New Roman"/>
          <w:sz w:val="24"/>
          <w:szCs w:val="24"/>
        </w:rPr>
        <w:t xml:space="preserve"> critica a</w:t>
      </w:r>
      <w:r w:rsidR="00E6559A" w:rsidRPr="0015615B">
        <w:rPr>
          <w:rFonts w:ascii="Times New Roman" w:hAnsi="Times New Roman" w:cs="Times New Roman"/>
          <w:sz w:val="24"/>
          <w:szCs w:val="24"/>
        </w:rPr>
        <w:t xml:space="preserve"> Alves &amp; </w:t>
      </w:r>
      <w:proofErr w:type="spellStart"/>
      <w:r w:rsidR="00E6559A" w:rsidRPr="0015615B">
        <w:rPr>
          <w:rFonts w:ascii="Times New Roman" w:hAnsi="Times New Roman" w:cs="Times New Roman"/>
          <w:sz w:val="24"/>
          <w:szCs w:val="24"/>
        </w:rPr>
        <w:t>Buainain</w:t>
      </w:r>
      <w:proofErr w:type="spellEnd"/>
      <w:r w:rsidR="00E6559A" w:rsidRPr="0015615B">
        <w:rPr>
          <w:rFonts w:ascii="Times New Roman" w:hAnsi="Times New Roman" w:cs="Times New Roman"/>
          <w:sz w:val="24"/>
          <w:szCs w:val="24"/>
        </w:rPr>
        <w:t xml:space="preserve"> et. </w:t>
      </w:r>
      <w:proofErr w:type="gramStart"/>
      <w:r w:rsidR="00E6559A" w:rsidRPr="0015615B">
        <w:rPr>
          <w:rFonts w:ascii="Times New Roman" w:hAnsi="Times New Roman" w:cs="Times New Roman"/>
          <w:sz w:val="24"/>
          <w:szCs w:val="24"/>
        </w:rPr>
        <w:t>al</w:t>
      </w:r>
      <w:proofErr w:type="gramEnd"/>
      <w:r w:rsidR="00E6559A" w:rsidRPr="0015615B">
        <w:rPr>
          <w:rFonts w:ascii="Times New Roman" w:hAnsi="Times New Roman" w:cs="Times New Roman"/>
          <w:sz w:val="24"/>
          <w:szCs w:val="24"/>
        </w:rPr>
        <w:t xml:space="preserve"> (2013)</w:t>
      </w:r>
      <w:r w:rsidR="00124BCC" w:rsidRPr="0015615B">
        <w:rPr>
          <w:rFonts w:ascii="Times New Roman" w:hAnsi="Times New Roman" w:cs="Times New Roman"/>
          <w:sz w:val="24"/>
          <w:szCs w:val="24"/>
        </w:rPr>
        <w:t>,</w:t>
      </w:r>
      <w:r w:rsidR="0097112C" w:rsidRPr="0015615B">
        <w:rPr>
          <w:rFonts w:ascii="Times New Roman" w:hAnsi="Times New Roman" w:cs="Times New Roman"/>
          <w:sz w:val="24"/>
          <w:szCs w:val="24"/>
        </w:rPr>
        <w:t xml:space="preserve"> ironiza a ideia d</w:t>
      </w:r>
      <w:r w:rsidRPr="0015615B">
        <w:rPr>
          <w:rFonts w:ascii="Times New Roman" w:hAnsi="Times New Roman" w:cs="Times New Roman"/>
          <w:sz w:val="24"/>
          <w:szCs w:val="24"/>
        </w:rPr>
        <w:t>o novo rural, com o termo: “</w:t>
      </w:r>
      <w:r w:rsidRPr="0015615B">
        <w:rPr>
          <w:rFonts w:ascii="Times New Roman" w:hAnsi="Times New Roman" w:cs="Times New Roman"/>
          <w:i/>
          <w:sz w:val="24"/>
          <w:szCs w:val="24"/>
        </w:rPr>
        <w:t>o</w:t>
      </w:r>
      <w:r w:rsidR="0097112C" w:rsidRPr="0015615B">
        <w:rPr>
          <w:rFonts w:ascii="Times New Roman" w:hAnsi="Times New Roman" w:cs="Times New Roman"/>
          <w:i/>
          <w:sz w:val="24"/>
          <w:szCs w:val="24"/>
        </w:rPr>
        <w:t xml:space="preserve"> novo, de novo</w:t>
      </w:r>
      <w:r w:rsidR="0097112C" w:rsidRPr="0015615B">
        <w:rPr>
          <w:rFonts w:ascii="Times New Roman" w:hAnsi="Times New Roman" w:cs="Times New Roman"/>
          <w:sz w:val="24"/>
          <w:szCs w:val="24"/>
        </w:rPr>
        <w:t>.” Segundo ele</w:t>
      </w:r>
      <w:r w:rsidRPr="0015615B">
        <w:rPr>
          <w:rFonts w:ascii="Times New Roman" w:hAnsi="Times New Roman" w:cs="Times New Roman"/>
          <w:sz w:val="24"/>
          <w:szCs w:val="24"/>
        </w:rPr>
        <w:t>, este entendimento seri</w:t>
      </w:r>
      <w:r w:rsidR="0068460E" w:rsidRPr="0015615B">
        <w:rPr>
          <w:rFonts w:ascii="Times New Roman" w:hAnsi="Times New Roman" w:cs="Times New Roman"/>
          <w:sz w:val="24"/>
          <w:szCs w:val="24"/>
        </w:rPr>
        <w:t>a a reedição</w:t>
      </w:r>
      <w:r w:rsidRPr="0015615B">
        <w:rPr>
          <w:rFonts w:ascii="Times New Roman" w:hAnsi="Times New Roman" w:cs="Times New Roman"/>
          <w:sz w:val="24"/>
          <w:szCs w:val="24"/>
        </w:rPr>
        <w:t xml:space="preserve"> de uma l</w:t>
      </w:r>
      <w:r w:rsidR="0097112C" w:rsidRPr="0015615B">
        <w:rPr>
          <w:rFonts w:ascii="Times New Roman" w:hAnsi="Times New Roman" w:cs="Times New Roman"/>
          <w:sz w:val="24"/>
          <w:szCs w:val="24"/>
        </w:rPr>
        <w:t>eitura do agrário com</w:t>
      </w:r>
      <w:r w:rsidRPr="0015615B">
        <w:rPr>
          <w:rFonts w:ascii="Times New Roman" w:hAnsi="Times New Roman" w:cs="Times New Roman"/>
          <w:sz w:val="24"/>
          <w:szCs w:val="24"/>
        </w:rPr>
        <w:t xml:space="preserve"> orig</w:t>
      </w:r>
      <w:r w:rsidR="00A1596F" w:rsidRPr="0015615B">
        <w:rPr>
          <w:rFonts w:ascii="Times New Roman" w:hAnsi="Times New Roman" w:cs="Times New Roman"/>
          <w:sz w:val="24"/>
          <w:szCs w:val="24"/>
        </w:rPr>
        <w:t>ens no século XIX, com a</w:t>
      </w:r>
      <w:r w:rsidRPr="0015615B">
        <w:rPr>
          <w:rFonts w:ascii="Times New Roman" w:hAnsi="Times New Roman" w:cs="Times New Roman"/>
          <w:sz w:val="24"/>
          <w:szCs w:val="24"/>
        </w:rPr>
        <w:t xml:space="preserve"> leitura de Kautsky (1998) da in</w:t>
      </w:r>
      <w:r w:rsidR="00E6559A" w:rsidRPr="0015615B">
        <w:rPr>
          <w:rFonts w:ascii="Times New Roman" w:hAnsi="Times New Roman" w:cs="Times New Roman"/>
          <w:sz w:val="24"/>
          <w:szCs w:val="24"/>
        </w:rPr>
        <w:t>dustrialização da agricultura e</w:t>
      </w:r>
      <w:r w:rsidRPr="0015615B">
        <w:rPr>
          <w:rFonts w:ascii="Times New Roman" w:hAnsi="Times New Roman" w:cs="Times New Roman"/>
          <w:sz w:val="24"/>
          <w:szCs w:val="24"/>
        </w:rPr>
        <w:t xml:space="preserve"> por conseguinte de extinção do campesi</w:t>
      </w:r>
      <w:r w:rsidR="006263AA" w:rsidRPr="0015615B">
        <w:rPr>
          <w:rFonts w:ascii="Times New Roman" w:hAnsi="Times New Roman" w:cs="Times New Roman"/>
          <w:sz w:val="24"/>
          <w:szCs w:val="24"/>
        </w:rPr>
        <w:t>nato, a</w:t>
      </w:r>
      <w:r w:rsidRPr="0015615B">
        <w:rPr>
          <w:rFonts w:ascii="Times New Roman" w:hAnsi="Times New Roman" w:cs="Times New Roman"/>
          <w:sz w:val="24"/>
          <w:szCs w:val="24"/>
        </w:rPr>
        <w:t>lém da análise leninista</w:t>
      </w:r>
      <w:r w:rsidR="00E6559A" w:rsidRPr="0015615B">
        <w:rPr>
          <w:rFonts w:ascii="Times New Roman" w:hAnsi="Times New Roman" w:cs="Times New Roman"/>
          <w:sz w:val="24"/>
          <w:szCs w:val="24"/>
        </w:rPr>
        <w:t xml:space="preserve"> de diferenciação deste sujeito social</w:t>
      </w:r>
      <w:r w:rsidRPr="0015615B">
        <w:rPr>
          <w:rFonts w:ascii="Times New Roman" w:hAnsi="Times New Roman" w:cs="Times New Roman"/>
          <w:sz w:val="24"/>
          <w:szCs w:val="24"/>
        </w:rPr>
        <w:t xml:space="preserve">. Portanto, </w:t>
      </w:r>
      <w:r w:rsidR="006263AA" w:rsidRPr="0015615B">
        <w:rPr>
          <w:rFonts w:ascii="Times New Roman" w:hAnsi="Times New Roman" w:cs="Times New Roman"/>
          <w:sz w:val="24"/>
          <w:szCs w:val="24"/>
        </w:rPr>
        <w:t xml:space="preserve">o dito “novo rural” representaria a reafirmação de teses já levantadas em </w:t>
      </w:r>
      <w:r w:rsidR="0068460E" w:rsidRPr="0015615B">
        <w:rPr>
          <w:rFonts w:ascii="Times New Roman" w:hAnsi="Times New Roman" w:cs="Times New Roman"/>
          <w:sz w:val="24"/>
          <w:szCs w:val="24"/>
        </w:rPr>
        <w:t>séculos</w:t>
      </w:r>
      <w:r w:rsidR="006263AA" w:rsidRPr="0015615B">
        <w:rPr>
          <w:rFonts w:ascii="Times New Roman" w:hAnsi="Times New Roman" w:cs="Times New Roman"/>
          <w:sz w:val="24"/>
          <w:szCs w:val="24"/>
        </w:rPr>
        <w:t xml:space="preserve"> anteriores, assim como a prevalência de um viés teórico-metodológico unilinear e evolucionista da história. Guzmán &amp; Molina (200</w:t>
      </w:r>
      <w:r w:rsidR="0097112C" w:rsidRPr="0015615B">
        <w:rPr>
          <w:rFonts w:ascii="Times New Roman" w:hAnsi="Times New Roman" w:cs="Times New Roman"/>
          <w:sz w:val="24"/>
          <w:szCs w:val="24"/>
        </w:rPr>
        <w:t>5)</w:t>
      </w:r>
      <w:r w:rsidR="00E6559A" w:rsidRPr="0015615B">
        <w:rPr>
          <w:rFonts w:ascii="Times New Roman" w:hAnsi="Times New Roman" w:cs="Times New Roman"/>
          <w:sz w:val="24"/>
          <w:szCs w:val="24"/>
        </w:rPr>
        <w:t xml:space="preserve"> </w:t>
      </w:r>
      <w:r w:rsidR="006263AA" w:rsidRPr="0015615B">
        <w:rPr>
          <w:rFonts w:ascii="Times New Roman" w:hAnsi="Times New Roman" w:cs="Times New Roman"/>
          <w:sz w:val="24"/>
          <w:szCs w:val="24"/>
        </w:rPr>
        <w:t>acreditam que tais</w:t>
      </w:r>
      <w:r w:rsidR="00E6559A" w:rsidRPr="0015615B">
        <w:rPr>
          <w:rFonts w:ascii="Times New Roman" w:hAnsi="Times New Roman" w:cs="Times New Roman"/>
          <w:sz w:val="24"/>
          <w:szCs w:val="24"/>
        </w:rPr>
        <w:t xml:space="preserve"> afirmações</w:t>
      </w:r>
      <w:r w:rsidR="006263AA" w:rsidRPr="0015615B">
        <w:rPr>
          <w:rFonts w:ascii="Times New Roman" w:hAnsi="Times New Roman" w:cs="Times New Roman"/>
          <w:sz w:val="24"/>
          <w:szCs w:val="24"/>
        </w:rPr>
        <w:t xml:space="preserve"> se estruturam em compreensões equivocadas de </w:t>
      </w:r>
      <w:proofErr w:type="spellStart"/>
      <w:r w:rsidR="00D9541C" w:rsidRPr="0015615B">
        <w:rPr>
          <w:rFonts w:ascii="Times New Roman" w:hAnsi="Times New Roman" w:cs="Times New Roman"/>
          <w:sz w:val="24"/>
          <w:szCs w:val="24"/>
        </w:rPr>
        <w:t>K</w:t>
      </w:r>
      <w:r w:rsidR="006263AA" w:rsidRPr="0015615B">
        <w:rPr>
          <w:rFonts w:ascii="Times New Roman" w:hAnsi="Times New Roman" w:cs="Times New Roman"/>
          <w:sz w:val="24"/>
          <w:szCs w:val="24"/>
        </w:rPr>
        <w:t>autsky</w:t>
      </w:r>
      <w:proofErr w:type="spellEnd"/>
      <w:r w:rsidR="006263AA" w:rsidRPr="0015615B">
        <w:rPr>
          <w:rFonts w:ascii="Times New Roman" w:hAnsi="Times New Roman" w:cs="Times New Roman"/>
          <w:sz w:val="24"/>
          <w:szCs w:val="24"/>
        </w:rPr>
        <w:t xml:space="preserve"> (1998) e </w:t>
      </w:r>
      <w:r w:rsidR="001267BD" w:rsidRPr="0015615B">
        <w:rPr>
          <w:rFonts w:ascii="Times New Roman" w:hAnsi="Times New Roman" w:cs="Times New Roman"/>
          <w:sz w:val="24"/>
          <w:szCs w:val="24"/>
        </w:rPr>
        <w:t>Lênin (1870-1924)</w:t>
      </w:r>
      <w:r w:rsidR="006263AA" w:rsidRPr="0015615B">
        <w:rPr>
          <w:rFonts w:ascii="Times New Roman" w:hAnsi="Times New Roman" w:cs="Times New Roman"/>
          <w:sz w:val="24"/>
          <w:szCs w:val="24"/>
        </w:rPr>
        <w:t>.</w:t>
      </w:r>
      <w:r w:rsidR="001267BD" w:rsidRPr="0015615B">
        <w:rPr>
          <w:rFonts w:ascii="Times New Roman" w:hAnsi="Times New Roman" w:cs="Times New Roman"/>
          <w:sz w:val="24"/>
          <w:szCs w:val="24"/>
        </w:rPr>
        <w:t xml:space="preserve"> </w:t>
      </w:r>
      <w:r w:rsidR="006263AA" w:rsidRPr="0015615B">
        <w:rPr>
          <w:rFonts w:ascii="Times New Roman" w:hAnsi="Times New Roman" w:cs="Times New Roman"/>
          <w:sz w:val="24"/>
          <w:szCs w:val="24"/>
        </w:rPr>
        <w:t>Pois,</w:t>
      </w:r>
      <w:r w:rsidR="00E6559A" w:rsidRPr="0015615B">
        <w:rPr>
          <w:rFonts w:ascii="Times New Roman" w:hAnsi="Times New Roman" w:cs="Times New Roman"/>
          <w:sz w:val="24"/>
          <w:szCs w:val="24"/>
        </w:rPr>
        <w:t xml:space="preserve"> segundo eles</w:t>
      </w:r>
      <w:r w:rsidR="0097112C" w:rsidRPr="0015615B">
        <w:rPr>
          <w:rFonts w:ascii="Times New Roman" w:hAnsi="Times New Roman" w:cs="Times New Roman"/>
          <w:sz w:val="24"/>
          <w:szCs w:val="24"/>
        </w:rPr>
        <w:t xml:space="preserve"> o primeiro</w:t>
      </w:r>
      <w:r w:rsidR="00E6559A" w:rsidRPr="0015615B">
        <w:rPr>
          <w:rFonts w:ascii="Times New Roman" w:hAnsi="Times New Roman" w:cs="Times New Roman"/>
          <w:sz w:val="24"/>
          <w:szCs w:val="24"/>
        </w:rPr>
        <w:t xml:space="preserve"> </w:t>
      </w:r>
      <w:r w:rsidR="0068460E" w:rsidRPr="0015615B">
        <w:rPr>
          <w:rFonts w:ascii="Times New Roman" w:hAnsi="Times New Roman" w:cs="Times New Roman"/>
          <w:sz w:val="24"/>
          <w:szCs w:val="24"/>
        </w:rPr>
        <w:t>defendia</w:t>
      </w:r>
      <w:r w:rsidR="00E6559A" w:rsidRPr="0015615B">
        <w:rPr>
          <w:rFonts w:ascii="Times New Roman" w:hAnsi="Times New Roman" w:cs="Times New Roman"/>
          <w:sz w:val="24"/>
          <w:szCs w:val="24"/>
        </w:rPr>
        <w:t xml:space="preserve"> </w:t>
      </w:r>
      <w:r w:rsidR="006263AA" w:rsidRPr="0015615B">
        <w:rPr>
          <w:rFonts w:ascii="Times New Roman" w:hAnsi="Times New Roman" w:cs="Times New Roman"/>
          <w:sz w:val="24"/>
          <w:szCs w:val="24"/>
        </w:rPr>
        <w:t>a existência de um setor camponês na economia capitalista</w:t>
      </w:r>
      <w:r w:rsidR="0068460E" w:rsidRPr="0015615B">
        <w:rPr>
          <w:rFonts w:ascii="Times New Roman" w:hAnsi="Times New Roman" w:cs="Times New Roman"/>
          <w:sz w:val="24"/>
          <w:szCs w:val="24"/>
        </w:rPr>
        <w:t>,</w:t>
      </w:r>
      <w:r w:rsidR="006263AA" w:rsidRPr="0015615B">
        <w:rPr>
          <w:rFonts w:ascii="Times New Roman" w:hAnsi="Times New Roman" w:cs="Times New Roman"/>
          <w:sz w:val="24"/>
          <w:szCs w:val="24"/>
        </w:rPr>
        <w:t xml:space="preserve"> como fonte de acumulação c</w:t>
      </w:r>
      <w:r w:rsidR="00D9541C" w:rsidRPr="0015615B">
        <w:rPr>
          <w:rFonts w:ascii="Times New Roman" w:hAnsi="Times New Roman" w:cs="Times New Roman"/>
          <w:sz w:val="24"/>
          <w:szCs w:val="24"/>
        </w:rPr>
        <w:t>ontí</w:t>
      </w:r>
      <w:r w:rsidR="006263AA" w:rsidRPr="0015615B">
        <w:rPr>
          <w:rFonts w:ascii="Times New Roman" w:hAnsi="Times New Roman" w:cs="Times New Roman"/>
          <w:sz w:val="24"/>
          <w:szCs w:val="24"/>
        </w:rPr>
        <w:t xml:space="preserve">nua.  </w:t>
      </w:r>
      <w:r w:rsidR="0080627A">
        <w:rPr>
          <w:rFonts w:ascii="Times New Roman" w:hAnsi="Times New Roman" w:cs="Times New Roman"/>
          <w:sz w:val="24"/>
          <w:szCs w:val="24"/>
        </w:rPr>
        <w:t>Além disso, tais</w:t>
      </w:r>
      <w:r w:rsidR="00386DFC" w:rsidRPr="0015615B">
        <w:rPr>
          <w:rFonts w:ascii="Times New Roman" w:hAnsi="Times New Roman" w:cs="Times New Roman"/>
          <w:sz w:val="24"/>
          <w:szCs w:val="24"/>
        </w:rPr>
        <w:t xml:space="preserve"> análises</w:t>
      </w:r>
      <w:r w:rsidR="00E6559A" w:rsidRPr="0015615B">
        <w:rPr>
          <w:rFonts w:ascii="Times New Roman" w:hAnsi="Times New Roman" w:cs="Times New Roman"/>
          <w:sz w:val="24"/>
          <w:szCs w:val="24"/>
        </w:rPr>
        <w:t xml:space="preserve"> sobre o “novo rural”</w:t>
      </w:r>
      <w:r w:rsidR="00124BCC" w:rsidRPr="0015615B">
        <w:rPr>
          <w:rFonts w:ascii="Times New Roman" w:hAnsi="Times New Roman" w:cs="Times New Roman"/>
          <w:sz w:val="24"/>
          <w:szCs w:val="24"/>
        </w:rPr>
        <w:t xml:space="preserve"> reportam a</w:t>
      </w:r>
      <w:r w:rsidR="00E6559A" w:rsidRPr="0015615B">
        <w:rPr>
          <w:rFonts w:ascii="Times New Roman" w:hAnsi="Times New Roman" w:cs="Times New Roman"/>
          <w:sz w:val="24"/>
          <w:szCs w:val="24"/>
        </w:rPr>
        <w:t>o próprio Marx (1818-1883)</w:t>
      </w:r>
      <w:r w:rsidR="0097112C" w:rsidRPr="0015615B">
        <w:rPr>
          <w:rFonts w:ascii="Times New Roman" w:hAnsi="Times New Roman" w:cs="Times New Roman"/>
          <w:sz w:val="24"/>
          <w:szCs w:val="24"/>
        </w:rPr>
        <w:t xml:space="preserve">, </w:t>
      </w:r>
      <w:r w:rsidR="00E6559A" w:rsidRPr="0015615B">
        <w:rPr>
          <w:rFonts w:ascii="Times New Roman" w:hAnsi="Times New Roman" w:cs="Times New Roman"/>
          <w:sz w:val="24"/>
          <w:szCs w:val="24"/>
        </w:rPr>
        <w:t xml:space="preserve">para defender o campesinato como resíduo histórico, </w:t>
      </w:r>
      <w:r w:rsidR="00A1596F" w:rsidRPr="0015615B">
        <w:rPr>
          <w:rFonts w:ascii="Times New Roman" w:hAnsi="Times New Roman" w:cs="Times New Roman"/>
          <w:sz w:val="24"/>
          <w:szCs w:val="24"/>
        </w:rPr>
        <w:t>como</w:t>
      </w:r>
      <w:r w:rsidR="0068460E" w:rsidRPr="0015615B">
        <w:rPr>
          <w:rFonts w:ascii="Times New Roman" w:hAnsi="Times New Roman" w:cs="Times New Roman"/>
          <w:sz w:val="24"/>
          <w:szCs w:val="24"/>
        </w:rPr>
        <w:t xml:space="preserve"> </w:t>
      </w:r>
      <w:r w:rsidR="00E6559A" w:rsidRPr="0015615B">
        <w:rPr>
          <w:rFonts w:ascii="Times New Roman" w:hAnsi="Times New Roman" w:cs="Times New Roman"/>
          <w:sz w:val="24"/>
          <w:szCs w:val="24"/>
        </w:rPr>
        <w:t xml:space="preserve">saco de batatas.  </w:t>
      </w:r>
      <w:r w:rsidR="0068460E" w:rsidRPr="0015615B">
        <w:rPr>
          <w:rFonts w:ascii="Times New Roman" w:hAnsi="Times New Roman" w:cs="Times New Roman"/>
          <w:sz w:val="24"/>
          <w:szCs w:val="24"/>
        </w:rPr>
        <w:t>Todavia, negligenciam outras leituras d</w:t>
      </w:r>
      <w:r w:rsidR="00D9541C" w:rsidRPr="0015615B">
        <w:rPr>
          <w:rFonts w:ascii="Times New Roman" w:hAnsi="Times New Roman" w:cs="Times New Roman"/>
          <w:sz w:val="24"/>
          <w:szCs w:val="24"/>
        </w:rPr>
        <w:t>ess</w:t>
      </w:r>
      <w:r w:rsidR="0068460E" w:rsidRPr="0015615B">
        <w:rPr>
          <w:rFonts w:ascii="Times New Roman" w:hAnsi="Times New Roman" w:cs="Times New Roman"/>
          <w:sz w:val="24"/>
          <w:szCs w:val="24"/>
        </w:rPr>
        <w:t>e autor, como a da carta a Vera Sassulitch de 1881 (2005), em que discorre sobre as possibilidades socialistas da comuna rural, inclusive de regeneração da sociedade russa.</w:t>
      </w:r>
      <w:r w:rsidR="00223283" w:rsidRPr="0015615B">
        <w:rPr>
          <w:rFonts w:ascii="Times New Roman" w:hAnsi="Times New Roman" w:cs="Times New Roman"/>
          <w:sz w:val="24"/>
          <w:szCs w:val="24"/>
        </w:rPr>
        <w:t xml:space="preserve"> </w:t>
      </w:r>
    </w:p>
    <w:p w:rsidR="00124BCC" w:rsidRPr="0015615B" w:rsidRDefault="0097112C" w:rsidP="0015615B">
      <w:pPr>
        <w:spacing w:after="0" w:line="240" w:lineRule="auto"/>
        <w:ind w:firstLine="709"/>
        <w:jc w:val="both"/>
        <w:rPr>
          <w:rFonts w:ascii="Times New Roman" w:hAnsi="Times New Roman" w:cs="Times New Roman"/>
          <w:sz w:val="24"/>
          <w:szCs w:val="24"/>
        </w:rPr>
      </w:pPr>
      <w:r w:rsidRPr="0015615B">
        <w:rPr>
          <w:rFonts w:ascii="Times New Roman" w:hAnsi="Times New Roman" w:cs="Times New Roman"/>
          <w:sz w:val="24"/>
          <w:szCs w:val="24"/>
        </w:rPr>
        <w:t>Costa (2013) é coerente ao mencion</w:t>
      </w:r>
      <w:r w:rsidR="00223283" w:rsidRPr="0015615B">
        <w:rPr>
          <w:rFonts w:ascii="Times New Roman" w:hAnsi="Times New Roman" w:cs="Times New Roman"/>
          <w:sz w:val="24"/>
          <w:szCs w:val="24"/>
        </w:rPr>
        <w:t>a</w:t>
      </w:r>
      <w:r w:rsidRPr="0015615B">
        <w:rPr>
          <w:rFonts w:ascii="Times New Roman" w:hAnsi="Times New Roman" w:cs="Times New Roman"/>
          <w:sz w:val="24"/>
          <w:szCs w:val="24"/>
        </w:rPr>
        <w:t>r</w:t>
      </w:r>
      <w:r w:rsidR="00223283" w:rsidRPr="0015615B">
        <w:rPr>
          <w:rFonts w:ascii="Times New Roman" w:hAnsi="Times New Roman" w:cs="Times New Roman"/>
          <w:sz w:val="24"/>
          <w:szCs w:val="24"/>
        </w:rPr>
        <w:t xml:space="preserve"> que e</w:t>
      </w:r>
      <w:r w:rsidR="00D9541C" w:rsidRPr="0015615B">
        <w:rPr>
          <w:rFonts w:ascii="Times New Roman" w:hAnsi="Times New Roman" w:cs="Times New Roman"/>
          <w:sz w:val="24"/>
          <w:szCs w:val="24"/>
        </w:rPr>
        <w:t>ss</w:t>
      </w:r>
      <w:r w:rsidR="00223283" w:rsidRPr="0015615B">
        <w:rPr>
          <w:rFonts w:ascii="Times New Roman" w:hAnsi="Times New Roman" w:cs="Times New Roman"/>
          <w:sz w:val="24"/>
          <w:szCs w:val="24"/>
        </w:rPr>
        <w:t>a leitura nega a diversidade estrutural do agrário,</w:t>
      </w:r>
      <w:r w:rsidR="00A1596F" w:rsidRPr="0015615B">
        <w:rPr>
          <w:rFonts w:ascii="Times New Roman" w:hAnsi="Times New Roman" w:cs="Times New Roman"/>
          <w:sz w:val="24"/>
          <w:szCs w:val="24"/>
        </w:rPr>
        <w:t xml:space="preserve"> tanto na sua natureza, quanto na sua</w:t>
      </w:r>
      <w:r w:rsidR="00223283" w:rsidRPr="0015615B">
        <w:rPr>
          <w:rFonts w:ascii="Times New Roman" w:hAnsi="Times New Roman" w:cs="Times New Roman"/>
          <w:sz w:val="24"/>
          <w:szCs w:val="24"/>
        </w:rPr>
        <w:t xml:space="preserve"> essência</w:t>
      </w:r>
      <w:r w:rsidR="00A1596F" w:rsidRPr="0015615B">
        <w:rPr>
          <w:rFonts w:ascii="Times New Roman" w:hAnsi="Times New Roman" w:cs="Times New Roman"/>
          <w:sz w:val="24"/>
          <w:szCs w:val="24"/>
        </w:rPr>
        <w:t>.</w:t>
      </w:r>
      <w:r w:rsidR="00223283" w:rsidRPr="0015615B">
        <w:rPr>
          <w:rFonts w:ascii="Times New Roman" w:hAnsi="Times New Roman" w:cs="Times New Roman"/>
          <w:sz w:val="24"/>
          <w:szCs w:val="24"/>
        </w:rPr>
        <w:t xml:space="preserve"> </w:t>
      </w:r>
      <w:r w:rsidRPr="0015615B">
        <w:rPr>
          <w:rFonts w:ascii="Times New Roman" w:hAnsi="Times New Roman" w:cs="Times New Roman"/>
          <w:sz w:val="24"/>
          <w:szCs w:val="24"/>
        </w:rPr>
        <w:t>Portanto</w:t>
      </w:r>
      <w:r w:rsidR="00223283" w:rsidRPr="0015615B">
        <w:rPr>
          <w:rFonts w:ascii="Times New Roman" w:hAnsi="Times New Roman" w:cs="Times New Roman"/>
          <w:sz w:val="24"/>
          <w:szCs w:val="24"/>
        </w:rPr>
        <w:t>, nega</w:t>
      </w:r>
      <w:r w:rsidRPr="0015615B">
        <w:rPr>
          <w:rFonts w:ascii="Times New Roman" w:hAnsi="Times New Roman" w:cs="Times New Roman"/>
          <w:sz w:val="24"/>
          <w:szCs w:val="24"/>
        </w:rPr>
        <w:t xml:space="preserve"> a materialidade</w:t>
      </w:r>
      <w:r w:rsidR="00223283" w:rsidRPr="0015615B">
        <w:rPr>
          <w:rFonts w:ascii="Times New Roman" w:hAnsi="Times New Roman" w:cs="Times New Roman"/>
          <w:sz w:val="24"/>
          <w:szCs w:val="24"/>
        </w:rPr>
        <w:t xml:space="preserve"> composta por c</w:t>
      </w:r>
      <w:r w:rsidRPr="0015615B">
        <w:rPr>
          <w:rFonts w:ascii="Times New Roman" w:hAnsi="Times New Roman" w:cs="Times New Roman"/>
          <w:sz w:val="24"/>
          <w:szCs w:val="24"/>
        </w:rPr>
        <w:t>a</w:t>
      </w:r>
      <w:r w:rsidR="00124BCC" w:rsidRPr="0015615B">
        <w:rPr>
          <w:rFonts w:ascii="Times New Roman" w:hAnsi="Times New Roman" w:cs="Times New Roman"/>
          <w:sz w:val="24"/>
          <w:szCs w:val="24"/>
        </w:rPr>
        <w:t>mpesinatos</w:t>
      </w:r>
      <w:r w:rsidR="00223283" w:rsidRPr="0015615B">
        <w:rPr>
          <w:rFonts w:ascii="Times New Roman" w:hAnsi="Times New Roman" w:cs="Times New Roman"/>
          <w:sz w:val="24"/>
          <w:szCs w:val="24"/>
        </w:rPr>
        <w:t>.</w:t>
      </w:r>
      <w:r w:rsidR="00DB0E0A" w:rsidRPr="0015615B">
        <w:rPr>
          <w:rFonts w:ascii="Times New Roman" w:hAnsi="Times New Roman" w:cs="Times New Roman"/>
          <w:sz w:val="24"/>
          <w:szCs w:val="24"/>
        </w:rPr>
        <w:t xml:space="preserve"> Neste sentido, concorda-se com Mattei (2014), há a intencionalidade de </w:t>
      </w:r>
      <w:r w:rsidR="00A1596F" w:rsidRPr="0015615B">
        <w:rPr>
          <w:rFonts w:ascii="Times New Roman" w:hAnsi="Times New Roman" w:cs="Times New Roman"/>
          <w:sz w:val="24"/>
          <w:szCs w:val="24"/>
        </w:rPr>
        <w:t>refutar</w:t>
      </w:r>
      <w:r w:rsidR="00DB0E0A" w:rsidRPr="0015615B">
        <w:rPr>
          <w:rFonts w:ascii="Times New Roman" w:hAnsi="Times New Roman" w:cs="Times New Roman"/>
          <w:sz w:val="24"/>
          <w:szCs w:val="24"/>
        </w:rPr>
        <w:t xml:space="preserve"> a questão agrária, de afirmar a supremacia da agricultura moderna </w:t>
      </w:r>
      <w:r w:rsidR="00DB0E0A" w:rsidRPr="0015615B">
        <w:rPr>
          <w:rFonts w:ascii="Times New Roman" w:hAnsi="Times New Roman" w:cs="Times New Roman"/>
          <w:sz w:val="24"/>
          <w:szCs w:val="24"/>
        </w:rPr>
        <w:lastRenderedPageBreak/>
        <w:t>e consequentemente a produção ditada por agricultores modernos e eficientes.</w:t>
      </w:r>
      <w:r w:rsidR="00124BCC" w:rsidRPr="0015615B">
        <w:rPr>
          <w:rFonts w:ascii="Times New Roman" w:hAnsi="Times New Roman" w:cs="Times New Roman"/>
          <w:sz w:val="24"/>
          <w:szCs w:val="24"/>
        </w:rPr>
        <w:t xml:space="preserve"> </w:t>
      </w:r>
      <w:r w:rsidR="00DB0E0A" w:rsidRPr="0015615B">
        <w:rPr>
          <w:rFonts w:ascii="Times New Roman" w:hAnsi="Times New Roman" w:cs="Times New Roman"/>
          <w:sz w:val="24"/>
          <w:szCs w:val="24"/>
        </w:rPr>
        <w:t>O campesinato neste cenário é o sujeito do atraso, d</w:t>
      </w:r>
      <w:r w:rsidR="002604D5" w:rsidRPr="0015615B">
        <w:rPr>
          <w:rFonts w:ascii="Times New Roman" w:hAnsi="Times New Roman" w:cs="Times New Roman"/>
          <w:sz w:val="24"/>
          <w:szCs w:val="24"/>
        </w:rPr>
        <w:t>o passado, sequer merece menção</w:t>
      </w:r>
      <w:r w:rsidR="00A1596F" w:rsidRPr="0015615B">
        <w:rPr>
          <w:rFonts w:ascii="Times New Roman" w:hAnsi="Times New Roman" w:cs="Times New Roman"/>
          <w:sz w:val="24"/>
          <w:szCs w:val="24"/>
        </w:rPr>
        <w:t>,</w:t>
      </w:r>
      <w:r w:rsidR="00DB0E0A" w:rsidRPr="0015615B">
        <w:rPr>
          <w:rFonts w:ascii="Times New Roman" w:hAnsi="Times New Roman" w:cs="Times New Roman"/>
          <w:sz w:val="24"/>
          <w:szCs w:val="24"/>
        </w:rPr>
        <w:t xml:space="preserve"> porque retoma argumentos descabidos. No entanto, como declara Mattei (2014)</w:t>
      </w:r>
      <w:r w:rsidR="002604D5" w:rsidRPr="0015615B">
        <w:rPr>
          <w:rFonts w:ascii="Times New Roman" w:hAnsi="Times New Roman" w:cs="Times New Roman"/>
          <w:sz w:val="24"/>
          <w:szCs w:val="24"/>
        </w:rPr>
        <w:t>, com isso</w:t>
      </w:r>
      <w:r w:rsidR="00DB0E0A" w:rsidRPr="0015615B">
        <w:rPr>
          <w:rFonts w:ascii="Times New Roman" w:hAnsi="Times New Roman" w:cs="Times New Roman"/>
          <w:sz w:val="24"/>
          <w:szCs w:val="24"/>
        </w:rPr>
        <w:t xml:space="preserve"> </w:t>
      </w:r>
      <w:r w:rsidR="002604D5" w:rsidRPr="0015615B">
        <w:rPr>
          <w:rFonts w:ascii="Times New Roman" w:hAnsi="Times New Roman" w:cs="Times New Roman"/>
          <w:sz w:val="24"/>
          <w:szCs w:val="24"/>
        </w:rPr>
        <w:t xml:space="preserve">perde-se a capacidade de analisar o agrário pela perspectiva multidimensional e multifacetária. Portanto, a escolha da categoria campesinato se sustenta </w:t>
      </w:r>
      <w:r w:rsidR="00386DFC" w:rsidRPr="0015615B">
        <w:rPr>
          <w:rFonts w:ascii="Times New Roman" w:hAnsi="Times New Roman" w:cs="Times New Roman"/>
          <w:sz w:val="24"/>
          <w:szCs w:val="24"/>
        </w:rPr>
        <w:t>no</w:t>
      </w:r>
      <w:r w:rsidR="002604D5" w:rsidRPr="0015615B">
        <w:rPr>
          <w:rFonts w:ascii="Times New Roman" w:hAnsi="Times New Roman" w:cs="Times New Roman"/>
          <w:sz w:val="24"/>
          <w:szCs w:val="24"/>
        </w:rPr>
        <w:t xml:space="preserve"> entendimento de que o agrário é complexo, composto por territórios diversos. </w:t>
      </w:r>
    </w:p>
    <w:p w:rsidR="0097112C" w:rsidRPr="0015615B" w:rsidRDefault="002604D5" w:rsidP="0015615B">
      <w:pPr>
        <w:spacing w:after="0" w:line="240" w:lineRule="auto"/>
        <w:ind w:firstLine="709"/>
        <w:jc w:val="both"/>
        <w:rPr>
          <w:rFonts w:ascii="Times New Roman" w:hAnsi="Times New Roman" w:cs="Times New Roman"/>
          <w:sz w:val="24"/>
          <w:szCs w:val="24"/>
        </w:rPr>
      </w:pPr>
      <w:r w:rsidRPr="0015615B">
        <w:rPr>
          <w:rFonts w:ascii="Times New Roman" w:hAnsi="Times New Roman" w:cs="Times New Roman"/>
          <w:sz w:val="24"/>
          <w:szCs w:val="24"/>
        </w:rPr>
        <w:t>Além disso, como afirma Costa (2013), há campesinatos diferentes espalhados pelo Brasil, conhecê-los é fundamental para evitar o risco de destruir capacidades e aprofundar mazelas.</w:t>
      </w:r>
      <w:r w:rsidR="00124BCC" w:rsidRPr="0015615B">
        <w:rPr>
          <w:rFonts w:ascii="Times New Roman" w:hAnsi="Times New Roman" w:cs="Times New Roman"/>
          <w:sz w:val="24"/>
          <w:szCs w:val="24"/>
        </w:rPr>
        <w:t xml:space="preserve"> </w:t>
      </w:r>
      <w:r w:rsidR="00386DFC" w:rsidRPr="0015615B">
        <w:rPr>
          <w:rFonts w:ascii="Times New Roman" w:hAnsi="Times New Roman" w:cs="Times New Roman"/>
          <w:sz w:val="24"/>
          <w:szCs w:val="24"/>
        </w:rPr>
        <w:t>E</w:t>
      </w:r>
      <w:r w:rsidR="00D9541C" w:rsidRPr="0015615B">
        <w:rPr>
          <w:rFonts w:ascii="Times New Roman" w:hAnsi="Times New Roman" w:cs="Times New Roman"/>
          <w:sz w:val="24"/>
          <w:szCs w:val="24"/>
        </w:rPr>
        <w:t>ss</w:t>
      </w:r>
      <w:r w:rsidR="00386DFC" w:rsidRPr="0015615B">
        <w:rPr>
          <w:rFonts w:ascii="Times New Roman" w:hAnsi="Times New Roman" w:cs="Times New Roman"/>
          <w:sz w:val="24"/>
          <w:szCs w:val="24"/>
        </w:rPr>
        <w:t xml:space="preserve">a escolha implica no esforço de considerar os elementos </w:t>
      </w:r>
      <w:r w:rsidR="00386DFC" w:rsidRPr="0015615B">
        <w:rPr>
          <w:rFonts w:ascii="Times New Roman" w:hAnsi="Times New Roman" w:cs="Times New Roman"/>
          <w:i/>
          <w:sz w:val="24"/>
          <w:szCs w:val="24"/>
        </w:rPr>
        <w:t xml:space="preserve">a priori </w:t>
      </w:r>
      <w:r w:rsidR="00386DFC" w:rsidRPr="0015615B">
        <w:rPr>
          <w:rFonts w:ascii="Times New Roman" w:hAnsi="Times New Roman" w:cs="Times New Roman"/>
          <w:sz w:val="24"/>
          <w:szCs w:val="24"/>
        </w:rPr>
        <w:t xml:space="preserve">que caracterizam este sujeito social. </w:t>
      </w:r>
      <w:r w:rsidR="00EA562E" w:rsidRPr="0015615B">
        <w:rPr>
          <w:rFonts w:ascii="Times New Roman" w:hAnsi="Times New Roman" w:cs="Times New Roman"/>
          <w:sz w:val="24"/>
          <w:szCs w:val="24"/>
        </w:rPr>
        <w:t>Segundo Wanderley (2014), o campesinato, como forma social de produção, representa um modo de vida e</w:t>
      </w:r>
      <w:r w:rsidR="0080627A">
        <w:rPr>
          <w:rFonts w:ascii="Times New Roman" w:hAnsi="Times New Roman" w:cs="Times New Roman"/>
          <w:sz w:val="24"/>
          <w:szCs w:val="24"/>
        </w:rPr>
        <w:t xml:space="preserve"> uma identidade própria. Woortmann</w:t>
      </w:r>
      <w:r w:rsidR="00EA562E" w:rsidRPr="0015615B">
        <w:rPr>
          <w:rFonts w:ascii="Times New Roman" w:hAnsi="Times New Roman" w:cs="Times New Roman"/>
          <w:sz w:val="24"/>
          <w:szCs w:val="24"/>
        </w:rPr>
        <w:t xml:space="preserve"> (2006) destaca que e</w:t>
      </w:r>
      <w:r w:rsidR="00D9541C" w:rsidRPr="0015615B">
        <w:rPr>
          <w:rFonts w:ascii="Times New Roman" w:hAnsi="Times New Roman" w:cs="Times New Roman"/>
          <w:sz w:val="24"/>
          <w:szCs w:val="24"/>
        </w:rPr>
        <w:t>ss</w:t>
      </w:r>
      <w:r w:rsidR="00EA562E" w:rsidRPr="0015615B">
        <w:rPr>
          <w:rFonts w:ascii="Times New Roman" w:hAnsi="Times New Roman" w:cs="Times New Roman"/>
          <w:sz w:val="24"/>
          <w:szCs w:val="24"/>
        </w:rPr>
        <w:t>e modo de vida se estrutura em três categorias culturais, sendo elas: terra-fa</w:t>
      </w:r>
      <w:r w:rsidR="007F22DA">
        <w:rPr>
          <w:rFonts w:ascii="Times New Roman" w:hAnsi="Times New Roman" w:cs="Times New Roman"/>
          <w:sz w:val="24"/>
          <w:szCs w:val="24"/>
        </w:rPr>
        <w:t>mília-trabalho. Ademais, afirma</w:t>
      </w:r>
      <w:r w:rsidR="00EA562E" w:rsidRPr="0015615B">
        <w:rPr>
          <w:rFonts w:ascii="Times New Roman" w:hAnsi="Times New Roman" w:cs="Times New Roman"/>
          <w:sz w:val="24"/>
          <w:szCs w:val="24"/>
        </w:rPr>
        <w:t xml:space="preserve"> que nesta tríade há relações de reciprocidade, de modo que não se pensa a terra sem reportar a família, sendo que o trabalho nela permite a reprodução familiar.</w:t>
      </w:r>
      <w:r w:rsidR="007F22DA">
        <w:rPr>
          <w:rFonts w:ascii="Times New Roman" w:hAnsi="Times New Roman" w:cs="Times New Roman"/>
          <w:sz w:val="24"/>
          <w:szCs w:val="24"/>
        </w:rPr>
        <w:t xml:space="preserve"> Almeida (2006) acrescenta que essas categorias culturais instituem um </w:t>
      </w:r>
      <w:proofErr w:type="spellStart"/>
      <w:r w:rsidR="007F22DA" w:rsidRPr="007F22DA">
        <w:rPr>
          <w:rFonts w:ascii="Times New Roman" w:hAnsi="Times New Roman" w:cs="Times New Roman"/>
          <w:i/>
          <w:sz w:val="24"/>
          <w:szCs w:val="24"/>
        </w:rPr>
        <w:t>habitus</w:t>
      </w:r>
      <w:proofErr w:type="spellEnd"/>
      <w:r w:rsidR="007F22DA" w:rsidRPr="007F22DA">
        <w:rPr>
          <w:rFonts w:ascii="Times New Roman" w:hAnsi="Times New Roman" w:cs="Times New Roman"/>
          <w:i/>
          <w:sz w:val="24"/>
          <w:szCs w:val="24"/>
        </w:rPr>
        <w:t xml:space="preserve"> </w:t>
      </w:r>
      <w:r w:rsidR="007F22DA">
        <w:rPr>
          <w:rFonts w:ascii="Times New Roman" w:hAnsi="Times New Roman" w:cs="Times New Roman"/>
          <w:sz w:val="24"/>
          <w:szCs w:val="24"/>
        </w:rPr>
        <w:t xml:space="preserve">de classe do </w:t>
      </w:r>
      <w:proofErr w:type="spellStart"/>
      <w:r w:rsidR="007F22DA">
        <w:rPr>
          <w:rFonts w:ascii="Times New Roman" w:hAnsi="Times New Roman" w:cs="Times New Roman"/>
          <w:sz w:val="24"/>
          <w:szCs w:val="24"/>
        </w:rPr>
        <w:t>campesinato</w:t>
      </w:r>
      <w:proofErr w:type="spellEnd"/>
      <w:r w:rsidR="007F22DA">
        <w:rPr>
          <w:rFonts w:ascii="Times New Roman" w:hAnsi="Times New Roman" w:cs="Times New Roman"/>
          <w:sz w:val="24"/>
          <w:szCs w:val="24"/>
        </w:rPr>
        <w:t>, um</w:t>
      </w:r>
      <w:r w:rsidR="007F22DA" w:rsidRPr="007F22DA">
        <w:rPr>
          <w:rFonts w:ascii="Times New Roman" w:hAnsi="Times New Roman" w:cs="Times New Roman"/>
          <w:i/>
          <w:sz w:val="24"/>
          <w:szCs w:val="24"/>
        </w:rPr>
        <w:t xml:space="preserve"> </w:t>
      </w:r>
      <w:proofErr w:type="spellStart"/>
      <w:r w:rsidR="007F22DA" w:rsidRPr="007F22DA">
        <w:rPr>
          <w:rFonts w:ascii="Times New Roman" w:hAnsi="Times New Roman" w:cs="Times New Roman"/>
          <w:i/>
          <w:sz w:val="24"/>
          <w:szCs w:val="24"/>
        </w:rPr>
        <w:t>modus</w:t>
      </w:r>
      <w:proofErr w:type="spellEnd"/>
      <w:r w:rsidR="007F22DA" w:rsidRPr="007F22DA">
        <w:rPr>
          <w:rFonts w:ascii="Times New Roman" w:hAnsi="Times New Roman" w:cs="Times New Roman"/>
          <w:i/>
          <w:sz w:val="24"/>
          <w:szCs w:val="24"/>
        </w:rPr>
        <w:t xml:space="preserve"> </w:t>
      </w:r>
      <w:proofErr w:type="spellStart"/>
      <w:r w:rsidR="007F22DA" w:rsidRPr="007F22DA">
        <w:rPr>
          <w:rFonts w:ascii="Times New Roman" w:hAnsi="Times New Roman" w:cs="Times New Roman"/>
          <w:i/>
          <w:sz w:val="24"/>
          <w:szCs w:val="24"/>
        </w:rPr>
        <w:t>operandi</w:t>
      </w:r>
      <w:proofErr w:type="spellEnd"/>
      <w:r w:rsidR="007F22DA" w:rsidRPr="007F22DA">
        <w:rPr>
          <w:rFonts w:ascii="Times New Roman" w:hAnsi="Times New Roman" w:cs="Times New Roman"/>
          <w:i/>
          <w:sz w:val="24"/>
          <w:szCs w:val="24"/>
        </w:rPr>
        <w:t xml:space="preserve"> </w:t>
      </w:r>
      <w:r w:rsidR="007F22DA">
        <w:rPr>
          <w:rFonts w:ascii="Times New Roman" w:hAnsi="Times New Roman" w:cs="Times New Roman"/>
          <w:sz w:val="24"/>
          <w:szCs w:val="24"/>
        </w:rPr>
        <w:t>sobre o mundo.</w:t>
      </w:r>
    </w:p>
    <w:p w:rsidR="007F22DA" w:rsidRDefault="0097112C" w:rsidP="0015615B">
      <w:pPr>
        <w:spacing w:after="0" w:line="240" w:lineRule="auto"/>
        <w:ind w:firstLine="709"/>
        <w:jc w:val="both"/>
        <w:rPr>
          <w:rFonts w:ascii="Times New Roman" w:hAnsi="Times New Roman" w:cs="Times New Roman"/>
          <w:sz w:val="24"/>
          <w:szCs w:val="24"/>
        </w:rPr>
      </w:pPr>
      <w:r w:rsidRPr="0015615B">
        <w:rPr>
          <w:rFonts w:ascii="Times New Roman" w:hAnsi="Times New Roman" w:cs="Times New Roman"/>
          <w:sz w:val="24"/>
          <w:szCs w:val="24"/>
        </w:rPr>
        <w:t xml:space="preserve"> </w:t>
      </w:r>
      <w:r w:rsidR="00413B16" w:rsidRPr="0015615B">
        <w:rPr>
          <w:rFonts w:ascii="Times New Roman" w:hAnsi="Times New Roman" w:cs="Times New Roman"/>
          <w:sz w:val="24"/>
          <w:szCs w:val="24"/>
        </w:rPr>
        <w:t>E</w:t>
      </w:r>
      <w:r w:rsidRPr="0015615B">
        <w:rPr>
          <w:rFonts w:ascii="Times New Roman" w:hAnsi="Times New Roman" w:cs="Times New Roman"/>
          <w:sz w:val="24"/>
          <w:szCs w:val="24"/>
        </w:rPr>
        <w:t>ntretanto, Vergés (2011) argumenta</w:t>
      </w:r>
      <w:r w:rsidR="00A1596F" w:rsidRPr="0015615B">
        <w:rPr>
          <w:rFonts w:ascii="Times New Roman" w:hAnsi="Times New Roman" w:cs="Times New Roman"/>
          <w:sz w:val="24"/>
          <w:szCs w:val="24"/>
        </w:rPr>
        <w:t xml:space="preserve"> </w:t>
      </w:r>
      <w:r w:rsidR="00413B16" w:rsidRPr="0015615B">
        <w:rPr>
          <w:rFonts w:ascii="Times New Roman" w:hAnsi="Times New Roman" w:cs="Times New Roman"/>
          <w:sz w:val="24"/>
          <w:szCs w:val="24"/>
        </w:rPr>
        <w:t xml:space="preserve">que o campesinato é uma classe explorada pelo capital, sendo produto das </w:t>
      </w:r>
      <w:r w:rsidR="00031345" w:rsidRPr="0015615B">
        <w:rPr>
          <w:rFonts w:ascii="Times New Roman" w:hAnsi="Times New Roman" w:cs="Times New Roman"/>
          <w:sz w:val="24"/>
          <w:szCs w:val="24"/>
        </w:rPr>
        <w:t xml:space="preserve">suas </w:t>
      </w:r>
      <w:r w:rsidR="00413B16" w:rsidRPr="0015615B">
        <w:rPr>
          <w:rFonts w:ascii="Times New Roman" w:hAnsi="Times New Roman" w:cs="Times New Roman"/>
          <w:sz w:val="24"/>
          <w:szCs w:val="24"/>
        </w:rPr>
        <w:t>necessidades de re</w:t>
      </w:r>
      <w:r w:rsidR="00031345" w:rsidRPr="0015615B">
        <w:rPr>
          <w:rFonts w:ascii="Times New Roman" w:hAnsi="Times New Roman" w:cs="Times New Roman"/>
          <w:sz w:val="24"/>
          <w:szCs w:val="24"/>
        </w:rPr>
        <w:t>produção ampliada</w:t>
      </w:r>
      <w:r w:rsidR="00413B16" w:rsidRPr="0015615B">
        <w:rPr>
          <w:rFonts w:ascii="Times New Roman" w:hAnsi="Times New Roman" w:cs="Times New Roman"/>
          <w:sz w:val="24"/>
          <w:szCs w:val="24"/>
        </w:rPr>
        <w:t>. Desse modo é explorado por diversos caminhos, seja na compra dos meios de produção, seja na comercialização da mercadoria camponesa, seja na aquisição dos meios de vida, seja na aquis</w:t>
      </w:r>
      <w:r w:rsidRPr="0015615B">
        <w:rPr>
          <w:rFonts w:ascii="Times New Roman" w:hAnsi="Times New Roman" w:cs="Times New Roman"/>
          <w:sz w:val="24"/>
          <w:szCs w:val="24"/>
        </w:rPr>
        <w:t>ição de empréstimos</w:t>
      </w:r>
      <w:r w:rsidR="00413B16" w:rsidRPr="0015615B">
        <w:rPr>
          <w:rFonts w:ascii="Times New Roman" w:hAnsi="Times New Roman" w:cs="Times New Roman"/>
          <w:sz w:val="24"/>
          <w:szCs w:val="24"/>
        </w:rPr>
        <w:t xml:space="preserve">. Portanto, </w:t>
      </w:r>
      <w:r w:rsidR="00A1596F" w:rsidRPr="0015615B">
        <w:rPr>
          <w:rFonts w:ascii="Times New Roman" w:hAnsi="Times New Roman" w:cs="Times New Roman"/>
          <w:sz w:val="24"/>
          <w:szCs w:val="24"/>
        </w:rPr>
        <w:t xml:space="preserve">este autor </w:t>
      </w:r>
      <w:r w:rsidR="00413B16" w:rsidRPr="0015615B">
        <w:rPr>
          <w:rFonts w:ascii="Times New Roman" w:hAnsi="Times New Roman" w:cs="Times New Roman"/>
          <w:sz w:val="24"/>
          <w:szCs w:val="24"/>
        </w:rPr>
        <w:t xml:space="preserve">dialoga com Luxemburgo (1985), que </w:t>
      </w:r>
      <w:r w:rsidR="00031345" w:rsidRPr="0015615B">
        <w:rPr>
          <w:rFonts w:ascii="Times New Roman" w:hAnsi="Times New Roman" w:cs="Times New Roman"/>
          <w:sz w:val="24"/>
          <w:szCs w:val="24"/>
        </w:rPr>
        <w:t>afirma a necessidade d</w:t>
      </w:r>
      <w:r w:rsidR="00A1596F" w:rsidRPr="0015615B">
        <w:rPr>
          <w:rFonts w:ascii="Times New Roman" w:hAnsi="Times New Roman" w:cs="Times New Roman"/>
          <w:sz w:val="24"/>
          <w:szCs w:val="24"/>
        </w:rPr>
        <w:t>e permanência</w:t>
      </w:r>
      <w:r w:rsidR="00031345" w:rsidRPr="0015615B">
        <w:rPr>
          <w:rFonts w:ascii="Times New Roman" w:hAnsi="Times New Roman" w:cs="Times New Roman"/>
          <w:sz w:val="24"/>
          <w:szCs w:val="24"/>
        </w:rPr>
        <w:t xml:space="preserve"> de formas</w:t>
      </w:r>
      <w:r w:rsidR="00413B16" w:rsidRPr="0015615B">
        <w:rPr>
          <w:rFonts w:ascii="Times New Roman" w:hAnsi="Times New Roman" w:cs="Times New Roman"/>
          <w:sz w:val="24"/>
          <w:szCs w:val="24"/>
        </w:rPr>
        <w:t xml:space="preserve"> não capitalistas de produção</w:t>
      </w:r>
      <w:r w:rsidR="00031345" w:rsidRPr="0015615B">
        <w:rPr>
          <w:rFonts w:ascii="Times New Roman" w:hAnsi="Times New Roman" w:cs="Times New Roman"/>
          <w:sz w:val="24"/>
          <w:szCs w:val="24"/>
        </w:rPr>
        <w:t xml:space="preserve"> como caminho para a reprodução ampliada do capital</w:t>
      </w:r>
      <w:r w:rsidR="00413B16" w:rsidRPr="0015615B">
        <w:rPr>
          <w:rFonts w:ascii="Times New Roman" w:hAnsi="Times New Roman" w:cs="Times New Roman"/>
          <w:sz w:val="24"/>
          <w:szCs w:val="24"/>
        </w:rPr>
        <w:t xml:space="preserve">. </w:t>
      </w:r>
      <w:r w:rsidR="00031345" w:rsidRPr="0015615B">
        <w:rPr>
          <w:rFonts w:ascii="Times New Roman" w:hAnsi="Times New Roman" w:cs="Times New Roman"/>
          <w:sz w:val="24"/>
          <w:szCs w:val="24"/>
        </w:rPr>
        <w:t>Não o</w:t>
      </w:r>
      <w:r w:rsidR="007F22DA">
        <w:rPr>
          <w:rFonts w:ascii="Times New Roman" w:hAnsi="Times New Roman" w:cs="Times New Roman"/>
          <w:sz w:val="24"/>
          <w:szCs w:val="24"/>
        </w:rPr>
        <w:t>bstante, Vergés (2011) adicion</w:t>
      </w:r>
      <w:r w:rsidR="00031345" w:rsidRPr="0015615B">
        <w:rPr>
          <w:rFonts w:ascii="Times New Roman" w:hAnsi="Times New Roman" w:cs="Times New Roman"/>
          <w:sz w:val="24"/>
          <w:szCs w:val="24"/>
        </w:rPr>
        <w:t>a que o campesinato pode se constituir em classe</w:t>
      </w:r>
      <w:r w:rsidR="00031345" w:rsidRPr="0015615B">
        <w:rPr>
          <w:rFonts w:ascii="Times New Roman" w:hAnsi="Times New Roman" w:cs="Times New Roman"/>
          <w:i/>
          <w:sz w:val="24"/>
          <w:szCs w:val="24"/>
        </w:rPr>
        <w:t xml:space="preserve"> para si,</w:t>
      </w:r>
      <w:r w:rsidR="00031345" w:rsidRPr="0015615B">
        <w:rPr>
          <w:rFonts w:ascii="Times New Roman" w:hAnsi="Times New Roman" w:cs="Times New Roman"/>
          <w:sz w:val="24"/>
          <w:szCs w:val="24"/>
        </w:rPr>
        <w:t xml:space="preserve"> principalmente frente às ameaças de proletarização. Como afirma </w:t>
      </w:r>
      <w:proofErr w:type="spellStart"/>
      <w:r w:rsidR="00031345" w:rsidRPr="0015615B">
        <w:rPr>
          <w:rFonts w:ascii="Times New Roman" w:hAnsi="Times New Roman" w:cs="Times New Roman"/>
          <w:sz w:val="24"/>
          <w:szCs w:val="24"/>
        </w:rPr>
        <w:t>Shanin</w:t>
      </w:r>
      <w:proofErr w:type="spellEnd"/>
      <w:r w:rsidR="00031345" w:rsidRPr="0015615B">
        <w:rPr>
          <w:rFonts w:ascii="Times New Roman" w:hAnsi="Times New Roman" w:cs="Times New Roman"/>
          <w:sz w:val="24"/>
          <w:szCs w:val="24"/>
        </w:rPr>
        <w:t xml:space="preserve"> (2005), as contradiçõe</w:t>
      </w:r>
      <w:r w:rsidRPr="0015615B">
        <w:rPr>
          <w:rFonts w:ascii="Times New Roman" w:hAnsi="Times New Roman" w:cs="Times New Roman"/>
          <w:sz w:val="24"/>
          <w:szCs w:val="24"/>
        </w:rPr>
        <w:t>s do capital levam-no</w:t>
      </w:r>
      <w:r w:rsidR="00031345" w:rsidRPr="0015615B">
        <w:rPr>
          <w:rFonts w:ascii="Times New Roman" w:hAnsi="Times New Roman" w:cs="Times New Roman"/>
          <w:sz w:val="24"/>
          <w:szCs w:val="24"/>
        </w:rPr>
        <w:t xml:space="preserve"> a existir a partir da consciência e da ação política direta de seus membros.</w:t>
      </w:r>
      <w:r w:rsidR="007F22DA">
        <w:rPr>
          <w:rFonts w:ascii="Times New Roman" w:hAnsi="Times New Roman" w:cs="Times New Roman"/>
          <w:sz w:val="24"/>
          <w:szCs w:val="24"/>
        </w:rPr>
        <w:t xml:space="preserve"> </w:t>
      </w:r>
      <w:r w:rsidR="00031345" w:rsidRPr="0015615B">
        <w:rPr>
          <w:rFonts w:ascii="Times New Roman" w:hAnsi="Times New Roman" w:cs="Times New Roman"/>
          <w:sz w:val="24"/>
          <w:szCs w:val="24"/>
        </w:rPr>
        <w:t xml:space="preserve">Já Guzmán &amp; Molina (2005) defendem que o campesinato é mais do que uma categoria histórica, se constitui numa forma própria de manejar os recursos naturais, os </w:t>
      </w:r>
      <w:proofErr w:type="spellStart"/>
      <w:r w:rsidR="00031345" w:rsidRPr="0015615B">
        <w:rPr>
          <w:rFonts w:ascii="Times New Roman" w:hAnsi="Times New Roman" w:cs="Times New Roman"/>
          <w:sz w:val="24"/>
          <w:szCs w:val="24"/>
        </w:rPr>
        <w:t>agroecossistemas</w:t>
      </w:r>
      <w:proofErr w:type="spellEnd"/>
      <w:r w:rsidR="00031345" w:rsidRPr="0015615B">
        <w:rPr>
          <w:rFonts w:ascii="Times New Roman" w:hAnsi="Times New Roman" w:cs="Times New Roman"/>
          <w:sz w:val="24"/>
          <w:szCs w:val="24"/>
        </w:rPr>
        <w:t xml:space="preserve"> locais, dotado de um conhecimento próprio sobre o seu entorno, condicionado pelo nível tecnológico. </w:t>
      </w:r>
    </w:p>
    <w:p w:rsidR="004D5AF3" w:rsidRDefault="00A1596F" w:rsidP="007F22DA">
      <w:pPr>
        <w:spacing w:after="0" w:line="240" w:lineRule="auto"/>
        <w:ind w:firstLine="709"/>
        <w:jc w:val="both"/>
        <w:rPr>
          <w:rFonts w:ascii="Times New Roman" w:hAnsi="Times New Roman" w:cs="Times New Roman"/>
          <w:sz w:val="24"/>
          <w:szCs w:val="24"/>
        </w:rPr>
      </w:pPr>
      <w:r w:rsidRPr="0015615B">
        <w:rPr>
          <w:rFonts w:ascii="Times New Roman" w:hAnsi="Times New Roman" w:cs="Times New Roman"/>
          <w:sz w:val="24"/>
          <w:szCs w:val="24"/>
        </w:rPr>
        <w:t xml:space="preserve">Calaça (2010) destaca que no Cerrado a produção camponesa envolve conhecimentos e práticas agrícolas produzidas ao </w:t>
      </w:r>
      <w:r w:rsidR="007F22DA">
        <w:rPr>
          <w:rFonts w:ascii="Times New Roman" w:hAnsi="Times New Roman" w:cs="Times New Roman"/>
          <w:sz w:val="24"/>
          <w:szCs w:val="24"/>
        </w:rPr>
        <w:t>longo do tempo, transmitidas da</w:t>
      </w:r>
      <w:r w:rsidR="0097112C" w:rsidRPr="0015615B">
        <w:rPr>
          <w:rFonts w:ascii="Times New Roman" w:hAnsi="Times New Roman" w:cs="Times New Roman"/>
          <w:sz w:val="24"/>
          <w:szCs w:val="24"/>
        </w:rPr>
        <w:t>s gerações</w:t>
      </w:r>
      <w:r w:rsidR="007F22DA">
        <w:rPr>
          <w:rFonts w:ascii="Times New Roman" w:hAnsi="Times New Roman" w:cs="Times New Roman"/>
          <w:sz w:val="24"/>
          <w:szCs w:val="24"/>
        </w:rPr>
        <w:t xml:space="preserve"> mais velhas para as mais jovens</w:t>
      </w:r>
      <w:r w:rsidRPr="0015615B">
        <w:rPr>
          <w:rFonts w:ascii="Times New Roman" w:hAnsi="Times New Roman" w:cs="Times New Roman"/>
          <w:sz w:val="24"/>
          <w:szCs w:val="24"/>
        </w:rPr>
        <w:t>.</w:t>
      </w:r>
      <w:r w:rsidR="007F22DA">
        <w:rPr>
          <w:rFonts w:ascii="Times New Roman" w:hAnsi="Times New Roman" w:cs="Times New Roman"/>
          <w:sz w:val="24"/>
          <w:szCs w:val="24"/>
        </w:rPr>
        <w:t xml:space="preserve"> </w:t>
      </w:r>
      <w:r w:rsidR="000E4B86" w:rsidRPr="0015615B">
        <w:rPr>
          <w:rFonts w:ascii="Times New Roman" w:hAnsi="Times New Roman" w:cs="Times New Roman"/>
          <w:sz w:val="24"/>
          <w:szCs w:val="24"/>
        </w:rPr>
        <w:t>Nesse ínterim</w:t>
      </w:r>
      <w:r w:rsidRPr="0015615B">
        <w:rPr>
          <w:rFonts w:ascii="Times New Roman" w:hAnsi="Times New Roman" w:cs="Times New Roman"/>
          <w:sz w:val="24"/>
          <w:szCs w:val="24"/>
        </w:rPr>
        <w:t xml:space="preserve">, Brandão (2009) </w:t>
      </w:r>
      <w:r w:rsidR="000E4B86" w:rsidRPr="0015615B">
        <w:rPr>
          <w:rFonts w:ascii="Times New Roman" w:hAnsi="Times New Roman" w:cs="Times New Roman"/>
          <w:sz w:val="24"/>
          <w:szCs w:val="24"/>
        </w:rPr>
        <w:t>denomina esse processo de “</w:t>
      </w:r>
      <w:proofErr w:type="spellStart"/>
      <w:proofErr w:type="gramStart"/>
      <w:r w:rsidR="000E4B86" w:rsidRPr="0015615B">
        <w:rPr>
          <w:rFonts w:ascii="Times New Roman" w:hAnsi="Times New Roman" w:cs="Times New Roman"/>
          <w:sz w:val="24"/>
          <w:szCs w:val="24"/>
        </w:rPr>
        <w:t>contra-racionalidades</w:t>
      </w:r>
      <w:proofErr w:type="spellEnd"/>
      <w:proofErr w:type="gramEnd"/>
      <w:r w:rsidR="000E4B86" w:rsidRPr="0015615B">
        <w:rPr>
          <w:rFonts w:ascii="Times New Roman" w:hAnsi="Times New Roman" w:cs="Times New Roman"/>
          <w:sz w:val="24"/>
          <w:szCs w:val="24"/>
        </w:rPr>
        <w:t>”</w:t>
      </w:r>
      <w:r w:rsidRPr="0015615B">
        <w:rPr>
          <w:rFonts w:ascii="Times New Roman" w:hAnsi="Times New Roman" w:cs="Times New Roman"/>
          <w:sz w:val="24"/>
          <w:szCs w:val="24"/>
        </w:rPr>
        <w:t xml:space="preserve"> camponesas. Segundo ele o camponês</w:t>
      </w:r>
      <w:r w:rsidR="000E4B86" w:rsidRPr="0015615B">
        <w:rPr>
          <w:rFonts w:ascii="Times New Roman" w:hAnsi="Times New Roman" w:cs="Times New Roman"/>
          <w:sz w:val="24"/>
          <w:szCs w:val="24"/>
        </w:rPr>
        <w:t xml:space="preserve"> ainda olha para o sol e ao mesmo tempo observa o relógio, subordina o calendário oficial as festas populares e estações do ano. A</w:t>
      </w:r>
      <w:r w:rsidR="00D9541C" w:rsidRPr="0015615B">
        <w:rPr>
          <w:rFonts w:ascii="Times New Roman" w:hAnsi="Times New Roman" w:cs="Times New Roman"/>
          <w:sz w:val="24"/>
          <w:szCs w:val="24"/>
        </w:rPr>
        <w:t>demais</w:t>
      </w:r>
      <w:r w:rsidR="000E4B86" w:rsidRPr="0015615B">
        <w:rPr>
          <w:rFonts w:ascii="Times New Roman" w:hAnsi="Times New Roman" w:cs="Times New Roman"/>
          <w:sz w:val="24"/>
          <w:szCs w:val="24"/>
        </w:rPr>
        <w:t>, os ritos religiosos e costumes antigos ainda estão presentes, como no preparo do terreno para o plantio. Também conhece o Cerrado, em que diferencia a “madeira” do “pau”, assim como determina uso</w:t>
      </w:r>
      <w:r w:rsidR="0097112C" w:rsidRPr="0015615B">
        <w:rPr>
          <w:rFonts w:ascii="Times New Roman" w:hAnsi="Times New Roman" w:cs="Times New Roman"/>
          <w:sz w:val="24"/>
          <w:szCs w:val="24"/>
        </w:rPr>
        <w:t>s para diversas espécies deste bioma</w:t>
      </w:r>
      <w:r w:rsidR="000E4B86" w:rsidRPr="0015615B">
        <w:rPr>
          <w:rFonts w:ascii="Times New Roman" w:hAnsi="Times New Roman" w:cs="Times New Roman"/>
          <w:sz w:val="24"/>
          <w:szCs w:val="24"/>
        </w:rPr>
        <w:t xml:space="preserve">. </w:t>
      </w:r>
      <w:r w:rsidR="00C00193" w:rsidRPr="0015615B">
        <w:rPr>
          <w:rFonts w:ascii="Times New Roman" w:hAnsi="Times New Roman" w:cs="Times New Roman"/>
          <w:sz w:val="24"/>
          <w:szCs w:val="24"/>
        </w:rPr>
        <w:t>Os camponeses</w:t>
      </w:r>
      <w:r w:rsidRPr="0015615B">
        <w:rPr>
          <w:rFonts w:ascii="Times New Roman" w:hAnsi="Times New Roman" w:cs="Times New Roman"/>
          <w:sz w:val="24"/>
          <w:szCs w:val="24"/>
        </w:rPr>
        <w:t xml:space="preserve"> existe</w:t>
      </w:r>
      <w:r w:rsidR="00C00193" w:rsidRPr="0015615B">
        <w:rPr>
          <w:rFonts w:ascii="Times New Roman" w:hAnsi="Times New Roman" w:cs="Times New Roman"/>
          <w:sz w:val="24"/>
          <w:szCs w:val="24"/>
        </w:rPr>
        <w:t>m</w:t>
      </w:r>
      <w:r w:rsidRPr="0015615B">
        <w:rPr>
          <w:rFonts w:ascii="Times New Roman" w:hAnsi="Times New Roman" w:cs="Times New Roman"/>
          <w:sz w:val="24"/>
          <w:szCs w:val="24"/>
        </w:rPr>
        <w:t xml:space="preserve"> como sujeito</w:t>
      </w:r>
      <w:r w:rsidR="00C00193" w:rsidRPr="0015615B">
        <w:rPr>
          <w:rFonts w:ascii="Times New Roman" w:hAnsi="Times New Roman" w:cs="Times New Roman"/>
          <w:sz w:val="24"/>
          <w:szCs w:val="24"/>
        </w:rPr>
        <w:t>s sociais</w:t>
      </w:r>
      <w:r w:rsidRPr="0015615B">
        <w:rPr>
          <w:rFonts w:ascii="Times New Roman" w:hAnsi="Times New Roman" w:cs="Times New Roman"/>
          <w:sz w:val="24"/>
          <w:szCs w:val="24"/>
        </w:rPr>
        <w:t xml:space="preserve"> po</w:t>
      </w:r>
      <w:r w:rsidR="00BD717E" w:rsidRPr="0015615B">
        <w:rPr>
          <w:rFonts w:ascii="Times New Roman" w:hAnsi="Times New Roman" w:cs="Times New Roman"/>
          <w:sz w:val="24"/>
          <w:szCs w:val="24"/>
        </w:rPr>
        <w:t>r inteiro</w:t>
      </w:r>
      <w:r w:rsidR="00C00193" w:rsidRPr="0015615B">
        <w:rPr>
          <w:rFonts w:ascii="Times New Roman" w:hAnsi="Times New Roman" w:cs="Times New Roman"/>
          <w:sz w:val="24"/>
          <w:szCs w:val="24"/>
        </w:rPr>
        <w:t>. Desse modo, como descreve Wanderlei (2014), os esforços para a sua invisibilidade estão vinculados</w:t>
      </w:r>
      <w:r w:rsidR="004D5AF3" w:rsidRPr="0015615B">
        <w:rPr>
          <w:rFonts w:ascii="Times New Roman" w:hAnsi="Times New Roman" w:cs="Times New Roman"/>
          <w:sz w:val="24"/>
          <w:szCs w:val="24"/>
        </w:rPr>
        <w:t xml:space="preserve"> ao intento</w:t>
      </w:r>
      <w:r w:rsidR="00C00193" w:rsidRPr="0015615B">
        <w:rPr>
          <w:rFonts w:ascii="Times New Roman" w:hAnsi="Times New Roman" w:cs="Times New Roman"/>
          <w:sz w:val="24"/>
          <w:szCs w:val="24"/>
        </w:rPr>
        <w:t xml:space="preserve"> de diluição do seu conteúdo histórico-político, tendo em vista a substituição pela categoria funcional de agricultor familiar</w:t>
      </w:r>
      <w:r w:rsidR="004D5AF3" w:rsidRPr="0015615B">
        <w:rPr>
          <w:rFonts w:ascii="Times New Roman" w:hAnsi="Times New Roman" w:cs="Times New Roman"/>
          <w:sz w:val="24"/>
          <w:szCs w:val="24"/>
        </w:rPr>
        <w:t>, que responde aos imperativos do agronegócio</w:t>
      </w:r>
      <w:r w:rsidR="00C00193" w:rsidRPr="0015615B">
        <w:rPr>
          <w:rFonts w:ascii="Times New Roman" w:hAnsi="Times New Roman" w:cs="Times New Roman"/>
          <w:sz w:val="24"/>
          <w:szCs w:val="24"/>
        </w:rPr>
        <w:t xml:space="preserve">. </w:t>
      </w:r>
      <w:r w:rsidR="004D5AF3" w:rsidRPr="0015615B">
        <w:rPr>
          <w:rFonts w:ascii="Times New Roman" w:hAnsi="Times New Roman" w:cs="Times New Roman"/>
          <w:sz w:val="24"/>
          <w:szCs w:val="24"/>
        </w:rPr>
        <w:t>Portanto</w:t>
      </w:r>
      <w:r w:rsidR="00BD717E" w:rsidRPr="0015615B">
        <w:rPr>
          <w:rFonts w:ascii="Times New Roman" w:hAnsi="Times New Roman" w:cs="Times New Roman"/>
          <w:sz w:val="24"/>
          <w:szCs w:val="24"/>
        </w:rPr>
        <w:t>,</w:t>
      </w:r>
      <w:r w:rsidR="00C00193" w:rsidRPr="0015615B">
        <w:rPr>
          <w:rFonts w:ascii="Times New Roman" w:hAnsi="Times New Roman" w:cs="Times New Roman"/>
          <w:sz w:val="24"/>
          <w:szCs w:val="24"/>
        </w:rPr>
        <w:t xml:space="preserve"> como destaca </w:t>
      </w:r>
      <w:proofErr w:type="spellStart"/>
      <w:r w:rsidR="00C00193" w:rsidRPr="0015615B">
        <w:rPr>
          <w:rFonts w:ascii="Times New Roman" w:hAnsi="Times New Roman" w:cs="Times New Roman"/>
          <w:sz w:val="24"/>
          <w:szCs w:val="24"/>
        </w:rPr>
        <w:t>Shanin</w:t>
      </w:r>
      <w:proofErr w:type="spellEnd"/>
      <w:r w:rsidR="00C00193" w:rsidRPr="0015615B">
        <w:rPr>
          <w:rFonts w:ascii="Times New Roman" w:hAnsi="Times New Roman" w:cs="Times New Roman"/>
          <w:sz w:val="24"/>
          <w:szCs w:val="24"/>
        </w:rPr>
        <w:t xml:space="preserve"> (2005), a cap</w:t>
      </w:r>
      <w:r w:rsidR="004D5AF3" w:rsidRPr="0015615B">
        <w:rPr>
          <w:rFonts w:ascii="Times New Roman" w:hAnsi="Times New Roman" w:cs="Times New Roman"/>
          <w:sz w:val="24"/>
          <w:szCs w:val="24"/>
        </w:rPr>
        <w:t>acidade explicativa da</w:t>
      </w:r>
      <w:r w:rsidR="00C00193" w:rsidRPr="0015615B">
        <w:rPr>
          <w:rFonts w:ascii="Times New Roman" w:hAnsi="Times New Roman" w:cs="Times New Roman"/>
          <w:sz w:val="24"/>
          <w:szCs w:val="24"/>
        </w:rPr>
        <w:t xml:space="preserve"> categoria campesinato ainda não se extinguiu, </w:t>
      </w:r>
      <w:r w:rsidR="004D5AF3" w:rsidRPr="0015615B">
        <w:rPr>
          <w:rFonts w:ascii="Times New Roman" w:hAnsi="Times New Roman" w:cs="Times New Roman"/>
          <w:sz w:val="24"/>
          <w:szCs w:val="24"/>
        </w:rPr>
        <w:t>o que remete a coerê</w:t>
      </w:r>
      <w:r w:rsidR="001669DE" w:rsidRPr="0015615B">
        <w:rPr>
          <w:rFonts w:ascii="Times New Roman" w:hAnsi="Times New Roman" w:cs="Times New Roman"/>
          <w:sz w:val="24"/>
          <w:szCs w:val="24"/>
        </w:rPr>
        <w:t>ncia na sua utilização. No próximo tópico se faz</w:t>
      </w:r>
      <w:r w:rsidR="004D5AF3" w:rsidRPr="0015615B">
        <w:rPr>
          <w:rFonts w:ascii="Times New Roman" w:hAnsi="Times New Roman" w:cs="Times New Roman"/>
          <w:sz w:val="24"/>
          <w:szCs w:val="24"/>
        </w:rPr>
        <w:t xml:space="preserve"> necessário parar</w:t>
      </w:r>
      <w:r w:rsidR="001669DE" w:rsidRPr="0015615B">
        <w:rPr>
          <w:rFonts w:ascii="Times New Roman" w:hAnsi="Times New Roman" w:cs="Times New Roman"/>
          <w:sz w:val="24"/>
          <w:szCs w:val="24"/>
        </w:rPr>
        <w:t xml:space="preserve"> no “cais do porto”, para</w:t>
      </w:r>
      <w:r w:rsidR="004D5AF3" w:rsidRPr="0015615B">
        <w:rPr>
          <w:rFonts w:ascii="Times New Roman" w:hAnsi="Times New Roman" w:cs="Times New Roman"/>
          <w:sz w:val="24"/>
          <w:szCs w:val="24"/>
        </w:rPr>
        <w:t xml:space="preserve"> “dois dedos de pr</w:t>
      </w:r>
      <w:r w:rsidR="001669DE" w:rsidRPr="0015615B">
        <w:rPr>
          <w:rFonts w:ascii="Times New Roman" w:hAnsi="Times New Roman" w:cs="Times New Roman"/>
          <w:sz w:val="24"/>
          <w:szCs w:val="24"/>
        </w:rPr>
        <w:t>osa” sobre agronegócio.</w:t>
      </w:r>
    </w:p>
    <w:p w:rsidR="004E3BC6" w:rsidRDefault="004E3BC6" w:rsidP="004E3BC6">
      <w:pPr>
        <w:pStyle w:val="Padro"/>
        <w:spacing w:after="0" w:line="240" w:lineRule="auto"/>
        <w:ind w:firstLine="709"/>
        <w:jc w:val="both"/>
        <w:rPr>
          <w:rFonts w:ascii="Times New Roman" w:hAnsi="Times New Roman" w:cs="Times New Roman"/>
          <w:sz w:val="24"/>
          <w:szCs w:val="24"/>
        </w:rPr>
      </w:pPr>
    </w:p>
    <w:p w:rsidR="004E3BC6" w:rsidRPr="0015615B" w:rsidRDefault="004E3BC6" w:rsidP="004E3BC6">
      <w:pPr>
        <w:pStyle w:val="Padro"/>
        <w:spacing w:after="0" w:line="240" w:lineRule="auto"/>
        <w:ind w:firstLine="709"/>
        <w:jc w:val="both"/>
        <w:rPr>
          <w:rFonts w:ascii="Times New Roman" w:hAnsi="Times New Roman" w:cs="Times New Roman"/>
          <w:sz w:val="24"/>
          <w:szCs w:val="24"/>
        </w:rPr>
      </w:pPr>
    </w:p>
    <w:p w:rsidR="00321E3E" w:rsidRDefault="0013595A" w:rsidP="004E3BC6">
      <w:pPr>
        <w:spacing w:after="0" w:line="240" w:lineRule="auto"/>
        <w:jc w:val="both"/>
        <w:rPr>
          <w:rFonts w:ascii="Times New Roman" w:hAnsi="Times New Roman" w:cs="Times New Roman"/>
          <w:b/>
          <w:sz w:val="24"/>
          <w:szCs w:val="24"/>
        </w:rPr>
      </w:pPr>
      <w:r w:rsidRPr="0015615B">
        <w:rPr>
          <w:rFonts w:ascii="Times New Roman" w:hAnsi="Times New Roman" w:cs="Times New Roman"/>
          <w:b/>
          <w:sz w:val="24"/>
          <w:szCs w:val="24"/>
        </w:rPr>
        <w:t>A ação hegemônica do capital no campo: o agronegócio</w:t>
      </w:r>
    </w:p>
    <w:p w:rsidR="004E3BC6" w:rsidRPr="0015615B" w:rsidRDefault="004E3BC6" w:rsidP="004E3BC6">
      <w:pPr>
        <w:spacing w:after="0" w:line="240" w:lineRule="auto"/>
        <w:jc w:val="both"/>
        <w:rPr>
          <w:rFonts w:ascii="Times New Roman" w:hAnsi="Times New Roman" w:cs="Times New Roman"/>
          <w:b/>
          <w:sz w:val="24"/>
          <w:szCs w:val="24"/>
        </w:rPr>
      </w:pPr>
    </w:p>
    <w:p w:rsidR="00BD717E" w:rsidRPr="0015615B" w:rsidRDefault="001669DE" w:rsidP="0015615B">
      <w:pPr>
        <w:spacing w:after="0" w:line="240" w:lineRule="auto"/>
        <w:ind w:firstLine="709"/>
        <w:jc w:val="both"/>
        <w:rPr>
          <w:rFonts w:ascii="Times New Roman" w:hAnsi="Times New Roman" w:cs="Times New Roman"/>
          <w:sz w:val="24"/>
          <w:szCs w:val="24"/>
        </w:rPr>
      </w:pPr>
      <w:r w:rsidRPr="0015615B">
        <w:rPr>
          <w:rFonts w:ascii="Times New Roman" w:hAnsi="Times New Roman" w:cs="Times New Roman"/>
          <w:sz w:val="24"/>
          <w:szCs w:val="24"/>
        </w:rPr>
        <w:t>O</w:t>
      </w:r>
      <w:r w:rsidR="00A419A4" w:rsidRPr="0015615B">
        <w:rPr>
          <w:rFonts w:ascii="Times New Roman" w:hAnsi="Times New Roman" w:cs="Times New Roman"/>
          <w:sz w:val="24"/>
          <w:szCs w:val="24"/>
        </w:rPr>
        <w:t>s neologismos</w:t>
      </w:r>
      <w:r w:rsidR="00BD717E" w:rsidRPr="0015615B">
        <w:rPr>
          <w:rFonts w:ascii="Times New Roman" w:hAnsi="Times New Roman" w:cs="Times New Roman"/>
          <w:sz w:val="24"/>
          <w:szCs w:val="24"/>
        </w:rPr>
        <w:t xml:space="preserve"> são perigosos, podem servir os intentos</w:t>
      </w:r>
      <w:r w:rsidRPr="0015615B">
        <w:rPr>
          <w:rFonts w:ascii="Times New Roman" w:hAnsi="Times New Roman" w:cs="Times New Roman"/>
          <w:sz w:val="24"/>
          <w:szCs w:val="24"/>
        </w:rPr>
        <w:t xml:space="preserve"> de </w:t>
      </w:r>
      <w:r w:rsidR="0010702D" w:rsidRPr="0015615B">
        <w:rPr>
          <w:rFonts w:ascii="Times New Roman" w:hAnsi="Times New Roman" w:cs="Times New Roman"/>
          <w:sz w:val="24"/>
          <w:szCs w:val="24"/>
        </w:rPr>
        <w:t>determinados gru</w:t>
      </w:r>
      <w:r w:rsidR="00844A5F" w:rsidRPr="0015615B">
        <w:rPr>
          <w:rFonts w:ascii="Times New Roman" w:hAnsi="Times New Roman" w:cs="Times New Roman"/>
          <w:sz w:val="24"/>
          <w:szCs w:val="24"/>
        </w:rPr>
        <w:t>pos e organizações sociais. Como destaca Bezerra (200</w:t>
      </w:r>
      <w:r w:rsidR="00D9541C" w:rsidRPr="0015615B">
        <w:rPr>
          <w:rFonts w:ascii="Times New Roman" w:hAnsi="Times New Roman" w:cs="Times New Roman"/>
          <w:sz w:val="24"/>
          <w:szCs w:val="24"/>
        </w:rPr>
        <w:t>9),</w:t>
      </w:r>
      <w:r w:rsidRPr="0015615B">
        <w:rPr>
          <w:rFonts w:ascii="Times New Roman" w:hAnsi="Times New Roman" w:cs="Times New Roman"/>
          <w:sz w:val="24"/>
          <w:szCs w:val="24"/>
        </w:rPr>
        <w:t xml:space="preserve"> no</w:t>
      </w:r>
      <w:r w:rsidR="004D71D0" w:rsidRPr="0015615B">
        <w:rPr>
          <w:rFonts w:ascii="Times New Roman" w:hAnsi="Times New Roman" w:cs="Times New Roman"/>
          <w:sz w:val="24"/>
          <w:szCs w:val="24"/>
        </w:rPr>
        <w:t xml:space="preserve"> agronegócio</w:t>
      </w:r>
      <w:r w:rsidR="00844A5F" w:rsidRPr="0015615B">
        <w:rPr>
          <w:rFonts w:ascii="Times New Roman" w:hAnsi="Times New Roman" w:cs="Times New Roman"/>
          <w:sz w:val="24"/>
          <w:szCs w:val="24"/>
        </w:rPr>
        <w:t xml:space="preserve"> há um aparato </w:t>
      </w:r>
      <w:r w:rsidR="00844A5F" w:rsidRPr="0015615B">
        <w:rPr>
          <w:rFonts w:ascii="Times New Roman" w:hAnsi="Times New Roman" w:cs="Times New Roman"/>
          <w:sz w:val="24"/>
          <w:szCs w:val="24"/>
        </w:rPr>
        <w:lastRenderedPageBreak/>
        <w:t>discursivo/estratégico nascido da consciência prática da sociedade de classe</w:t>
      </w:r>
      <w:r w:rsidR="004F265C" w:rsidRPr="0015615B">
        <w:rPr>
          <w:rFonts w:ascii="Times New Roman" w:hAnsi="Times New Roman" w:cs="Times New Roman"/>
          <w:sz w:val="24"/>
          <w:szCs w:val="24"/>
        </w:rPr>
        <w:t>s</w:t>
      </w:r>
      <w:r w:rsidR="00844A5F" w:rsidRPr="0015615B">
        <w:rPr>
          <w:rFonts w:ascii="Times New Roman" w:hAnsi="Times New Roman" w:cs="Times New Roman"/>
          <w:sz w:val="24"/>
          <w:szCs w:val="24"/>
        </w:rPr>
        <w:t xml:space="preserve">. </w:t>
      </w:r>
      <w:r w:rsidR="004F265C" w:rsidRPr="0015615B">
        <w:rPr>
          <w:rFonts w:ascii="Times New Roman" w:hAnsi="Times New Roman" w:cs="Times New Roman"/>
          <w:sz w:val="24"/>
          <w:szCs w:val="24"/>
        </w:rPr>
        <w:t>D</w:t>
      </w:r>
      <w:r w:rsidR="00321E3E" w:rsidRPr="0015615B">
        <w:rPr>
          <w:rFonts w:ascii="Times New Roman" w:hAnsi="Times New Roman" w:cs="Times New Roman"/>
          <w:sz w:val="24"/>
          <w:szCs w:val="24"/>
        </w:rPr>
        <w:t>esse modo, a criação d</w:t>
      </w:r>
      <w:r w:rsidR="00D9541C" w:rsidRPr="0015615B">
        <w:rPr>
          <w:rFonts w:ascii="Times New Roman" w:hAnsi="Times New Roman" w:cs="Times New Roman"/>
          <w:sz w:val="24"/>
          <w:szCs w:val="24"/>
        </w:rPr>
        <w:t>o termo agronegócio</w:t>
      </w:r>
      <w:r w:rsidRPr="0015615B">
        <w:rPr>
          <w:rFonts w:ascii="Times New Roman" w:hAnsi="Times New Roman" w:cs="Times New Roman"/>
          <w:sz w:val="24"/>
          <w:szCs w:val="24"/>
        </w:rPr>
        <w:t xml:space="preserve"> vinculado à ideia de moderno, dinâmico,</w:t>
      </w:r>
      <w:r w:rsidR="004F265C" w:rsidRPr="0015615B">
        <w:rPr>
          <w:rFonts w:ascii="Times New Roman" w:hAnsi="Times New Roman" w:cs="Times New Roman"/>
          <w:sz w:val="24"/>
          <w:szCs w:val="24"/>
        </w:rPr>
        <w:t xml:space="preserve"> fundamental a econom</w:t>
      </w:r>
      <w:r w:rsidR="00DE295C" w:rsidRPr="0015615B">
        <w:rPr>
          <w:rFonts w:ascii="Times New Roman" w:hAnsi="Times New Roman" w:cs="Times New Roman"/>
          <w:sz w:val="24"/>
          <w:szCs w:val="24"/>
        </w:rPr>
        <w:t>ia nacional serve aos</w:t>
      </w:r>
      <w:r w:rsidR="004F265C" w:rsidRPr="0015615B">
        <w:rPr>
          <w:rFonts w:ascii="Times New Roman" w:hAnsi="Times New Roman" w:cs="Times New Roman"/>
          <w:sz w:val="24"/>
          <w:szCs w:val="24"/>
        </w:rPr>
        <w:t xml:space="preserve"> grupos sociais hegemônicos no agrário. </w:t>
      </w:r>
      <w:r w:rsidR="00CB2D45" w:rsidRPr="0015615B">
        <w:rPr>
          <w:rFonts w:ascii="Times New Roman" w:hAnsi="Times New Roman" w:cs="Times New Roman"/>
          <w:sz w:val="24"/>
          <w:szCs w:val="24"/>
        </w:rPr>
        <w:t>Bezerra (200</w:t>
      </w:r>
      <w:r w:rsidR="00321E3E" w:rsidRPr="0015615B">
        <w:rPr>
          <w:rFonts w:ascii="Times New Roman" w:hAnsi="Times New Roman" w:cs="Times New Roman"/>
          <w:sz w:val="24"/>
          <w:szCs w:val="24"/>
        </w:rPr>
        <w:t>9) reintera que há um</w:t>
      </w:r>
      <w:r w:rsidR="00CB2D45" w:rsidRPr="0015615B">
        <w:rPr>
          <w:rFonts w:ascii="Times New Roman" w:hAnsi="Times New Roman" w:cs="Times New Roman"/>
          <w:sz w:val="24"/>
          <w:szCs w:val="24"/>
        </w:rPr>
        <w:t xml:space="preserve"> mar</w:t>
      </w:r>
      <w:r w:rsidR="00321E3E" w:rsidRPr="0015615B">
        <w:rPr>
          <w:rFonts w:ascii="Times New Roman" w:hAnsi="Times New Roman" w:cs="Times New Roman"/>
          <w:sz w:val="24"/>
          <w:szCs w:val="24"/>
        </w:rPr>
        <w:t>keting do agronegócio, que procura</w:t>
      </w:r>
      <w:r w:rsidR="00CB2D45" w:rsidRPr="0015615B">
        <w:rPr>
          <w:rFonts w:ascii="Times New Roman" w:hAnsi="Times New Roman" w:cs="Times New Roman"/>
          <w:sz w:val="24"/>
          <w:szCs w:val="24"/>
        </w:rPr>
        <w:t xml:space="preserve"> associá-lo a dime</w:t>
      </w:r>
      <w:r w:rsidRPr="0015615B">
        <w:rPr>
          <w:rFonts w:ascii="Times New Roman" w:hAnsi="Times New Roman" w:cs="Times New Roman"/>
          <w:sz w:val="24"/>
          <w:szCs w:val="24"/>
        </w:rPr>
        <w:t>nsão do cotidiano,</w:t>
      </w:r>
      <w:r w:rsidR="00CB2D45" w:rsidRPr="0015615B">
        <w:rPr>
          <w:rFonts w:ascii="Times New Roman" w:hAnsi="Times New Roman" w:cs="Times New Roman"/>
          <w:sz w:val="24"/>
          <w:szCs w:val="24"/>
        </w:rPr>
        <w:t xml:space="preserve"> imprescindível </w:t>
      </w:r>
      <w:r w:rsidR="00C04E39" w:rsidRPr="0015615B">
        <w:rPr>
          <w:rFonts w:ascii="Times New Roman" w:hAnsi="Times New Roman" w:cs="Times New Roman"/>
          <w:sz w:val="24"/>
          <w:szCs w:val="24"/>
        </w:rPr>
        <w:t>à</w:t>
      </w:r>
      <w:r w:rsidR="00CB2D45" w:rsidRPr="0015615B">
        <w:rPr>
          <w:rFonts w:ascii="Times New Roman" w:hAnsi="Times New Roman" w:cs="Times New Roman"/>
          <w:sz w:val="24"/>
          <w:szCs w:val="24"/>
        </w:rPr>
        <w:t xml:space="preserve"> vida de todo dia. Portanto, concorda-se com Santos (1996), a produção</w:t>
      </w:r>
      <w:r w:rsidR="00C04E39" w:rsidRPr="0015615B">
        <w:rPr>
          <w:rFonts w:ascii="Times New Roman" w:hAnsi="Times New Roman" w:cs="Times New Roman"/>
          <w:sz w:val="24"/>
          <w:szCs w:val="24"/>
        </w:rPr>
        <w:t xml:space="preserve"> do espaço é mediada por uma </w:t>
      </w:r>
      <w:proofErr w:type="spellStart"/>
      <w:r w:rsidR="00C04E39" w:rsidRPr="0015615B">
        <w:rPr>
          <w:rFonts w:ascii="Times New Roman" w:hAnsi="Times New Roman" w:cs="Times New Roman"/>
          <w:sz w:val="24"/>
          <w:szCs w:val="24"/>
        </w:rPr>
        <w:t>ps</w:t>
      </w:r>
      <w:r w:rsidR="00CB2D45" w:rsidRPr="0015615B">
        <w:rPr>
          <w:rFonts w:ascii="Times New Roman" w:hAnsi="Times New Roman" w:cs="Times New Roman"/>
          <w:sz w:val="24"/>
          <w:szCs w:val="24"/>
        </w:rPr>
        <w:t>icosfera</w:t>
      </w:r>
      <w:proofErr w:type="spellEnd"/>
      <w:r w:rsidR="00C04E39" w:rsidRPr="0015615B">
        <w:rPr>
          <w:rFonts w:ascii="Times New Roman" w:hAnsi="Times New Roman" w:cs="Times New Roman"/>
          <w:sz w:val="24"/>
          <w:szCs w:val="24"/>
        </w:rPr>
        <w:t>.</w:t>
      </w:r>
      <w:r w:rsidR="00BD717E" w:rsidRPr="0015615B">
        <w:rPr>
          <w:rFonts w:ascii="Times New Roman" w:hAnsi="Times New Roman" w:cs="Times New Roman"/>
          <w:sz w:val="24"/>
          <w:szCs w:val="24"/>
        </w:rPr>
        <w:t xml:space="preserve"> </w:t>
      </w:r>
      <w:r w:rsidRPr="0015615B">
        <w:rPr>
          <w:rFonts w:ascii="Times New Roman" w:hAnsi="Times New Roman" w:cs="Times New Roman"/>
          <w:sz w:val="24"/>
          <w:szCs w:val="24"/>
        </w:rPr>
        <w:t>C</w:t>
      </w:r>
      <w:r w:rsidR="00321E3E" w:rsidRPr="0015615B">
        <w:rPr>
          <w:rFonts w:ascii="Times New Roman" w:hAnsi="Times New Roman" w:cs="Times New Roman"/>
          <w:sz w:val="24"/>
          <w:szCs w:val="24"/>
        </w:rPr>
        <w:t>omo relata Bezerra (2009)</w:t>
      </w:r>
      <w:r w:rsidR="004F265C" w:rsidRPr="0015615B">
        <w:rPr>
          <w:rFonts w:ascii="Times New Roman" w:hAnsi="Times New Roman" w:cs="Times New Roman"/>
          <w:sz w:val="24"/>
          <w:szCs w:val="24"/>
        </w:rPr>
        <w:t xml:space="preserve"> o agrone</w:t>
      </w:r>
      <w:r w:rsidR="00321E3E" w:rsidRPr="0015615B">
        <w:rPr>
          <w:rFonts w:ascii="Times New Roman" w:hAnsi="Times New Roman" w:cs="Times New Roman"/>
          <w:sz w:val="24"/>
          <w:szCs w:val="24"/>
        </w:rPr>
        <w:t xml:space="preserve">gócio é um </w:t>
      </w:r>
      <w:proofErr w:type="spellStart"/>
      <w:r w:rsidR="00321E3E" w:rsidRPr="0015615B">
        <w:rPr>
          <w:rFonts w:ascii="Times New Roman" w:hAnsi="Times New Roman" w:cs="Times New Roman"/>
          <w:sz w:val="24"/>
          <w:szCs w:val="24"/>
        </w:rPr>
        <w:t>metametaconceito</w:t>
      </w:r>
      <w:proofErr w:type="spellEnd"/>
      <w:r w:rsidR="00321E3E" w:rsidRPr="0015615B">
        <w:rPr>
          <w:rFonts w:ascii="Times New Roman" w:hAnsi="Times New Roman" w:cs="Times New Roman"/>
          <w:sz w:val="24"/>
          <w:szCs w:val="24"/>
        </w:rPr>
        <w:t xml:space="preserve">, </w:t>
      </w:r>
      <w:r w:rsidR="004F265C" w:rsidRPr="0015615B">
        <w:rPr>
          <w:rFonts w:ascii="Times New Roman" w:hAnsi="Times New Roman" w:cs="Times New Roman"/>
          <w:sz w:val="24"/>
          <w:szCs w:val="24"/>
        </w:rPr>
        <w:t xml:space="preserve">que </w:t>
      </w:r>
      <w:r w:rsidR="004D71D0" w:rsidRPr="0015615B">
        <w:rPr>
          <w:rFonts w:ascii="Times New Roman" w:hAnsi="Times New Roman" w:cs="Times New Roman"/>
          <w:sz w:val="24"/>
          <w:szCs w:val="24"/>
        </w:rPr>
        <w:t>envolve aspectos centrais de</w:t>
      </w:r>
      <w:r w:rsidR="00C04E39" w:rsidRPr="0015615B">
        <w:rPr>
          <w:rFonts w:ascii="Times New Roman" w:hAnsi="Times New Roman" w:cs="Times New Roman"/>
          <w:sz w:val="24"/>
          <w:szCs w:val="24"/>
        </w:rPr>
        <w:t xml:space="preserve"> elaboração</w:t>
      </w:r>
      <w:r w:rsidRPr="0015615B">
        <w:rPr>
          <w:rFonts w:ascii="Times New Roman" w:hAnsi="Times New Roman" w:cs="Times New Roman"/>
          <w:sz w:val="24"/>
          <w:szCs w:val="24"/>
        </w:rPr>
        <w:t xml:space="preserve"> e</w:t>
      </w:r>
      <w:r w:rsidR="004D71D0" w:rsidRPr="0015615B">
        <w:rPr>
          <w:rFonts w:ascii="Times New Roman" w:hAnsi="Times New Roman" w:cs="Times New Roman"/>
          <w:sz w:val="24"/>
          <w:szCs w:val="24"/>
        </w:rPr>
        <w:t xml:space="preserve"> agrega</w:t>
      </w:r>
      <w:r w:rsidR="00A419A4" w:rsidRPr="0015615B">
        <w:rPr>
          <w:rFonts w:ascii="Times New Roman" w:hAnsi="Times New Roman" w:cs="Times New Roman"/>
          <w:sz w:val="24"/>
          <w:szCs w:val="24"/>
        </w:rPr>
        <w:t xml:space="preserve"> elementos </w:t>
      </w:r>
      <w:r w:rsidR="004F265C" w:rsidRPr="0015615B">
        <w:rPr>
          <w:rFonts w:ascii="Times New Roman" w:hAnsi="Times New Roman" w:cs="Times New Roman"/>
          <w:sz w:val="24"/>
          <w:szCs w:val="24"/>
        </w:rPr>
        <w:t>políticos, culturais e ideológicos.</w:t>
      </w:r>
    </w:p>
    <w:p w:rsidR="00BD717E" w:rsidRPr="0015615B" w:rsidRDefault="004F265C" w:rsidP="0015615B">
      <w:pPr>
        <w:spacing w:after="0" w:line="240" w:lineRule="auto"/>
        <w:ind w:firstLine="709"/>
        <w:jc w:val="both"/>
        <w:rPr>
          <w:rFonts w:ascii="Times New Roman" w:hAnsi="Times New Roman" w:cs="Times New Roman"/>
          <w:sz w:val="24"/>
          <w:szCs w:val="24"/>
        </w:rPr>
      </w:pPr>
      <w:r w:rsidRPr="0015615B">
        <w:rPr>
          <w:rFonts w:ascii="Times New Roman" w:hAnsi="Times New Roman" w:cs="Times New Roman"/>
          <w:sz w:val="24"/>
          <w:szCs w:val="24"/>
        </w:rPr>
        <w:t xml:space="preserve"> Todav</w:t>
      </w:r>
      <w:r w:rsidR="001669DE" w:rsidRPr="0015615B">
        <w:rPr>
          <w:rFonts w:ascii="Times New Roman" w:hAnsi="Times New Roman" w:cs="Times New Roman"/>
          <w:sz w:val="24"/>
          <w:szCs w:val="24"/>
        </w:rPr>
        <w:t>ia,</w:t>
      </w:r>
      <w:r w:rsidR="00BD717E" w:rsidRPr="0015615B">
        <w:rPr>
          <w:rFonts w:ascii="Times New Roman" w:hAnsi="Times New Roman" w:cs="Times New Roman"/>
          <w:sz w:val="24"/>
          <w:szCs w:val="24"/>
        </w:rPr>
        <w:t xml:space="preserve"> como a</w:t>
      </w:r>
      <w:r w:rsidR="00CB2D45" w:rsidRPr="0015615B">
        <w:rPr>
          <w:rFonts w:ascii="Times New Roman" w:hAnsi="Times New Roman" w:cs="Times New Roman"/>
          <w:sz w:val="24"/>
          <w:szCs w:val="24"/>
        </w:rPr>
        <w:t xml:space="preserve"> leitura dos processos sociai</w:t>
      </w:r>
      <w:r w:rsidR="00BD717E" w:rsidRPr="0015615B">
        <w:rPr>
          <w:rFonts w:ascii="Times New Roman" w:hAnsi="Times New Roman" w:cs="Times New Roman"/>
          <w:sz w:val="24"/>
          <w:szCs w:val="24"/>
        </w:rPr>
        <w:t>s envolve ideologia</w:t>
      </w:r>
      <w:r w:rsidR="001669DE" w:rsidRPr="0015615B">
        <w:rPr>
          <w:rFonts w:ascii="Times New Roman" w:hAnsi="Times New Roman" w:cs="Times New Roman"/>
          <w:sz w:val="24"/>
          <w:szCs w:val="24"/>
        </w:rPr>
        <w:t xml:space="preserve"> é</w:t>
      </w:r>
      <w:r w:rsidR="00CB2D45" w:rsidRPr="0015615B">
        <w:rPr>
          <w:rFonts w:ascii="Times New Roman" w:hAnsi="Times New Roman" w:cs="Times New Roman"/>
          <w:sz w:val="24"/>
          <w:szCs w:val="24"/>
        </w:rPr>
        <w:t xml:space="preserve"> necessário precisar o entendimento </w:t>
      </w:r>
      <w:r w:rsidR="001669DE" w:rsidRPr="0015615B">
        <w:rPr>
          <w:rFonts w:ascii="Times New Roman" w:hAnsi="Times New Roman" w:cs="Times New Roman"/>
          <w:sz w:val="24"/>
          <w:szCs w:val="24"/>
        </w:rPr>
        <w:t>dos conceitos</w:t>
      </w:r>
      <w:r w:rsidR="00CB2D45" w:rsidRPr="0015615B">
        <w:rPr>
          <w:rFonts w:ascii="Times New Roman" w:hAnsi="Times New Roman" w:cs="Times New Roman"/>
          <w:sz w:val="24"/>
          <w:szCs w:val="24"/>
        </w:rPr>
        <w:t xml:space="preserve">, para evitar o risco do uso descuidado. </w:t>
      </w:r>
      <w:r w:rsidR="001669DE" w:rsidRPr="0015615B">
        <w:rPr>
          <w:rFonts w:ascii="Times New Roman" w:hAnsi="Times New Roman" w:cs="Times New Roman"/>
          <w:sz w:val="24"/>
          <w:szCs w:val="24"/>
        </w:rPr>
        <w:t>S</w:t>
      </w:r>
      <w:r w:rsidR="00C04E39" w:rsidRPr="0015615B">
        <w:rPr>
          <w:rFonts w:ascii="Times New Roman" w:hAnsi="Times New Roman" w:cs="Times New Roman"/>
          <w:sz w:val="24"/>
          <w:szCs w:val="24"/>
        </w:rPr>
        <w:t>abe-se que o agronegócio tem sido objeto de diversas compreensões. Martins (2012), por exemplo, o define como uma aliança de classes no campo</w:t>
      </w:r>
      <w:r w:rsidR="00321E3E" w:rsidRPr="0015615B">
        <w:rPr>
          <w:rFonts w:ascii="Times New Roman" w:hAnsi="Times New Roman" w:cs="Times New Roman"/>
          <w:sz w:val="24"/>
          <w:szCs w:val="24"/>
        </w:rPr>
        <w:t>,</w:t>
      </w:r>
      <w:r w:rsidR="00C04E39" w:rsidRPr="0015615B">
        <w:rPr>
          <w:rFonts w:ascii="Times New Roman" w:hAnsi="Times New Roman" w:cs="Times New Roman"/>
          <w:sz w:val="24"/>
          <w:szCs w:val="24"/>
        </w:rPr>
        <w:t xml:space="preserve"> composta pelos empresários rurais, pelos latifundiários, pelas corporações multinacionais, com o amparo do Estado.</w:t>
      </w:r>
      <w:r w:rsidR="00BD717E" w:rsidRPr="0015615B">
        <w:rPr>
          <w:rFonts w:ascii="Times New Roman" w:hAnsi="Times New Roman" w:cs="Times New Roman"/>
          <w:sz w:val="24"/>
          <w:szCs w:val="24"/>
        </w:rPr>
        <w:t xml:space="preserve"> </w:t>
      </w:r>
      <w:r w:rsidR="00C04E39" w:rsidRPr="0015615B">
        <w:rPr>
          <w:rFonts w:ascii="Times New Roman" w:hAnsi="Times New Roman" w:cs="Times New Roman"/>
          <w:sz w:val="24"/>
          <w:szCs w:val="24"/>
        </w:rPr>
        <w:t xml:space="preserve">Fernandes &amp; </w:t>
      </w:r>
      <w:proofErr w:type="spellStart"/>
      <w:r w:rsidR="00C04E39" w:rsidRPr="0015615B">
        <w:rPr>
          <w:rFonts w:ascii="Times New Roman" w:hAnsi="Times New Roman" w:cs="Times New Roman"/>
          <w:sz w:val="24"/>
          <w:szCs w:val="24"/>
        </w:rPr>
        <w:t>Intini</w:t>
      </w:r>
      <w:proofErr w:type="spellEnd"/>
      <w:r w:rsidR="00C04E39" w:rsidRPr="0015615B">
        <w:rPr>
          <w:rFonts w:ascii="Times New Roman" w:hAnsi="Times New Roman" w:cs="Times New Roman"/>
          <w:sz w:val="24"/>
          <w:szCs w:val="24"/>
        </w:rPr>
        <w:t xml:space="preserve"> (2013)</w:t>
      </w:r>
      <w:r w:rsidR="00321E3E" w:rsidRPr="0015615B">
        <w:rPr>
          <w:rFonts w:ascii="Times New Roman" w:hAnsi="Times New Roman" w:cs="Times New Roman"/>
          <w:sz w:val="24"/>
          <w:szCs w:val="24"/>
        </w:rPr>
        <w:t xml:space="preserve"> afirmam que este amparo</w:t>
      </w:r>
      <w:r w:rsidR="009C4E79" w:rsidRPr="0015615B">
        <w:rPr>
          <w:rFonts w:ascii="Times New Roman" w:hAnsi="Times New Roman" w:cs="Times New Roman"/>
          <w:sz w:val="24"/>
          <w:szCs w:val="24"/>
        </w:rPr>
        <w:t xml:space="preserve"> é garantido pela bancada</w:t>
      </w:r>
      <w:r w:rsidR="00321E3E" w:rsidRPr="0015615B">
        <w:rPr>
          <w:rFonts w:ascii="Times New Roman" w:hAnsi="Times New Roman" w:cs="Times New Roman"/>
          <w:sz w:val="24"/>
          <w:szCs w:val="24"/>
        </w:rPr>
        <w:t xml:space="preserve"> ruralista. T</w:t>
      </w:r>
      <w:r w:rsidR="009C4E79" w:rsidRPr="0015615B">
        <w:rPr>
          <w:rFonts w:ascii="Times New Roman" w:hAnsi="Times New Roman" w:cs="Times New Roman"/>
          <w:sz w:val="24"/>
          <w:szCs w:val="24"/>
        </w:rPr>
        <w:t>rata-</w:t>
      </w:r>
      <w:r w:rsidR="005677CA" w:rsidRPr="0015615B">
        <w:rPr>
          <w:rFonts w:ascii="Times New Roman" w:hAnsi="Times New Roman" w:cs="Times New Roman"/>
          <w:sz w:val="24"/>
          <w:szCs w:val="24"/>
        </w:rPr>
        <w:t>se de um grupo de parlamentares</w:t>
      </w:r>
      <w:r w:rsidR="009C4E79" w:rsidRPr="0015615B">
        <w:rPr>
          <w:rFonts w:ascii="Times New Roman" w:hAnsi="Times New Roman" w:cs="Times New Roman"/>
          <w:sz w:val="24"/>
          <w:szCs w:val="24"/>
        </w:rPr>
        <w:t xml:space="preserve"> que compõem a Frente Parlamentar da Agropecuária, inserido</w:t>
      </w:r>
      <w:r w:rsidR="00321E3E" w:rsidRPr="0015615B">
        <w:rPr>
          <w:rFonts w:ascii="Times New Roman" w:hAnsi="Times New Roman" w:cs="Times New Roman"/>
          <w:sz w:val="24"/>
          <w:szCs w:val="24"/>
        </w:rPr>
        <w:t>s em diversos parti</w:t>
      </w:r>
      <w:r w:rsidR="00DE295C" w:rsidRPr="0015615B">
        <w:rPr>
          <w:rFonts w:ascii="Times New Roman" w:hAnsi="Times New Roman" w:cs="Times New Roman"/>
          <w:sz w:val="24"/>
          <w:szCs w:val="24"/>
        </w:rPr>
        <w:t xml:space="preserve">dos, tanto de oposição quanto de </w:t>
      </w:r>
      <w:r w:rsidR="00321E3E" w:rsidRPr="0015615B">
        <w:rPr>
          <w:rFonts w:ascii="Times New Roman" w:hAnsi="Times New Roman" w:cs="Times New Roman"/>
          <w:sz w:val="24"/>
          <w:szCs w:val="24"/>
        </w:rPr>
        <w:t>situação e</w:t>
      </w:r>
      <w:r w:rsidR="009C4E79" w:rsidRPr="0015615B">
        <w:rPr>
          <w:rFonts w:ascii="Times New Roman" w:hAnsi="Times New Roman" w:cs="Times New Roman"/>
          <w:sz w:val="24"/>
          <w:szCs w:val="24"/>
        </w:rPr>
        <w:t xml:space="preserve"> que defendem o agronegócio por meio de um núcleo operativo. </w:t>
      </w:r>
    </w:p>
    <w:p w:rsidR="00BD717E" w:rsidRPr="0015615B" w:rsidRDefault="009C4E79" w:rsidP="0015615B">
      <w:pPr>
        <w:spacing w:after="0" w:line="240" w:lineRule="auto"/>
        <w:ind w:firstLine="709"/>
        <w:jc w:val="both"/>
        <w:rPr>
          <w:rFonts w:ascii="Times New Roman" w:hAnsi="Times New Roman" w:cs="Times New Roman"/>
          <w:sz w:val="24"/>
          <w:szCs w:val="24"/>
        </w:rPr>
      </w:pPr>
      <w:r w:rsidRPr="0015615B">
        <w:rPr>
          <w:rFonts w:ascii="Times New Roman" w:hAnsi="Times New Roman" w:cs="Times New Roman"/>
          <w:sz w:val="24"/>
          <w:szCs w:val="24"/>
        </w:rPr>
        <w:t>Além disso, ocupam espaços no poder exe</w:t>
      </w:r>
      <w:r w:rsidR="005677CA" w:rsidRPr="0015615B">
        <w:rPr>
          <w:rFonts w:ascii="Times New Roman" w:hAnsi="Times New Roman" w:cs="Times New Roman"/>
          <w:sz w:val="24"/>
          <w:szCs w:val="24"/>
        </w:rPr>
        <w:t>cutivo</w:t>
      </w:r>
      <w:r w:rsidR="004D71D0" w:rsidRPr="0015615B">
        <w:rPr>
          <w:rFonts w:ascii="Times New Roman" w:hAnsi="Times New Roman" w:cs="Times New Roman"/>
          <w:sz w:val="24"/>
          <w:szCs w:val="24"/>
        </w:rPr>
        <w:t>,</w:t>
      </w:r>
      <w:r w:rsidRPr="0015615B">
        <w:rPr>
          <w:rFonts w:ascii="Times New Roman" w:hAnsi="Times New Roman" w:cs="Times New Roman"/>
          <w:sz w:val="24"/>
          <w:szCs w:val="24"/>
        </w:rPr>
        <w:t xml:space="preserve"> com o c</w:t>
      </w:r>
      <w:r w:rsidR="003D32B4" w:rsidRPr="0015615B">
        <w:rPr>
          <w:rFonts w:ascii="Times New Roman" w:hAnsi="Times New Roman" w:cs="Times New Roman"/>
          <w:sz w:val="24"/>
          <w:szCs w:val="24"/>
        </w:rPr>
        <w:t>ontrole do MAPA</w:t>
      </w:r>
      <w:r w:rsidRPr="0015615B">
        <w:rPr>
          <w:rFonts w:ascii="Times New Roman" w:hAnsi="Times New Roman" w:cs="Times New Roman"/>
          <w:sz w:val="24"/>
          <w:szCs w:val="24"/>
        </w:rPr>
        <w:t>, da Empresa Brasileira de Pesquisa Agro</w:t>
      </w:r>
      <w:r w:rsidR="001669DE" w:rsidRPr="0015615B">
        <w:rPr>
          <w:rFonts w:ascii="Times New Roman" w:hAnsi="Times New Roman" w:cs="Times New Roman"/>
          <w:sz w:val="24"/>
          <w:szCs w:val="24"/>
        </w:rPr>
        <w:t xml:space="preserve">pecuária (EMBRAPA), </w:t>
      </w:r>
      <w:r w:rsidR="009379F4">
        <w:rPr>
          <w:rFonts w:ascii="Times New Roman" w:hAnsi="Times New Roman" w:cs="Times New Roman"/>
          <w:sz w:val="24"/>
          <w:szCs w:val="24"/>
        </w:rPr>
        <w:t xml:space="preserve">da Companhia Nacional de Abastecimento (CONAB), </w:t>
      </w:r>
      <w:r w:rsidR="001669DE" w:rsidRPr="0015615B">
        <w:rPr>
          <w:rFonts w:ascii="Times New Roman" w:hAnsi="Times New Roman" w:cs="Times New Roman"/>
          <w:sz w:val="24"/>
          <w:szCs w:val="24"/>
        </w:rPr>
        <w:t>entre outras instituições. Neste cenário</w:t>
      </w:r>
      <w:r w:rsidR="00950492" w:rsidRPr="0015615B">
        <w:rPr>
          <w:rFonts w:ascii="Times New Roman" w:hAnsi="Times New Roman" w:cs="Times New Roman"/>
          <w:sz w:val="24"/>
          <w:szCs w:val="24"/>
        </w:rPr>
        <w:t xml:space="preserve"> T</w:t>
      </w:r>
      <w:r w:rsidRPr="0015615B">
        <w:rPr>
          <w:rFonts w:ascii="Times New Roman" w:hAnsi="Times New Roman" w:cs="Times New Roman"/>
          <w:sz w:val="24"/>
          <w:szCs w:val="24"/>
        </w:rPr>
        <w:t xml:space="preserve">eixeira (2013) destaca que não é o agronegócio que ousa no </w:t>
      </w:r>
      <w:r w:rsidR="005677CA" w:rsidRPr="0015615B">
        <w:rPr>
          <w:rFonts w:ascii="Times New Roman" w:hAnsi="Times New Roman" w:cs="Times New Roman"/>
          <w:sz w:val="24"/>
          <w:szCs w:val="24"/>
        </w:rPr>
        <w:t>campo, mas o Estado</w:t>
      </w:r>
      <w:r w:rsidR="00950492" w:rsidRPr="0015615B">
        <w:rPr>
          <w:rFonts w:ascii="Times New Roman" w:hAnsi="Times New Roman" w:cs="Times New Roman"/>
          <w:sz w:val="24"/>
          <w:szCs w:val="24"/>
        </w:rPr>
        <w:t xml:space="preserve">, enquanto </w:t>
      </w:r>
      <w:r w:rsidR="004D71D0" w:rsidRPr="0015615B">
        <w:rPr>
          <w:rFonts w:ascii="Times New Roman" w:hAnsi="Times New Roman" w:cs="Times New Roman"/>
          <w:sz w:val="24"/>
          <w:szCs w:val="24"/>
        </w:rPr>
        <w:t xml:space="preserve">Fernandes &amp; </w:t>
      </w:r>
      <w:proofErr w:type="spellStart"/>
      <w:r w:rsidR="004D71D0" w:rsidRPr="0015615B">
        <w:rPr>
          <w:rFonts w:ascii="Times New Roman" w:hAnsi="Times New Roman" w:cs="Times New Roman"/>
          <w:sz w:val="24"/>
          <w:szCs w:val="24"/>
        </w:rPr>
        <w:t>Welch</w:t>
      </w:r>
      <w:proofErr w:type="spellEnd"/>
      <w:r w:rsidR="004D71D0" w:rsidRPr="0015615B">
        <w:rPr>
          <w:rFonts w:ascii="Times New Roman" w:hAnsi="Times New Roman" w:cs="Times New Roman"/>
          <w:sz w:val="24"/>
          <w:szCs w:val="24"/>
        </w:rPr>
        <w:t xml:space="preserve"> (2008)</w:t>
      </w:r>
      <w:r w:rsidR="005677CA" w:rsidRPr="0015615B">
        <w:rPr>
          <w:rFonts w:ascii="Times New Roman" w:hAnsi="Times New Roman" w:cs="Times New Roman"/>
          <w:sz w:val="24"/>
          <w:szCs w:val="24"/>
        </w:rPr>
        <w:t xml:space="preserve"> defendem que as multinacionais são as grandes beneficiadas des</w:t>
      </w:r>
      <w:r w:rsidR="00D9541C" w:rsidRPr="0015615B">
        <w:rPr>
          <w:rFonts w:ascii="Times New Roman" w:hAnsi="Times New Roman" w:cs="Times New Roman"/>
          <w:sz w:val="24"/>
          <w:szCs w:val="24"/>
        </w:rPr>
        <w:t>s</w:t>
      </w:r>
      <w:r w:rsidR="00BD717E" w:rsidRPr="0015615B">
        <w:rPr>
          <w:rFonts w:ascii="Times New Roman" w:hAnsi="Times New Roman" w:cs="Times New Roman"/>
          <w:sz w:val="24"/>
          <w:szCs w:val="24"/>
        </w:rPr>
        <w:t>e processo, pois controlam o</w:t>
      </w:r>
      <w:r w:rsidR="005677CA" w:rsidRPr="0015615B">
        <w:rPr>
          <w:rFonts w:ascii="Times New Roman" w:hAnsi="Times New Roman" w:cs="Times New Roman"/>
          <w:sz w:val="24"/>
          <w:szCs w:val="24"/>
        </w:rPr>
        <w:t xml:space="preserve"> conhecimento, as tecnologias, as políticas agrícolas, os discursos e o mercado de alimentos. </w:t>
      </w:r>
      <w:r w:rsidR="001669DE" w:rsidRPr="0015615B">
        <w:rPr>
          <w:rFonts w:ascii="Times New Roman" w:hAnsi="Times New Roman" w:cs="Times New Roman"/>
          <w:sz w:val="24"/>
          <w:szCs w:val="24"/>
        </w:rPr>
        <w:t>O</w:t>
      </w:r>
      <w:r w:rsidR="00DE295C" w:rsidRPr="0015615B">
        <w:rPr>
          <w:rFonts w:ascii="Times New Roman" w:hAnsi="Times New Roman" w:cs="Times New Roman"/>
          <w:sz w:val="24"/>
          <w:szCs w:val="24"/>
        </w:rPr>
        <w:t>utro</w:t>
      </w:r>
      <w:r w:rsidR="00950492" w:rsidRPr="0015615B">
        <w:rPr>
          <w:rFonts w:ascii="Times New Roman" w:hAnsi="Times New Roman" w:cs="Times New Roman"/>
          <w:sz w:val="24"/>
          <w:szCs w:val="24"/>
        </w:rPr>
        <w:t xml:space="preserve"> entendimento renovado deste conceito é fornecido por Delgado (2013), segundo ele o agronegócio é </w:t>
      </w:r>
      <w:r w:rsidR="00841BD0" w:rsidRPr="0015615B">
        <w:rPr>
          <w:rFonts w:ascii="Times New Roman" w:hAnsi="Times New Roman" w:cs="Times New Roman"/>
          <w:sz w:val="24"/>
          <w:szCs w:val="24"/>
        </w:rPr>
        <w:t>um novo pacto</w:t>
      </w:r>
      <w:r w:rsidR="00950492" w:rsidRPr="0015615B">
        <w:rPr>
          <w:rFonts w:ascii="Times New Roman" w:hAnsi="Times New Roman" w:cs="Times New Roman"/>
          <w:sz w:val="24"/>
          <w:szCs w:val="24"/>
        </w:rPr>
        <w:t xml:space="preserve"> de poder de economia política, refere-se à soma de negó</w:t>
      </w:r>
      <w:r w:rsidR="001669DE" w:rsidRPr="0015615B">
        <w:rPr>
          <w:rFonts w:ascii="Times New Roman" w:hAnsi="Times New Roman" w:cs="Times New Roman"/>
          <w:sz w:val="24"/>
          <w:szCs w:val="24"/>
        </w:rPr>
        <w:t>cios no e</w:t>
      </w:r>
      <w:r w:rsidR="009379F4">
        <w:rPr>
          <w:rFonts w:ascii="Times New Roman" w:hAnsi="Times New Roman" w:cs="Times New Roman"/>
          <w:sz w:val="24"/>
          <w:szCs w:val="24"/>
        </w:rPr>
        <w:t xml:space="preserve"> com o agro, ou seja, com as atividades desenvolvidas no campo</w:t>
      </w:r>
      <w:r w:rsidR="007F22DA">
        <w:rPr>
          <w:rFonts w:ascii="Times New Roman" w:hAnsi="Times New Roman" w:cs="Times New Roman"/>
          <w:sz w:val="24"/>
          <w:szCs w:val="24"/>
        </w:rPr>
        <w:t>.  O autor e</w:t>
      </w:r>
      <w:r w:rsidR="00950492" w:rsidRPr="0015615B">
        <w:rPr>
          <w:rFonts w:ascii="Times New Roman" w:hAnsi="Times New Roman" w:cs="Times New Roman"/>
          <w:sz w:val="24"/>
          <w:szCs w:val="24"/>
        </w:rPr>
        <w:t>stab</w:t>
      </w:r>
      <w:r w:rsidR="00DE295C" w:rsidRPr="0015615B">
        <w:rPr>
          <w:rFonts w:ascii="Times New Roman" w:hAnsi="Times New Roman" w:cs="Times New Roman"/>
          <w:sz w:val="24"/>
          <w:szCs w:val="24"/>
        </w:rPr>
        <w:t>elece duas fases no seu processo de estruturação no Brasil</w:t>
      </w:r>
      <w:r w:rsidR="00950492" w:rsidRPr="0015615B">
        <w:rPr>
          <w:rFonts w:ascii="Times New Roman" w:hAnsi="Times New Roman" w:cs="Times New Roman"/>
          <w:sz w:val="24"/>
          <w:szCs w:val="24"/>
        </w:rPr>
        <w:t>; a primeira ditada pela aliança da oligarquia agrária com o Estado, por meio da modernização conservadora, a segunda se circunscreve a economia do agronegócio.</w:t>
      </w:r>
    </w:p>
    <w:p w:rsidR="005677CA" w:rsidRPr="0015615B" w:rsidRDefault="00950492" w:rsidP="0015615B">
      <w:pPr>
        <w:spacing w:after="0" w:line="240" w:lineRule="auto"/>
        <w:ind w:firstLine="709"/>
        <w:jc w:val="both"/>
        <w:rPr>
          <w:rFonts w:ascii="Times New Roman" w:hAnsi="Times New Roman" w:cs="Times New Roman"/>
          <w:sz w:val="24"/>
          <w:szCs w:val="24"/>
        </w:rPr>
      </w:pPr>
      <w:r w:rsidRPr="0015615B">
        <w:rPr>
          <w:rFonts w:ascii="Times New Roman" w:hAnsi="Times New Roman" w:cs="Times New Roman"/>
          <w:sz w:val="24"/>
          <w:szCs w:val="24"/>
        </w:rPr>
        <w:t xml:space="preserve"> A diferen</w:t>
      </w:r>
      <w:r w:rsidR="00DE295C" w:rsidRPr="0015615B">
        <w:rPr>
          <w:rFonts w:ascii="Times New Roman" w:hAnsi="Times New Roman" w:cs="Times New Roman"/>
          <w:sz w:val="24"/>
          <w:szCs w:val="24"/>
        </w:rPr>
        <w:t>ça delas é que no</w:t>
      </w:r>
      <w:r w:rsidR="00F50570" w:rsidRPr="0015615B">
        <w:rPr>
          <w:rFonts w:ascii="Times New Roman" w:hAnsi="Times New Roman" w:cs="Times New Roman"/>
          <w:sz w:val="24"/>
          <w:szCs w:val="24"/>
        </w:rPr>
        <w:t xml:space="preserve"> início</w:t>
      </w:r>
      <w:r w:rsidRPr="0015615B">
        <w:rPr>
          <w:rFonts w:ascii="Times New Roman" w:hAnsi="Times New Roman" w:cs="Times New Roman"/>
          <w:sz w:val="24"/>
          <w:szCs w:val="24"/>
        </w:rPr>
        <w:t xml:space="preserve"> a agricultura cumpriu o papel de </w:t>
      </w:r>
      <w:r w:rsidR="00D2403C" w:rsidRPr="0015615B">
        <w:rPr>
          <w:rFonts w:ascii="Times New Roman" w:hAnsi="Times New Roman" w:cs="Times New Roman"/>
          <w:sz w:val="24"/>
          <w:szCs w:val="24"/>
        </w:rPr>
        <w:t>sustentação da indus</w:t>
      </w:r>
      <w:r w:rsidR="00BD717E" w:rsidRPr="0015615B">
        <w:rPr>
          <w:rFonts w:ascii="Times New Roman" w:hAnsi="Times New Roman" w:cs="Times New Roman"/>
          <w:sz w:val="24"/>
          <w:szCs w:val="24"/>
        </w:rPr>
        <w:t>trialização e depois</w:t>
      </w:r>
      <w:r w:rsidR="00D2403C" w:rsidRPr="0015615B">
        <w:rPr>
          <w:rFonts w:ascii="Times New Roman" w:hAnsi="Times New Roman" w:cs="Times New Roman"/>
          <w:sz w:val="24"/>
          <w:szCs w:val="24"/>
        </w:rPr>
        <w:t xml:space="preserve"> serviu aos objetivos de reestruturação da política econômica, com priorização das </w:t>
      </w:r>
      <w:r w:rsidR="00D2403C" w:rsidRPr="0015615B">
        <w:rPr>
          <w:rFonts w:ascii="Times New Roman" w:hAnsi="Times New Roman" w:cs="Times New Roman"/>
          <w:i/>
          <w:sz w:val="24"/>
          <w:szCs w:val="24"/>
        </w:rPr>
        <w:t xml:space="preserve">commodities </w:t>
      </w:r>
      <w:r w:rsidR="00D2403C" w:rsidRPr="0015615B">
        <w:rPr>
          <w:rFonts w:ascii="Times New Roman" w:hAnsi="Times New Roman" w:cs="Times New Roman"/>
          <w:sz w:val="24"/>
          <w:szCs w:val="24"/>
        </w:rPr>
        <w:t>e, por conseguinte, reprimarização do comércio exterior.</w:t>
      </w:r>
      <w:r w:rsidR="00BD717E" w:rsidRPr="0015615B">
        <w:rPr>
          <w:rFonts w:ascii="Times New Roman" w:hAnsi="Times New Roman" w:cs="Times New Roman"/>
          <w:sz w:val="24"/>
          <w:szCs w:val="24"/>
        </w:rPr>
        <w:t xml:space="preserve"> </w:t>
      </w:r>
      <w:r w:rsidR="00D2403C" w:rsidRPr="0015615B">
        <w:rPr>
          <w:rFonts w:ascii="Times New Roman" w:hAnsi="Times New Roman" w:cs="Times New Roman"/>
          <w:sz w:val="24"/>
          <w:szCs w:val="24"/>
        </w:rPr>
        <w:t>De acordo com Delgado (2013</w:t>
      </w:r>
      <w:r w:rsidR="00F50570" w:rsidRPr="0015615B">
        <w:rPr>
          <w:rFonts w:ascii="Times New Roman" w:hAnsi="Times New Roman" w:cs="Times New Roman"/>
          <w:sz w:val="24"/>
          <w:szCs w:val="24"/>
        </w:rPr>
        <w:t>), o agronegócio se sustenta em</w:t>
      </w:r>
      <w:r w:rsidR="00D2403C" w:rsidRPr="0015615B">
        <w:rPr>
          <w:rFonts w:ascii="Times New Roman" w:hAnsi="Times New Roman" w:cs="Times New Roman"/>
          <w:sz w:val="24"/>
          <w:szCs w:val="24"/>
        </w:rPr>
        <w:t xml:space="preserve"> vantagens comparativas naturais, com o monopólio das terr</w:t>
      </w:r>
      <w:r w:rsidR="00F50570" w:rsidRPr="0015615B">
        <w:rPr>
          <w:rFonts w:ascii="Times New Roman" w:hAnsi="Times New Roman" w:cs="Times New Roman"/>
          <w:sz w:val="24"/>
          <w:szCs w:val="24"/>
        </w:rPr>
        <w:t>as e de</w:t>
      </w:r>
      <w:r w:rsidR="00441F44" w:rsidRPr="0015615B">
        <w:rPr>
          <w:rFonts w:ascii="Times New Roman" w:hAnsi="Times New Roman" w:cs="Times New Roman"/>
          <w:sz w:val="24"/>
          <w:szCs w:val="24"/>
        </w:rPr>
        <w:t xml:space="preserve"> recursos minerais. Carvalho (2013</w:t>
      </w:r>
      <w:r w:rsidR="00B138FC" w:rsidRPr="0015615B">
        <w:rPr>
          <w:rFonts w:ascii="Times New Roman" w:hAnsi="Times New Roman" w:cs="Times New Roman"/>
          <w:sz w:val="24"/>
          <w:szCs w:val="24"/>
        </w:rPr>
        <w:t xml:space="preserve">) acrescenta que isto promove </w:t>
      </w:r>
      <w:r w:rsidR="00441F44" w:rsidRPr="0015615B">
        <w:rPr>
          <w:rFonts w:ascii="Times New Roman" w:hAnsi="Times New Roman" w:cs="Times New Roman"/>
          <w:sz w:val="24"/>
          <w:szCs w:val="24"/>
        </w:rPr>
        <w:t xml:space="preserve">a acumulação primitiva via </w:t>
      </w:r>
      <w:r w:rsidR="00F50570" w:rsidRPr="0015615B">
        <w:rPr>
          <w:rFonts w:ascii="Times New Roman" w:hAnsi="Times New Roman" w:cs="Times New Roman"/>
          <w:sz w:val="24"/>
          <w:szCs w:val="24"/>
        </w:rPr>
        <w:t>espoliação. Segundo o autor os seus agentes</w:t>
      </w:r>
      <w:r w:rsidR="00BD717E" w:rsidRPr="0015615B">
        <w:rPr>
          <w:rFonts w:ascii="Times New Roman" w:hAnsi="Times New Roman" w:cs="Times New Roman"/>
          <w:sz w:val="24"/>
          <w:szCs w:val="24"/>
        </w:rPr>
        <w:t xml:space="preserve"> tem origem também</w:t>
      </w:r>
      <w:r w:rsidR="00441F44" w:rsidRPr="0015615B">
        <w:rPr>
          <w:rFonts w:ascii="Times New Roman" w:hAnsi="Times New Roman" w:cs="Times New Roman"/>
          <w:sz w:val="24"/>
          <w:szCs w:val="24"/>
        </w:rPr>
        <w:t xml:space="preserve"> no capital internacional, com</w:t>
      </w:r>
      <w:r w:rsidR="00B138FC" w:rsidRPr="0015615B">
        <w:rPr>
          <w:rFonts w:ascii="Times New Roman" w:hAnsi="Times New Roman" w:cs="Times New Roman"/>
          <w:sz w:val="24"/>
          <w:szCs w:val="24"/>
        </w:rPr>
        <w:t>o</w:t>
      </w:r>
      <w:r w:rsidR="00441F44" w:rsidRPr="0015615B">
        <w:rPr>
          <w:rFonts w:ascii="Times New Roman" w:hAnsi="Times New Roman" w:cs="Times New Roman"/>
          <w:sz w:val="24"/>
          <w:szCs w:val="24"/>
        </w:rPr>
        <w:t xml:space="preserve"> as multinacion</w:t>
      </w:r>
      <w:r w:rsidR="00F50570" w:rsidRPr="0015615B">
        <w:rPr>
          <w:rFonts w:ascii="Times New Roman" w:hAnsi="Times New Roman" w:cs="Times New Roman"/>
          <w:sz w:val="24"/>
          <w:szCs w:val="24"/>
        </w:rPr>
        <w:t>ais de insumos e</w:t>
      </w:r>
      <w:r w:rsidR="00B138FC" w:rsidRPr="0015615B">
        <w:rPr>
          <w:rFonts w:ascii="Times New Roman" w:hAnsi="Times New Roman" w:cs="Times New Roman"/>
          <w:sz w:val="24"/>
          <w:szCs w:val="24"/>
        </w:rPr>
        <w:t xml:space="preserve"> </w:t>
      </w:r>
      <w:r w:rsidR="00441F44" w:rsidRPr="0015615B">
        <w:rPr>
          <w:rFonts w:ascii="Times New Roman" w:hAnsi="Times New Roman" w:cs="Times New Roman"/>
          <w:sz w:val="24"/>
          <w:szCs w:val="24"/>
        </w:rPr>
        <w:t>o</w:t>
      </w:r>
      <w:r w:rsidR="00BD717E" w:rsidRPr="0015615B">
        <w:rPr>
          <w:rFonts w:ascii="Times New Roman" w:hAnsi="Times New Roman" w:cs="Times New Roman"/>
          <w:sz w:val="24"/>
          <w:szCs w:val="24"/>
        </w:rPr>
        <w:t>s atore</w:t>
      </w:r>
      <w:r w:rsidR="00F50570" w:rsidRPr="0015615B">
        <w:rPr>
          <w:rFonts w:ascii="Times New Roman" w:hAnsi="Times New Roman" w:cs="Times New Roman"/>
          <w:sz w:val="24"/>
          <w:szCs w:val="24"/>
        </w:rPr>
        <w:t>s</w:t>
      </w:r>
      <w:r w:rsidR="00B138FC" w:rsidRPr="0015615B">
        <w:rPr>
          <w:rFonts w:ascii="Times New Roman" w:hAnsi="Times New Roman" w:cs="Times New Roman"/>
          <w:sz w:val="24"/>
          <w:szCs w:val="24"/>
        </w:rPr>
        <w:t xml:space="preserve"> do</w:t>
      </w:r>
      <w:r w:rsidR="00441F44" w:rsidRPr="0015615B">
        <w:rPr>
          <w:rFonts w:ascii="Times New Roman" w:hAnsi="Times New Roman" w:cs="Times New Roman"/>
          <w:sz w:val="24"/>
          <w:szCs w:val="24"/>
        </w:rPr>
        <w:t xml:space="preserve"> capital especulativo,</w:t>
      </w:r>
      <w:r w:rsidR="00B138FC" w:rsidRPr="0015615B">
        <w:rPr>
          <w:rFonts w:ascii="Times New Roman" w:hAnsi="Times New Roman" w:cs="Times New Roman"/>
          <w:sz w:val="24"/>
          <w:szCs w:val="24"/>
        </w:rPr>
        <w:t xml:space="preserve"> que</w:t>
      </w:r>
      <w:r w:rsidR="00441F44" w:rsidRPr="0015615B">
        <w:rPr>
          <w:rFonts w:ascii="Times New Roman" w:hAnsi="Times New Roman" w:cs="Times New Roman"/>
          <w:sz w:val="24"/>
          <w:szCs w:val="24"/>
        </w:rPr>
        <w:t xml:space="preserve"> transforma</w:t>
      </w:r>
      <w:r w:rsidR="00B138FC" w:rsidRPr="0015615B">
        <w:rPr>
          <w:rFonts w:ascii="Times New Roman" w:hAnsi="Times New Roman" w:cs="Times New Roman"/>
          <w:sz w:val="24"/>
          <w:szCs w:val="24"/>
        </w:rPr>
        <w:t>m</w:t>
      </w:r>
      <w:r w:rsidR="00441F44" w:rsidRPr="0015615B">
        <w:rPr>
          <w:rFonts w:ascii="Times New Roman" w:hAnsi="Times New Roman" w:cs="Times New Roman"/>
          <w:sz w:val="24"/>
          <w:szCs w:val="24"/>
        </w:rPr>
        <w:t xml:space="preserve"> </w:t>
      </w:r>
      <w:r w:rsidR="00B138FC" w:rsidRPr="0015615B">
        <w:rPr>
          <w:rFonts w:ascii="Times New Roman" w:hAnsi="Times New Roman" w:cs="Times New Roman"/>
          <w:sz w:val="24"/>
          <w:szCs w:val="24"/>
        </w:rPr>
        <w:t xml:space="preserve">o capital fictício </w:t>
      </w:r>
      <w:r w:rsidR="00441F44" w:rsidRPr="0015615B">
        <w:rPr>
          <w:rFonts w:ascii="Times New Roman" w:hAnsi="Times New Roman" w:cs="Times New Roman"/>
          <w:sz w:val="24"/>
          <w:szCs w:val="24"/>
        </w:rPr>
        <w:t>em renda capitalizada</w:t>
      </w:r>
      <w:r w:rsidR="00B138FC" w:rsidRPr="0015615B">
        <w:rPr>
          <w:rFonts w:ascii="Times New Roman" w:hAnsi="Times New Roman" w:cs="Times New Roman"/>
          <w:sz w:val="24"/>
          <w:szCs w:val="24"/>
        </w:rPr>
        <w:t xml:space="preserve"> </w:t>
      </w:r>
      <w:r w:rsidR="00441F44" w:rsidRPr="0015615B">
        <w:rPr>
          <w:rFonts w:ascii="Times New Roman" w:hAnsi="Times New Roman" w:cs="Times New Roman"/>
          <w:sz w:val="24"/>
          <w:szCs w:val="24"/>
        </w:rPr>
        <w:t>po</w:t>
      </w:r>
      <w:r w:rsidR="00BD717E" w:rsidRPr="0015615B">
        <w:rPr>
          <w:rFonts w:ascii="Times New Roman" w:hAnsi="Times New Roman" w:cs="Times New Roman"/>
          <w:sz w:val="24"/>
          <w:szCs w:val="24"/>
        </w:rPr>
        <w:t>r meio da aquisição de terras.</w:t>
      </w:r>
      <w:r w:rsidR="00B138FC" w:rsidRPr="0015615B">
        <w:rPr>
          <w:rFonts w:ascii="Times New Roman" w:hAnsi="Times New Roman" w:cs="Times New Roman"/>
          <w:sz w:val="24"/>
          <w:szCs w:val="24"/>
        </w:rPr>
        <w:t xml:space="preserve"> </w:t>
      </w:r>
    </w:p>
    <w:p w:rsidR="0029175E" w:rsidRDefault="00DE295C" w:rsidP="0015615B">
      <w:pPr>
        <w:spacing w:after="0" w:line="240" w:lineRule="auto"/>
        <w:ind w:firstLine="709"/>
        <w:jc w:val="both"/>
        <w:rPr>
          <w:rFonts w:ascii="Times New Roman" w:hAnsi="Times New Roman" w:cs="Times New Roman"/>
          <w:sz w:val="24"/>
          <w:szCs w:val="24"/>
        </w:rPr>
      </w:pPr>
      <w:r w:rsidRPr="0015615B">
        <w:rPr>
          <w:rFonts w:ascii="Times New Roman" w:hAnsi="Times New Roman" w:cs="Times New Roman"/>
          <w:sz w:val="24"/>
          <w:szCs w:val="24"/>
        </w:rPr>
        <w:t>Leite &amp; Medeiros (2012) afirmam que</w:t>
      </w:r>
      <w:r w:rsidR="00B138FC" w:rsidRPr="0015615B">
        <w:rPr>
          <w:rFonts w:ascii="Times New Roman" w:hAnsi="Times New Roman" w:cs="Times New Roman"/>
          <w:sz w:val="24"/>
          <w:szCs w:val="24"/>
        </w:rPr>
        <w:t xml:space="preserve"> </w:t>
      </w:r>
      <w:r w:rsidR="00B138FC" w:rsidRPr="0015615B">
        <w:rPr>
          <w:rFonts w:ascii="Times New Roman" w:eastAsia="Calibri" w:hAnsi="Times New Roman" w:cs="Times New Roman"/>
          <w:sz w:val="24"/>
          <w:szCs w:val="24"/>
        </w:rPr>
        <w:t>há asp</w:t>
      </w:r>
      <w:r w:rsidRPr="0015615B">
        <w:rPr>
          <w:rFonts w:ascii="Times New Roman" w:eastAsia="Calibri" w:hAnsi="Times New Roman" w:cs="Times New Roman"/>
          <w:sz w:val="24"/>
          <w:szCs w:val="24"/>
        </w:rPr>
        <w:t>ectos</w:t>
      </w:r>
      <w:r w:rsidR="00B138FC" w:rsidRPr="0015615B">
        <w:rPr>
          <w:rFonts w:ascii="Times New Roman" w:hAnsi="Times New Roman" w:cs="Times New Roman"/>
          <w:sz w:val="24"/>
          <w:szCs w:val="24"/>
        </w:rPr>
        <w:t xml:space="preserve"> institucionais</w:t>
      </w:r>
      <w:r w:rsidR="00F50570" w:rsidRPr="0015615B">
        <w:rPr>
          <w:rFonts w:ascii="Times New Roman" w:hAnsi="Times New Roman" w:cs="Times New Roman"/>
          <w:sz w:val="24"/>
          <w:szCs w:val="24"/>
        </w:rPr>
        <w:t>, políticos, econômicos e</w:t>
      </w:r>
      <w:r w:rsidR="00B138FC" w:rsidRPr="0015615B">
        <w:rPr>
          <w:rFonts w:ascii="Times New Roman" w:hAnsi="Times New Roman" w:cs="Times New Roman"/>
          <w:sz w:val="24"/>
          <w:szCs w:val="24"/>
        </w:rPr>
        <w:t xml:space="preserve"> ideológicos no conceito de agronegócio</w:t>
      </w:r>
      <w:r w:rsidR="00B138FC" w:rsidRPr="0015615B">
        <w:rPr>
          <w:rFonts w:ascii="Times New Roman" w:eastAsia="Calibri" w:hAnsi="Times New Roman" w:cs="Times New Roman"/>
          <w:sz w:val="24"/>
          <w:szCs w:val="24"/>
        </w:rPr>
        <w:t>.</w:t>
      </w:r>
      <w:r w:rsidR="00B138FC" w:rsidRPr="0015615B">
        <w:rPr>
          <w:rFonts w:ascii="Times New Roman" w:hAnsi="Times New Roman" w:cs="Times New Roman"/>
          <w:sz w:val="24"/>
          <w:szCs w:val="24"/>
        </w:rPr>
        <w:t xml:space="preserve"> </w:t>
      </w:r>
      <w:r w:rsidR="00BD56D5" w:rsidRPr="0015615B">
        <w:rPr>
          <w:rFonts w:ascii="Times New Roman" w:hAnsi="Times New Roman" w:cs="Times New Roman"/>
          <w:sz w:val="24"/>
          <w:szCs w:val="24"/>
        </w:rPr>
        <w:t>Delgado (2013) menciona como aparatos ideológicos as mudanças casuísticas que alteram regras constitucionais, as ações propagandísticas das associações do setor nos me</w:t>
      </w:r>
      <w:r w:rsidR="00F50570" w:rsidRPr="0015615B">
        <w:rPr>
          <w:rFonts w:ascii="Times New Roman" w:hAnsi="Times New Roman" w:cs="Times New Roman"/>
          <w:sz w:val="24"/>
          <w:szCs w:val="24"/>
        </w:rPr>
        <w:t>ios de comunicação</w:t>
      </w:r>
      <w:r w:rsidR="00BD56D5" w:rsidRPr="0015615B">
        <w:rPr>
          <w:rFonts w:ascii="Times New Roman" w:hAnsi="Times New Roman" w:cs="Times New Roman"/>
          <w:sz w:val="24"/>
          <w:szCs w:val="24"/>
        </w:rPr>
        <w:t>, a pressão pela ampliação dos recursos via Sistema Nacional de Crédito Rural (SNCR) e Banco Nacional de Desenvolvimento Econômico e Social (BNDES)</w:t>
      </w:r>
      <w:r w:rsidR="00F758A8" w:rsidRPr="0015615B">
        <w:rPr>
          <w:rFonts w:ascii="Times New Roman" w:hAnsi="Times New Roman" w:cs="Times New Roman"/>
          <w:sz w:val="24"/>
          <w:szCs w:val="24"/>
        </w:rPr>
        <w:t>, além do controle e consequentemente</w:t>
      </w:r>
      <w:r w:rsidR="00BD56D5" w:rsidRPr="0015615B">
        <w:rPr>
          <w:rFonts w:ascii="Times New Roman" w:hAnsi="Times New Roman" w:cs="Times New Roman"/>
          <w:sz w:val="24"/>
          <w:szCs w:val="24"/>
        </w:rPr>
        <w:t xml:space="preserve"> passividade de instituições estatais, como o I</w:t>
      </w:r>
      <w:r w:rsidR="00F758A8" w:rsidRPr="0015615B">
        <w:rPr>
          <w:rFonts w:ascii="Times New Roman" w:hAnsi="Times New Roman" w:cs="Times New Roman"/>
          <w:sz w:val="24"/>
          <w:szCs w:val="24"/>
        </w:rPr>
        <w:t>NCRA, a Fun</w:t>
      </w:r>
      <w:r w:rsidR="009379F4">
        <w:rPr>
          <w:rFonts w:ascii="Times New Roman" w:hAnsi="Times New Roman" w:cs="Times New Roman"/>
          <w:sz w:val="24"/>
          <w:szCs w:val="24"/>
        </w:rPr>
        <w:t>dação Nacional do Índio (FUNAI) e o Instituto de Meio Ambiente e dos Recursos Hídricos,</w:t>
      </w:r>
      <w:r w:rsidR="00F758A8" w:rsidRPr="0015615B">
        <w:rPr>
          <w:rFonts w:ascii="Times New Roman" w:hAnsi="Times New Roman" w:cs="Times New Roman"/>
          <w:sz w:val="24"/>
          <w:szCs w:val="24"/>
        </w:rPr>
        <w:t xml:space="preserve"> entre outras.</w:t>
      </w:r>
      <w:r w:rsidR="00BD717E" w:rsidRPr="0015615B">
        <w:rPr>
          <w:rFonts w:ascii="Times New Roman" w:hAnsi="Times New Roman" w:cs="Times New Roman"/>
          <w:sz w:val="24"/>
          <w:szCs w:val="24"/>
        </w:rPr>
        <w:t xml:space="preserve"> </w:t>
      </w:r>
    </w:p>
    <w:p w:rsidR="00E25FA5" w:rsidRPr="0015615B" w:rsidRDefault="00DE295C" w:rsidP="0015615B">
      <w:pPr>
        <w:spacing w:after="0" w:line="240" w:lineRule="auto"/>
        <w:ind w:firstLine="709"/>
        <w:jc w:val="both"/>
        <w:rPr>
          <w:rFonts w:ascii="Times New Roman" w:hAnsi="Times New Roman" w:cs="Times New Roman"/>
          <w:sz w:val="24"/>
          <w:szCs w:val="24"/>
        </w:rPr>
      </w:pPr>
      <w:r w:rsidRPr="0015615B">
        <w:rPr>
          <w:rFonts w:ascii="Times New Roman" w:hAnsi="Times New Roman" w:cs="Times New Roman"/>
          <w:sz w:val="24"/>
          <w:szCs w:val="24"/>
        </w:rPr>
        <w:t>Teixeira (2013) apresenta</w:t>
      </w:r>
      <w:r w:rsidR="00F758A8" w:rsidRPr="0015615B">
        <w:rPr>
          <w:rFonts w:ascii="Times New Roman" w:hAnsi="Times New Roman" w:cs="Times New Roman"/>
          <w:sz w:val="24"/>
          <w:szCs w:val="24"/>
        </w:rPr>
        <w:t xml:space="preserve"> instrumentos institucionais</w:t>
      </w:r>
      <w:r w:rsidRPr="0015615B">
        <w:rPr>
          <w:rFonts w:ascii="Times New Roman" w:hAnsi="Times New Roman" w:cs="Times New Roman"/>
          <w:sz w:val="24"/>
          <w:szCs w:val="24"/>
        </w:rPr>
        <w:t xml:space="preserve"> adotados</w:t>
      </w:r>
      <w:r w:rsidR="00F50570" w:rsidRPr="0015615B">
        <w:rPr>
          <w:rFonts w:ascii="Times New Roman" w:hAnsi="Times New Roman" w:cs="Times New Roman"/>
          <w:sz w:val="24"/>
          <w:szCs w:val="24"/>
        </w:rPr>
        <w:t xml:space="preserve"> </w:t>
      </w:r>
      <w:r w:rsidR="00BD717E" w:rsidRPr="0015615B">
        <w:rPr>
          <w:rFonts w:ascii="Times New Roman" w:hAnsi="Times New Roman" w:cs="Times New Roman"/>
          <w:sz w:val="24"/>
          <w:szCs w:val="24"/>
        </w:rPr>
        <w:t>após 1990 favoráveis ao setor. Ele d</w:t>
      </w:r>
      <w:r w:rsidR="00235EA7" w:rsidRPr="0015615B">
        <w:rPr>
          <w:rFonts w:ascii="Times New Roman" w:hAnsi="Times New Roman" w:cs="Times New Roman"/>
          <w:sz w:val="24"/>
          <w:szCs w:val="24"/>
        </w:rPr>
        <w:t>estaca</w:t>
      </w:r>
      <w:r w:rsidR="00F50570" w:rsidRPr="0015615B">
        <w:rPr>
          <w:rFonts w:ascii="Times New Roman" w:hAnsi="Times New Roman" w:cs="Times New Roman"/>
          <w:sz w:val="24"/>
          <w:szCs w:val="24"/>
        </w:rPr>
        <w:t>, por exemplo,</w:t>
      </w:r>
      <w:r w:rsidR="00F758A8" w:rsidRPr="0015615B">
        <w:rPr>
          <w:rFonts w:ascii="Times New Roman" w:hAnsi="Times New Roman" w:cs="Times New Roman"/>
          <w:sz w:val="24"/>
          <w:szCs w:val="24"/>
        </w:rPr>
        <w:t xml:space="preserve"> a criação da le</w:t>
      </w:r>
      <w:r w:rsidR="00BD717E" w:rsidRPr="0015615B">
        <w:rPr>
          <w:rFonts w:ascii="Times New Roman" w:hAnsi="Times New Roman" w:cs="Times New Roman"/>
          <w:sz w:val="24"/>
          <w:szCs w:val="24"/>
        </w:rPr>
        <w:t>i de cultivares e patentes</w:t>
      </w:r>
      <w:r w:rsidRPr="0015615B">
        <w:rPr>
          <w:rFonts w:ascii="Times New Roman" w:hAnsi="Times New Roman" w:cs="Times New Roman"/>
          <w:sz w:val="24"/>
          <w:szCs w:val="24"/>
        </w:rPr>
        <w:t xml:space="preserve">, </w:t>
      </w:r>
      <w:r w:rsidR="00F758A8" w:rsidRPr="0015615B">
        <w:rPr>
          <w:rFonts w:ascii="Times New Roman" w:hAnsi="Times New Roman" w:cs="Times New Roman"/>
          <w:sz w:val="24"/>
          <w:szCs w:val="24"/>
        </w:rPr>
        <w:t>a isenção de imposto de renda</w:t>
      </w:r>
      <w:r w:rsidR="00BD717E" w:rsidRPr="0015615B">
        <w:rPr>
          <w:rFonts w:ascii="Times New Roman" w:hAnsi="Times New Roman" w:cs="Times New Roman"/>
          <w:sz w:val="24"/>
          <w:szCs w:val="24"/>
        </w:rPr>
        <w:t xml:space="preserve"> para a</w:t>
      </w:r>
      <w:r w:rsidR="00F758A8" w:rsidRPr="0015615B">
        <w:rPr>
          <w:rFonts w:ascii="Times New Roman" w:hAnsi="Times New Roman" w:cs="Times New Roman"/>
          <w:sz w:val="24"/>
          <w:szCs w:val="24"/>
        </w:rPr>
        <w:t xml:space="preserve"> pesquisa</w:t>
      </w:r>
      <w:r w:rsidR="00E25FA5" w:rsidRPr="0015615B">
        <w:rPr>
          <w:rFonts w:ascii="Times New Roman" w:hAnsi="Times New Roman" w:cs="Times New Roman"/>
          <w:sz w:val="24"/>
          <w:szCs w:val="24"/>
        </w:rPr>
        <w:t xml:space="preserve"> com</w:t>
      </w:r>
      <w:r w:rsidR="00A419A4" w:rsidRPr="0015615B">
        <w:rPr>
          <w:rFonts w:ascii="Times New Roman" w:hAnsi="Times New Roman" w:cs="Times New Roman"/>
          <w:sz w:val="24"/>
          <w:szCs w:val="24"/>
        </w:rPr>
        <w:t xml:space="preserve"> seme</w:t>
      </w:r>
      <w:r w:rsidR="00F50570" w:rsidRPr="0015615B">
        <w:rPr>
          <w:rFonts w:ascii="Times New Roman" w:hAnsi="Times New Roman" w:cs="Times New Roman"/>
          <w:sz w:val="24"/>
          <w:szCs w:val="24"/>
        </w:rPr>
        <w:t xml:space="preserve">ntes, </w:t>
      </w:r>
      <w:r w:rsidR="00A419A4" w:rsidRPr="0015615B">
        <w:rPr>
          <w:rFonts w:ascii="Times New Roman" w:hAnsi="Times New Roman" w:cs="Times New Roman"/>
          <w:sz w:val="24"/>
          <w:szCs w:val="24"/>
        </w:rPr>
        <w:t>a</w:t>
      </w:r>
      <w:r w:rsidR="00F758A8" w:rsidRPr="0015615B">
        <w:rPr>
          <w:rFonts w:ascii="Times New Roman" w:hAnsi="Times New Roman" w:cs="Times New Roman"/>
          <w:sz w:val="24"/>
          <w:szCs w:val="24"/>
        </w:rPr>
        <w:t xml:space="preserve"> reclassificação da toxicidade dos agrotóxicos no governo de Fernando Henri</w:t>
      </w:r>
      <w:r w:rsidR="00A419A4" w:rsidRPr="0015615B">
        <w:rPr>
          <w:rFonts w:ascii="Times New Roman" w:hAnsi="Times New Roman" w:cs="Times New Roman"/>
          <w:sz w:val="24"/>
          <w:szCs w:val="24"/>
        </w:rPr>
        <w:t>que Cardoso (FHC) e a</w:t>
      </w:r>
      <w:r w:rsidR="00F758A8" w:rsidRPr="0015615B">
        <w:rPr>
          <w:rFonts w:ascii="Times New Roman" w:hAnsi="Times New Roman" w:cs="Times New Roman"/>
          <w:sz w:val="24"/>
          <w:szCs w:val="24"/>
        </w:rPr>
        <w:t xml:space="preserve"> permissão de </w:t>
      </w:r>
      <w:r w:rsidR="00BD717E" w:rsidRPr="0015615B">
        <w:rPr>
          <w:rFonts w:ascii="Times New Roman" w:hAnsi="Times New Roman" w:cs="Times New Roman"/>
          <w:sz w:val="24"/>
          <w:szCs w:val="24"/>
        </w:rPr>
        <w:t xml:space="preserve">maior </w:t>
      </w:r>
      <w:r w:rsidR="00F758A8" w:rsidRPr="0015615B">
        <w:rPr>
          <w:rFonts w:ascii="Times New Roman" w:hAnsi="Times New Roman" w:cs="Times New Roman"/>
          <w:sz w:val="24"/>
          <w:szCs w:val="24"/>
        </w:rPr>
        <w:lastRenderedPageBreak/>
        <w:t>aplic</w:t>
      </w:r>
      <w:r w:rsidR="00BD717E" w:rsidRPr="0015615B">
        <w:rPr>
          <w:rFonts w:ascii="Times New Roman" w:hAnsi="Times New Roman" w:cs="Times New Roman"/>
          <w:sz w:val="24"/>
          <w:szCs w:val="24"/>
        </w:rPr>
        <w:t>ação</w:t>
      </w:r>
      <w:r w:rsidR="00F50570" w:rsidRPr="0015615B">
        <w:rPr>
          <w:rFonts w:ascii="Times New Roman" w:hAnsi="Times New Roman" w:cs="Times New Roman"/>
          <w:sz w:val="24"/>
          <w:szCs w:val="24"/>
        </w:rPr>
        <w:t xml:space="preserve"> de</w:t>
      </w:r>
      <w:r w:rsidR="0029175E">
        <w:rPr>
          <w:rFonts w:ascii="Times New Roman" w:hAnsi="Times New Roman" w:cs="Times New Roman"/>
          <w:sz w:val="24"/>
          <w:szCs w:val="24"/>
        </w:rPr>
        <w:t xml:space="preserve"> Glifosato na soja. </w:t>
      </w:r>
      <w:r w:rsidR="00A419A4" w:rsidRPr="0015615B">
        <w:rPr>
          <w:rFonts w:ascii="Times New Roman" w:hAnsi="Times New Roman" w:cs="Times New Roman"/>
          <w:sz w:val="24"/>
          <w:szCs w:val="24"/>
        </w:rPr>
        <w:t>Ta</w:t>
      </w:r>
      <w:r w:rsidR="00156D94" w:rsidRPr="0015615B">
        <w:rPr>
          <w:rFonts w:ascii="Times New Roman" w:hAnsi="Times New Roman" w:cs="Times New Roman"/>
          <w:sz w:val="24"/>
          <w:szCs w:val="24"/>
        </w:rPr>
        <w:t>mbém há a</w:t>
      </w:r>
      <w:r w:rsidR="00A419A4" w:rsidRPr="0015615B">
        <w:rPr>
          <w:rFonts w:ascii="Times New Roman" w:hAnsi="Times New Roman" w:cs="Times New Roman"/>
          <w:sz w:val="24"/>
          <w:szCs w:val="24"/>
        </w:rPr>
        <w:t xml:space="preserve"> criação</w:t>
      </w:r>
      <w:r w:rsidR="00F758A8" w:rsidRPr="0015615B">
        <w:rPr>
          <w:rFonts w:ascii="Times New Roman" w:hAnsi="Times New Roman" w:cs="Times New Roman"/>
          <w:sz w:val="24"/>
          <w:szCs w:val="24"/>
        </w:rPr>
        <w:t xml:space="preserve"> </w:t>
      </w:r>
      <w:r w:rsidR="00A419A4" w:rsidRPr="0015615B">
        <w:rPr>
          <w:rFonts w:ascii="Times New Roman" w:hAnsi="Times New Roman" w:cs="Times New Roman"/>
          <w:sz w:val="24"/>
          <w:szCs w:val="24"/>
        </w:rPr>
        <w:t>d</w:t>
      </w:r>
      <w:r w:rsidR="00F758A8" w:rsidRPr="0015615B">
        <w:rPr>
          <w:rFonts w:ascii="Times New Roman" w:hAnsi="Times New Roman" w:cs="Times New Roman"/>
          <w:sz w:val="24"/>
          <w:szCs w:val="24"/>
        </w:rPr>
        <w:t>os fundos constitucion</w:t>
      </w:r>
      <w:r w:rsidR="00A419A4" w:rsidRPr="0015615B">
        <w:rPr>
          <w:rFonts w:ascii="Times New Roman" w:hAnsi="Times New Roman" w:cs="Times New Roman"/>
          <w:sz w:val="24"/>
          <w:szCs w:val="24"/>
        </w:rPr>
        <w:t>ais de financiamento, a aprovação da</w:t>
      </w:r>
      <w:r w:rsidR="00F758A8" w:rsidRPr="0015615B">
        <w:rPr>
          <w:rFonts w:ascii="Times New Roman" w:hAnsi="Times New Roman" w:cs="Times New Roman"/>
          <w:sz w:val="24"/>
          <w:szCs w:val="24"/>
        </w:rPr>
        <w:t xml:space="preserve"> lei </w:t>
      </w:r>
      <w:r w:rsidR="00A419A4" w:rsidRPr="0015615B">
        <w:rPr>
          <w:rFonts w:ascii="Times New Roman" w:hAnsi="Times New Roman" w:cs="Times New Roman"/>
          <w:sz w:val="24"/>
          <w:szCs w:val="24"/>
        </w:rPr>
        <w:t>Kandir, os investimentos do Programa de Aceleração do Crescimento (PAC), a criação do novo código florestal</w:t>
      </w:r>
      <w:r w:rsidR="00F758A8" w:rsidRPr="0015615B">
        <w:rPr>
          <w:rFonts w:ascii="Times New Roman" w:hAnsi="Times New Roman" w:cs="Times New Roman"/>
          <w:sz w:val="24"/>
          <w:szCs w:val="24"/>
        </w:rPr>
        <w:t xml:space="preserve"> e a regularização de terras na Amazô</w:t>
      </w:r>
      <w:r w:rsidR="00F50570" w:rsidRPr="0015615B">
        <w:rPr>
          <w:rFonts w:ascii="Times New Roman" w:hAnsi="Times New Roman" w:cs="Times New Roman"/>
          <w:sz w:val="24"/>
          <w:szCs w:val="24"/>
        </w:rPr>
        <w:t>nia, pel</w:t>
      </w:r>
      <w:r w:rsidR="00A419A4" w:rsidRPr="0015615B">
        <w:rPr>
          <w:rFonts w:ascii="Times New Roman" w:hAnsi="Times New Roman" w:cs="Times New Roman"/>
          <w:sz w:val="24"/>
          <w:szCs w:val="24"/>
        </w:rPr>
        <w:t xml:space="preserve">o programa </w:t>
      </w:r>
      <w:r w:rsidR="00D9541C" w:rsidRPr="0015615B">
        <w:rPr>
          <w:rFonts w:ascii="Times New Roman" w:hAnsi="Times New Roman" w:cs="Times New Roman"/>
          <w:sz w:val="24"/>
          <w:szCs w:val="24"/>
        </w:rPr>
        <w:t>T</w:t>
      </w:r>
      <w:r w:rsidR="00A419A4" w:rsidRPr="0015615B">
        <w:rPr>
          <w:rFonts w:ascii="Times New Roman" w:hAnsi="Times New Roman" w:cs="Times New Roman"/>
          <w:sz w:val="24"/>
          <w:szCs w:val="24"/>
        </w:rPr>
        <w:t>e</w:t>
      </w:r>
      <w:r w:rsidR="00D9541C" w:rsidRPr="0015615B">
        <w:rPr>
          <w:rFonts w:ascii="Times New Roman" w:hAnsi="Times New Roman" w:cs="Times New Roman"/>
          <w:sz w:val="24"/>
          <w:szCs w:val="24"/>
        </w:rPr>
        <w:t>rra L</w:t>
      </w:r>
      <w:r w:rsidR="00A419A4" w:rsidRPr="0015615B">
        <w:rPr>
          <w:rFonts w:ascii="Times New Roman" w:hAnsi="Times New Roman" w:cs="Times New Roman"/>
          <w:sz w:val="24"/>
          <w:szCs w:val="24"/>
        </w:rPr>
        <w:t>egal</w:t>
      </w:r>
      <w:r w:rsidR="00F758A8" w:rsidRPr="0015615B">
        <w:rPr>
          <w:rFonts w:ascii="Times New Roman" w:hAnsi="Times New Roman" w:cs="Times New Roman"/>
          <w:sz w:val="24"/>
          <w:szCs w:val="24"/>
        </w:rPr>
        <w:t>.</w:t>
      </w:r>
      <w:r w:rsidR="00E25FA5" w:rsidRPr="0015615B">
        <w:rPr>
          <w:rFonts w:ascii="Times New Roman" w:hAnsi="Times New Roman" w:cs="Times New Roman"/>
          <w:sz w:val="24"/>
          <w:szCs w:val="24"/>
        </w:rPr>
        <w:t xml:space="preserve"> </w:t>
      </w:r>
      <w:r w:rsidR="00235EA7" w:rsidRPr="0015615B">
        <w:rPr>
          <w:rFonts w:ascii="Times New Roman" w:hAnsi="Times New Roman" w:cs="Times New Roman"/>
          <w:sz w:val="24"/>
          <w:szCs w:val="24"/>
        </w:rPr>
        <w:t>Segundo Carvalho (2013), Delgado (2013) e Teixeira (2013) o</w:t>
      </w:r>
      <w:r w:rsidR="00F50570" w:rsidRPr="0015615B">
        <w:rPr>
          <w:rFonts w:ascii="Times New Roman" w:hAnsi="Times New Roman" w:cs="Times New Roman"/>
          <w:sz w:val="24"/>
          <w:szCs w:val="24"/>
        </w:rPr>
        <w:t>s resultados do agronegócio são</w:t>
      </w:r>
      <w:r w:rsidR="00235EA7" w:rsidRPr="0015615B">
        <w:rPr>
          <w:rFonts w:ascii="Times New Roman" w:hAnsi="Times New Roman" w:cs="Times New Roman"/>
          <w:sz w:val="24"/>
          <w:szCs w:val="24"/>
        </w:rPr>
        <w:t xml:space="preserve"> a permanência de trabalhadores em condições </w:t>
      </w:r>
      <w:r w:rsidR="009379F4">
        <w:rPr>
          <w:rFonts w:ascii="Times New Roman" w:hAnsi="Times New Roman" w:cs="Times New Roman"/>
          <w:sz w:val="24"/>
          <w:szCs w:val="24"/>
        </w:rPr>
        <w:t>“</w:t>
      </w:r>
      <w:r w:rsidR="00235EA7" w:rsidRPr="0015615B">
        <w:rPr>
          <w:rFonts w:ascii="Times New Roman" w:hAnsi="Times New Roman" w:cs="Times New Roman"/>
          <w:sz w:val="24"/>
          <w:szCs w:val="24"/>
        </w:rPr>
        <w:t>análog</w:t>
      </w:r>
      <w:r w:rsidR="00E25FA5" w:rsidRPr="0015615B">
        <w:rPr>
          <w:rFonts w:ascii="Times New Roman" w:hAnsi="Times New Roman" w:cs="Times New Roman"/>
          <w:sz w:val="24"/>
          <w:szCs w:val="24"/>
        </w:rPr>
        <w:t>as a de escravidão</w:t>
      </w:r>
      <w:r w:rsidR="009379F4">
        <w:rPr>
          <w:rFonts w:ascii="Times New Roman" w:hAnsi="Times New Roman" w:cs="Times New Roman"/>
          <w:sz w:val="24"/>
          <w:szCs w:val="24"/>
        </w:rPr>
        <w:t>”</w:t>
      </w:r>
      <w:r w:rsidR="00F50570" w:rsidRPr="0015615B">
        <w:rPr>
          <w:rFonts w:ascii="Times New Roman" w:hAnsi="Times New Roman" w:cs="Times New Roman"/>
          <w:sz w:val="24"/>
          <w:szCs w:val="24"/>
        </w:rPr>
        <w:t xml:space="preserve"> e</w:t>
      </w:r>
      <w:r w:rsidR="00235EA7" w:rsidRPr="0015615B">
        <w:rPr>
          <w:rFonts w:ascii="Times New Roman" w:hAnsi="Times New Roman" w:cs="Times New Roman"/>
          <w:sz w:val="24"/>
          <w:szCs w:val="24"/>
        </w:rPr>
        <w:t xml:space="preserve"> </w:t>
      </w:r>
      <w:r w:rsidR="00E25FA5" w:rsidRPr="0015615B">
        <w:rPr>
          <w:rFonts w:ascii="Times New Roman" w:hAnsi="Times New Roman" w:cs="Times New Roman"/>
          <w:sz w:val="24"/>
          <w:szCs w:val="24"/>
        </w:rPr>
        <w:t>a consequente apropriação de</w:t>
      </w:r>
      <w:r w:rsidR="00235EA7" w:rsidRPr="0015615B">
        <w:rPr>
          <w:rFonts w:ascii="Times New Roman" w:hAnsi="Times New Roman" w:cs="Times New Roman"/>
          <w:sz w:val="24"/>
          <w:szCs w:val="24"/>
        </w:rPr>
        <w:t xml:space="preserve"> mais-valia absoluta pelo capital, a</w:t>
      </w:r>
      <w:r w:rsidR="00F50570" w:rsidRPr="0015615B">
        <w:rPr>
          <w:rFonts w:ascii="Times New Roman" w:hAnsi="Times New Roman" w:cs="Times New Roman"/>
          <w:sz w:val="24"/>
          <w:szCs w:val="24"/>
        </w:rPr>
        <w:t>lém da</w:t>
      </w:r>
      <w:r w:rsidR="00235EA7" w:rsidRPr="0015615B">
        <w:rPr>
          <w:rFonts w:ascii="Times New Roman" w:hAnsi="Times New Roman" w:cs="Times New Roman"/>
          <w:sz w:val="24"/>
          <w:szCs w:val="24"/>
        </w:rPr>
        <w:t xml:space="preserve"> superexploração dos recursos naturais, a concentração da terra, da renda e a apropriação privada da natureza. </w:t>
      </w:r>
    </w:p>
    <w:p w:rsidR="0029175E" w:rsidRDefault="00235EA7" w:rsidP="0015615B">
      <w:pPr>
        <w:spacing w:after="0" w:line="240" w:lineRule="auto"/>
        <w:ind w:firstLine="709"/>
        <w:jc w:val="both"/>
        <w:rPr>
          <w:rFonts w:ascii="Times New Roman" w:hAnsi="Times New Roman" w:cs="Times New Roman"/>
          <w:sz w:val="24"/>
          <w:szCs w:val="24"/>
        </w:rPr>
      </w:pPr>
      <w:r w:rsidRPr="0015615B">
        <w:rPr>
          <w:rFonts w:ascii="Times New Roman" w:hAnsi="Times New Roman" w:cs="Times New Roman"/>
          <w:sz w:val="24"/>
          <w:szCs w:val="24"/>
        </w:rPr>
        <w:t>Carvalho (2013)</w:t>
      </w:r>
      <w:r w:rsidR="00F50570" w:rsidRPr="0015615B">
        <w:rPr>
          <w:rFonts w:ascii="Times New Roman" w:hAnsi="Times New Roman" w:cs="Times New Roman"/>
          <w:sz w:val="24"/>
          <w:szCs w:val="24"/>
        </w:rPr>
        <w:t xml:space="preserve"> afirma também que há</w:t>
      </w:r>
      <w:r w:rsidR="003F53F3" w:rsidRPr="0015615B">
        <w:rPr>
          <w:rFonts w:ascii="Times New Roman" w:hAnsi="Times New Roman" w:cs="Times New Roman"/>
          <w:sz w:val="24"/>
          <w:szCs w:val="24"/>
        </w:rPr>
        <w:t xml:space="preserve"> a expropriação do campesinato e</w:t>
      </w:r>
      <w:r w:rsidRPr="0015615B">
        <w:rPr>
          <w:rFonts w:ascii="Times New Roman" w:hAnsi="Times New Roman" w:cs="Times New Roman"/>
          <w:sz w:val="24"/>
          <w:szCs w:val="24"/>
        </w:rPr>
        <w:t xml:space="preserve"> </w:t>
      </w:r>
      <w:r w:rsidR="003F53F3" w:rsidRPr="0015615B">
        <w:rPr>
          <w:rFonts w:ascii="Times New Roman" w:hAnsi="Times New Roman" w:cs="Times New Roman"/>
          <w:sz w:val="24"/>
          <w:szCs w:val="24"/>
        </w:rPr>
        <w:t>sua negação co</w:t>
      </w:r>
      <w:r w:rsidR="00E25FA5" w:rsidRPr="0015615B">
        <w:rPr>
          <w:rFonts w:ascii="Times New Roman" w:hAnsi="Times New Roman" w:cs="Times New Roman"/>
          <w:sz w:val="24"/>
          <w:szCs w:val="24"/>
        </w:rPr>
        <w:t>mo sujeito social</w:t>
      </w:r>
      <w:r w:rsidR="003F53F3" w:rsidRPr="0015615B">
        <w:rPr>
          <w:rFonts w:ascii="Times New Roman" w:hAnsi="Times New Roman" w:cs="Times New Roman"/>
          <w:sz w:val="24"/>
          <w:szCs w:val="24"/>
        </w:rPr>
        <w:t xml:space="preserve">. O fato é que como declaram Fernandes &amp; </w:t>
      </w:r>
      <w:proofErr w:type="spellStart"/>
      <w:r w:rsidR="003F53F3" w:rsidRPr="0015615B">
        <w:rPr>
          <w:rFonts w:ascii="Times New Roman" w:hAnsi="Times New Roman" w:cs="Times New Roman"/>
          <w:sz w:val="24"/>
          <w:szCs w:val="24"/>
        </w:rPr>
        <w:t>Welch</w:t>
      </w:r>
      <w:proofErr w:type="spellEnd"/>
      <w:r w:rsidR="003F53F3" w:rsidRPr="0015615B">
        <w:rPr>
          <w:rFonts w:ascii="Times New Roman" w:hAnsi="Times New Roman" w:cs="Times New Roman"/>
          <w:sz w:val="24"/>
          <w:szCs w:val="24"/>
        </w:rPr>
        <w:t xml:space="preserve"> (2008), no agronegócio a posição do campesinato é subalterna. Isto porque em acordo com Delgado (2013), no centro da disputa está </w:t>
      </w:r>
      <w:r w:rsidR="00F50570" w:rsidRPr="0015615B">
        <w:rPr>
          <w:rFonts w:ascii="Times New Roman" w:hAnsi="Times New Roman" w:cs="Times New Roman"/>
          <w:sz w:val="24"/>
          <w:szCs w:val="24"/>
        </w:rPr>
        <w:t xml:space="preserve">a </w:t>
      </w:r>
      <w:r w:rsidR="003F53F3" w:rsidRPr="0015615B">
        <w:rPr>
          <w:rFonts w:ascii="Times New Roman" w:hAnsi="Times New Roman" w:cs="Times New Roman"/>
          <w:sz w:val="24"/>
          <w:szCs w:val="24"/>
        </w:rPr>
        <w:t>renda da terra.</w:t>
      </w:r>
      <w:r w:rsidR="00E25FA5" w:rsidRPr="0015615B">
        <w:rPr>
          <w:rFonts w:ascii="Times New Roman" w:hAnsi="Times New Roman" w:cs="Times New Roman"/>
          <w:sz w:val="24"/>
          <w:szCs w:val="24"/>
        </w:rPr>
        <w:t xml:space="preserve"> </w:t>
      </w:r>
      <w:r w:rsidR="003F53F3" w:rsidRPr="0015615B">
        <w:rPr>
          <w:rFonts w:ascii="Times New Roman" w:hAnsi="Times New Roman" w:cs="Times New Roman"/>
          <w:sz w:val="24"/>
          <w:szCs w:val="24"/>
        </w:rPr>
        <w:t>Portanto, entende-s</w:t>
      </w:r>
      <w:r w:rsidR="006E1190" w:rsidRPr="0015615B">
        <w:rPr>
          <w:rFonts w:ascii="Times New Roman" w:hAnsi="Times New Roman" w:cs="Times New Roman"/>
          <w:sz w:val="24"/>
          <w:szCs w:val="24"/>
        </w:rPr>
        <w:t>e que Delgado (2013) é coerente</w:t>
      </w:r>
      <w:r w:rsidR="00F50570" w:rsidRPr="0015615B">
        <w:rPr>
          <w:rFonts w:ascii="Times New Roman" w:hAnsi="Times New Roman" w:cs="Times New Roman"/>
          <w:sz w:val="24"/>
          <w:szCs w:val="24"/>
        </w:rPr>
        <w:t xml:space="preserve"> ao</w:t>
      </w:r>
      <w:r w:rsidR="003F53F3" w:rsidRPr="0015615B">
        <w:rPr>
          <w:rFonts w:ascii="Times New Roman" w:hAnsi="Times New Roman" w:cs="Times New Roman"/>
          <w:sz w:val="24"/>
          <w:szCs w:val="24"/>
        </w:rPr>
        <w:t xml:space="preserve"> afirma</w:t>
      </w:r>
      <w:r w:rsidR="00F50570" w:rsidRPr="0015615B">
        <w:rPr>
          <w:rFonts w:ascii="Times New Roman" w:hAnsi="Times New Roman" w:cs="Times New Roman"/>
          <w:sz w:val="24"/>
          <w:szCs w:val="24"/>
        </w:rPr>
        <w:t>r</w:t>
      </w:r>
      <w:r w:rsidR="003F53F3" w:rsidRPr="0015615B">
        <w:rPr>
          <w:rFonts w:ascii="Times New Roman" w:hAnsi="Times New Roman" w:cs="Times New Roman"/>
          <w:sz w:val="24"/>
          <w:szCs w:val="24"/>
        </w:rPr>
        <w:t xml:space="preserve"> que o agronegócio é um pacto de poder de economia po</w:t>
      </w:r>
      <w:r w:rsidR="00F50570" w:rsidRPr="0015615B">
        <w:rPr>
          <w:rFonts w:ascii="Times New Roman" w:hAnsi="Times New Roman" w:cs="Times New Roman"/>
          <w:sz w:val="24"/>
          <w:szCs w:val="24"/>
        </w:rPr>
        <w:t xml:space="preserve">lítica. Nele, como comprovam Teixeira (2013) e </w:t>
      </w:r>
      <w:r w:rsidR="006E1190" w:rsidRPr="0015615B">
        <w:rPr>
          <w:rFonts w:ascii="Times New Roman" w:hAnsi="Times New Roman" w:cs="Times New Roman"/>
          <w:sz w:val="24"/>
          <w:szCs w:val="24"/>
        </w:rPr>
        <w:t xml:space="preserve">Fernandes &amp; </w:t>
      </w:r>
      <w:proofErr w:type="spellStart"/>
      <w:r w:rsidR="006E1190" w:rsidRPr="0015615B">
        <w:rPr>
          <w:rFonts w:ascii="Times New Roman" w:hAnsi="Times New Roman" w:cs="Times New Roman"/>
          <w:sz w:val="24"/>
          <w:szCs w:val="24"/>
        </w:rPr>
        <w:t>Intini</w:t>
      </w:r>
      <w:proofErr w:type="spellEnd"/>
      <w:r w:rsidR="006E1190" w:rsidRPr="0015615B">
        <w:rPr>
          <w:rFonts w:ascii="Times New Roman" w:hAnsi="Times New Roman" w:cs="Times New Roman"/>
          <w:sz w:val="24"/>
          <w:szCs w:val="24"/>
        </w:rPr>
        <w:t xml:space="preserve"> (2013), é evidente o apoio do Estado, com a adoção de uma posição subalterna frente aos interesses dos grupos hegemônicos que atuam no agrário. E como descreve Bezerra (2009), sua sustentação se faz também por uma produção conceitual, que o transforma</w:t>
      </w:r>
      <w:r w:rsidR="00F50570" w:rsidRPr="0015615B">
        <w:rPr>
          <w:rFonts w:ascii="Times New Roman" w:hAnsi="Times New Roman" w:cs="Times New Roman"/>
          <w:sz w:val="24"/>
          <w:szCs w:val="24"/>
        </w:rPr>
        <w:t xml:space="preserve"> num metametaconceito. </w:t>
      </w:r>
      <w:r w:rsidR="006E1190" w:rsidRPr="0015615B">
        <w:rPr>
          <w:rFonts w:ascii="Times New Roman" w:hAnsi="Times New Roman" w:cs="Times New Roman"/>
          <w:sz w:val="24"/>
          <w:szCs w:val="24"/>
        </w:rPr>
        <w:t>O fato é que seus resultados tem sido ne</w:t>
      </w:r>
      <w:r w:rsidR="0079598D" w:rsidRPr="0015615B">
        <w:rPr>
          <w:rFonts w:ascii="Times New Roman" w:hAnsi="Times New Roman" w:cs="Times New Roman"/>
          <w:sz w:val="24"/>
          <w:szCs w:val="24"/>
        </w:rPr>
        <w:t>fastos para o campesinato, com a ampliaçã</w:t>
      </w:r>
      <w:r w:rsidR="00E25FA5" w:rsidRPr="0015615B">
        <w:rPr>
          <w:rFonts w:ascii="Times New Roman" w:hAnsi="Times New Roman" w:cs="Times New Roman"/>
          <w:sz w:val="24"/>
          <w:szCs w:val="24"/>
        </w:rPr>
        <w:t>o</w:t>
      </w:r>
      <w:r w:rsidR="0079598D" w:rsidRPr="0015615B">
        <w:rPr>
          <w:rFonts w:ascii="Times New Roman" w:hAnsi="Times New Roman" w:cs="Times New Roman"/>
          <w:sz w:val="24"/>
          <w:szCs w:val="24"/>
        </w:rPr>
        <w:t xml:space="preserve"> da subalternida</w:t>
      </w:r>
      <w:r w:rsidR="00F50570" w:rsidRPr="0015615B">
        <w:rPr>
          <w:rFonts w:ascii="Times New Roman" w:hAnsi="Times New Roman" w:cs="Times New Roman"/>
          <w:sz w:val="24"/>
          <w:szCs w:val="24"/>
        </w:rPr>
        <w:t>de</w:t>
      </w:r>
      <w:r w:rsidR="00E25FA5" w:rsidRPr="0015615B">
        <w:rPr>
          <w:rFonts w:ascii="Times New Roman" w:hAnsi="Times New Roman" w:cs="Times New Roman"/>
          <w:sz w:val="24"/>
          <w:szCs w:val="24"/>
        </w:rPr>
        <w:t>. N</w:t>
      </w:r>
      <w:r w:rsidR="0079598D" w:rsidRPr="0015615B">
        <w:rPr>
          <w:rFonts w:ascii="Times New Roman" w:hAnsi="Times New Roman" w:cs="Times New Roman"/>
          <w:sz w:val="24"/>
          <w:szCs w:val="24"/>
        </w:rPr>
        <w:t xml:space="preserve">o próximo tópico a discussão se verte para o “cerco” do campesinato pelo capital no município de Itapuranga. </w:t>
      </w:r>
    </w:p>
    <w:p w:rsidR="0029175E" w:rsidRDefault="0029175E" w:rsidP="0015615B">
      <w:pPr>
        <w:spacing w:after="0" w:line="240" w:lineRule="auto"/>
        <w:ind w:firstLine="709"/>
        <w:jc w:val="both"/>
        <w:rPr>
          <w:rFonts w:ascii="Times New Roman" w:hAnsi="Times New Roman" w:cs="Times New Roman"/>
          <w:sz w:val="24"/>
          <w:szCs w:val="24"/>
        </w:rPr>
      </w:pPr>
    </w:p>
    <w:p w:rsidR="0029175E" w:rsidRPr="0015615B" w:rsidRDefault="0029175E" w:rsidP="0015615B">
      <w:pPr>
        <w:spacing w:after="0" w:line="240" w:lineRule="auto"/>
        <w:ind w:firstLine="709"/>
        <w:jc w:val="both"/>
        <w:rPr>
          <w:rFonts w:ascii="Times New Roman" w:hAnsi="Times New Roman" w:cs="Times New Roman"/>
          <w:sz w:val="24"/>
          <w:szCs w:val="24"/>
        </w:rPr>
      </w:pPr>
    </w:p>
    <w:p w:rsidR="00374EF8" w:rsidRDefault="0003664D" w:rsidP="0015615B">
      <w:pPr>
        <w:spacing w:after="0" w:line="240" w:lineRule="auto"/>
        <w:jc w:val="both"/>
        <w:rPr>
          <w:rFonts w:ascii="Times New Roman" w:hAnsi="Times New Roman" w:cs="Times New Roman"/>
          <w:b/>
          <w:sz w:val="24"/>
          <w:szCs w:val="24"/>
        </w:rPr>
      </w:pPr>
      <w:r w:rsidRPr="0015615B">
        <w:rPr>
          <w:rFonts w:ascii="Times New Roman" w:hAnsi="Times New Roman" w:cs="Times New Roman"/>
          <w:b/>
          <w:sz w:val="24"/>
          <w:szCs w:val="24"/>
        </w:rPr>
        <w:t>O Cerco do c</w:t>
      </w:r>
      <w:r w:rsidR="00F00208" w:rsidRPr="0015615B">
        <w:rPr>
          <w:rFonts w:ascii="Times New Roman" w:hAnsi="Times New Roman" w:cs="Times New Roman"/>
          <w:b/>
          <w:sz w:val="24"/>
          <w:szCs w:val="24"/>
        </w:rPr>
        <w:t>ampesinato</w:t>
      </w:r>
      <w:r w:rsidRPr="0015615B">
        <w:rPr>
          <w:rFonts w:ascii="Times New Roman" w:hAnsi="Times New Roman" w:cs="Times New Roman"/>
          <w:b/>
          <w:sz w:val="24"/>
          <w:szCs w:val="24"/>
        </w:rPr>
        <w:t xml:space="preserve"> em I</w:t>
      </w:r>
      <w:r w:rsidR="00F50570" w:rsidRPr="0015615B">
        <w:rPr>
          <w:rFonts w:ascii="Times New Roman" w:hAnsi="Times New Roman" w:cs="Times New Roman"/>
          <w:b/>
          <w:sz w:val="24"/>
          <w:szCs w:val="24"/>
        </w:rPr>
        <w:t>tapuranga</w:t>
      </w:r>
      <w:r w:rsidRPr="0015615B">
        <w:rPr>
          <w:rFonts w:ascii="Times New Roman" w:hAnsi="Times New Roman" w:cs="Times New Roman"/>
          <w:b/>
          <w:sz w:val="24"/>
          <w:szCs w:val="24"/>
        </w:rPr>
        <w:t xml:space="preserve"> e a articulação das r</w:t>
      </w:r>
      <w:r w:rsidR="00F00208" w:rsidRPr="0015615B">
        <w:rPr>
          <w:rFonts w:ascii="Times New Roman" w:hAnsi="Times New Roman" w:cs="Times New Roman"/>
          <w:b/>
          <w:sz w:val="24"/>
          <w:szCs w:val="24"/>
        </w:rPr>
        <w:t>esistências</w:t>
      </w:r>
    </w:p>
    <w:p w:rsidR="0029175E" w:rsidRPr="0015615B" w:rsidRDefault="0029175E" w:rsidP="0015615B">
      <w:pPr>
        <w:spacing w:after="0" w:line="240" w:lineRule="auto"/>
        <w:jc w:val="both"/>
        <w:rPr>
          <w:rFonts w:ascii="Times New Roman" w:hAnsi="Times New Roman" w:cs="Times New Roman"/>
          <w:b/>
          <w:sz w:val="24"/>
          <w:szCs w:val="24"/>
        </w:rPr>
      </w:pPr>
    </w:p>
    <w:p w:rsidR="0015615B" w:rsidRDefault="00C2335F" w:rsidP="007F22DA">
      <w:pPr>
        <w:spacing w:after="0" w:line="240" w:lineRule="auto"/>
        <w:ind w:firstLine="709"/>
        <w:jc w:val="both"/>
        <w:rPr>
          <w:rFonts w:ascii="Times New Roman" w:hAnsi="Times New Roman" w:cs="Times New Roman"/>
          <w:sz w:val="24"/>
          <w:szCs w:val="24"/>
        </w:rPr>
      </w:pPr>
      <w:r w:rsidRPr="0015615B">
        <w:rPr>
          <w:rFonts w:ascii="Times New Roman" w:hAnsi="Times New Roman" w:cs="Times New Roman"/>
          <w:sz w:val="24"/>
          <w:szCs w:val="24"/>
        </w:rPr>
        <w:t>Segundo Brandão (1986) a formação do município de Itapur</w:t>
      </w:r>
      <w:r w:rsidR="00F00208" w:rsidRPr="0015615B">
        <w:rPr>
          <w:rFonts w:ascii="Times New Roman" w:hAnsi="Times New Roman" w:cs="Times New Roman"/>
          <w:sz w:val="24"/>
          <w:szCs w:val="24"/>
        </w:rPr>
        <w:t>anga envolveu a migração</w:t>
      </w:r>
      <w:r w:rsidRPr="0015615B">
        <w:rPr>
          <w:rFonts w:ascii="Times New Roman" w:hAnsi="Times New Roman" w:cs="Times New Roman"/>
          <w:sz w:val="24"/>
          <w:szCs w:val="24"/>
        </w:rPr>
        <w:t xml:space="preserve"> de famílias vindas de outras partes do estado</w:t>
      </w:r>
      <w:r w:rsidR="00F00208" w:rsidRPr="0015615B">
        <w:rPr>
          <w:rFonts w:ascii="Times New Roman" w:hAnsi="Times New Roman" w:cs="Times New Roman"/>
          <w:sz w:val="24"/>
          <w:szCs w:val="24"/>
        </w:rPr>
        <w:t xml:space="preserve"> de Goiás,</w:t>
      </w:r>
      <w:r w:rsidRPr="0015615B">
        <w:rPr>
          <w:rFonts w:ascii="Times New Roman" w:hAnsi="Times New Roman" w:cs="Times New Roman"/>
          <w:sz w:val="24"/>
          <w:szCs w:val="24"/>
        </w:rPr>
        <w:t xml:space="preserve"> assim como de outros estados da federação, como Minas Gerais. De acordo com o autor,</w:t>
      </w:r>
      <w:r w:rsidR="00F00208" w:rsidRPr="0015615B">
        <w:rPr>
          <w:rFonts w:ascii="Times New Roman" w:hAnsi="Times New Roman" w:cs="Times New Roman"/>
          <w:sz w:val="24"/>
          <w:szCs w:val="24"/>
        </w:rPr>
        <w:t xml:space="preserve"> em muitas situações elas</w:t>
      </w:r>
      <w:r w:rsidRPr="0015615B">
        <w:rPr>
          <w:rFonts w:ascii="Times New Roman" w:hAnsi="Times New Roman" w:cs="Times New Roman"/>
          <w:sz w:val="24"/>
          <w:szCs w:val="24"/>
        </w:rPr>
        <w:t xml:space="preserve"> venderam suas propriedades nas regiões de origem para comprar outra</w:t>
      </w:r>
      <w:r w:rsidR="00C86048" w:rsidRPr="0015615B">
        <w:rPr>
          <w:rFonts w:ascii="Times New Roman" w:hAnsi="Times New Roman" w:cs="Times New Roman"/>
          <w:sz w:val="24"/>
          <w:szCs w:val="24"/>
        </w:rPr>
        <w:t>s</w:t>
      </w:r>
      <w:r w:rsidRPr="0015615B">
        <w:rPr>
          <w:rFonts w:ascii="Times New Roman" w:hAnsi="Times New Roman" w:cs="Times New Roman"/>
          <w:sz w:val="24"/>
          <w:szCs w:val="24"/>
        </w:rPr>
        <w:t xml:space="preserve"> no</w:t>
      </w:r>
      <w:r w:rsidR="00F00208" w:rsidRPr="0015615B">
        <w:rPr>
          <w:rFonts w:ascii="Times New Roman" w:hAnsi="Times New Roman" w:cs="Times New Roman"/>
          <w:sz w:val="24"/>
          <w:szCs w:val="24"/>
        </w:rPr>
        <w:t xml:space="preserve"> município. Inicialmente a venda da</w:t>
      </w:r>
      <w:r w:rsidR="00BC1C3D" w:rsidRPr="0015615B">
        <w:rPr>
          <w:rFonts w:ascii="Times New Roman" w:hAnsi="Times New Roman" w:cs="Times New Roman"/>
          <w:sz w:val="24"/>
          <w:szCs w:val="24"/>
        </w:rPr>
        <w:t xml:space="preserve"> terra em outros e</w:t>
      </w:r>
      <w:r w:rsidRPr="0015615B">
        <w:rPr>
          <w:rFonts w:ascii="Times New Roman" w:hAnsi="Times New Roman" w:cs="Times New Roman"/>
          <w:sz w:val="24"/>
          <w:szCs w:val="24"/>
        </w:rPr>
        <w:t>stados permitia a aqui</w:t>
      </w:r>
      <w:r w:rsidR="00C86048" w:rsidRPr="0015615B">
        <w:rPr>
          <w:rFonts w:ascii="Times New Roman" w:hAnsi="Times New Roman" w:cs="Times New Roman"/>
          <w:sz w:val="24"/>
          <w:szCs w:val="24"/>
        </w:rPr>
        <w:t>sição de uma área exten</w:t>
      </w:r>
      <w:r w:rsidR="00E25FA5" w:rsidRPr="0015615B">
        <w:rPr>
          <w:rFonts w:ascii="Times New Roman" w:hAnsi="Times New Roman" w:cs="Times New Roman"/>
          <w:sz w:val="24"/>
          <w:szCs w:val="24"/>
        </w:rPr>
        <w:t>sa</w:t>
      </w:r>
      <w:r w:rsidR="00F00208" w:rsidRPr="0015615B">
        <w:rPr>
          <w:rFonts w:ascii="Times New Roman" w:hAnsi="Times New Roman" w:cs="Times New Roman"/>
          <w:sz w:val="24"/>
          <w:szCs w:val="24"/>
        </w:rPr>
        <w:t>, pois</w:t>
      </w:r>
      <w:r w:rsidR="00E25FA5" w:rsidRPr="0015615B">
        <w:rPr>
          <w:rFonts w:ascii="Times New Roman" w:hAnsi="Times New Roman" w:cs="Times New Roman"/>
          <w:sz w:val="24"/>
          <w:szCs w:val="24"/>
        </w:rPr>
        <w:t xml:space="preserve"> no município a terra tinha</w:t>
      </w:r>
      <w:r w:rsidR="0051593B" w:rsidRPr="0015615B">
        <w:rPr>
          <w:rFonts w:ascii="Times New Roman" w:hAnsi="Times New Roman" w:cs="Times New Roman"/>
          <w:sz w:val="24"/>
          <w:szCs w:val="24"/>
        </w:rPr>
        <w:t xml:space="preserve"> preços irrisórios</w:t>
      </w:r>
      <w:r w:rsidR="00C86048" w:rsidRPr="0015615B">
        <w:rPr>
          <w:rFonts w:ascii="Times New Roman" w:hAnsi="Times New Roman" w:cs="Times New Roman"/>
          <w:sz w:val="24"/>
          <w:szCs w:val="24"/>
        </w:rPr>
        <w:t xml:space="preserve"> e </w:t>
      </w:r>
      <w:r w:rsidR="00E25FA5" w:rsidRPr="0015615B">
        <w:rPr>
          <w:rFonts w:ascii="Times New Roman" w:hAnsi="Times New Roman" w:cs="Times New Roman"/>
          <w:sz w:val="24"/>
          <w:szCs w:val="24"/>
        </w:rPr>
        <w:t>eram</w:t>
      </w:r>
      <w:r w:rsidR="00C86048" w:rsidRPr="0015615B">
        <w:rPr>
          <w:rFonts w:ascii="Times New Roman" w:hAnsi="Times New Roman" w:cs="Times New Roman"/>
          <w:sz w:val="24"/>
          <w:szCs w:val="24"/>
        </w:rPr>
        <w:t xml:space="preserve"> doadas pelo Estado</w:t>
      </w:r>
      <w:r w:rsidR="0051593B" w:rsidRPr="0015615B">
        <w:rPr>
          <w:rFonts w:ascii="Times New Roman" w:hAnsi="Times New Roman" w:cs="Times New Roman"/>
          <w:sz w:val="24"/>
          <w:szCs w:val="24"/>
        </w:rPr>
        <w:t>, mediante a simples requisição</w:t>
      </w:r>
      <w:r w:rsidR="00C86048" w:rsidRPr="0015615B">
        <w:rPr>
          <w:rFonts w:ascii="Times New Roman" w:hAnsi="Times New Roman" w:cs="Times New Roman"/>
          <w:sz w:val="24"/>
          <w:szCs w:val="24"/>
        </w:rPr>
        <w:t>.</w:t>
      </w:r>
      <w:r w:rsidR="00E25FA5" w:rsidRPr="0015615B">
        <w:rPr>
          <w:rFonts w:ascii="Times New Roman" w:hAnsi="Times New Roman" w:cs="Times New Roman"/>
          <w:sz w:val="24"/>
          <w:szCs w:val="24"/>
        </w:rPr>
        <w:t xml:space="preserve"> </w:t>
      </w:r>
      <w:r w:rsidR="00C86048" w:rsidRPr="0015615B">
        <w:rPr>
          <w:rFonts w:ascii="Times New Roman" w:hAnsi="Times New Roman" w:cs="Times New Roman"/>
          <w:sz w:val="24"/>
          <w:szCs w:val="24"/>
        </w:rPr>
        <w:t>Brandão (1986) desta</w:t>
      </w:r>
      <w:r w:rsidR="007B0122" w:rsidRPr="0015615B">
        <w:rPr>
          <w:rFonts w:ascii="Times New Roman" w:hAnsi="Times New Roman" w:cs="Times New Roman"/>
          <w:sz w:val="24"/>
          <w:szCs w:val="24"/>
        </w:rPr>
        <w:t>ca</w:t>
      </w:r>
      <w:r w:rsidR="00E25FA5" w:rsidRPr="0015615B">
        <w:rPr>
          <w:rFonts w:ascii="Times New Roman" w:hAnsi="Times New Roman" w:cs="Times New Roman"/>
          <w:sz w:val="24"/>
          <w:szCs w:val="24"/>
        </w:rPr>
        <w:t xml:space="preserve"> a migração de</w:t>
      </w:r>
      <w:r w:rsidR="00C86048" w:rsidRPr="0015615B">
        <w:rPr>
          <w:rFonts w:ascii="Times New Roman" w:hAnsi="Times New Roman" w:cs="Times New Roman"/>
          <w:sz w:val="24"/>
          <w:szCs w:val="24"/>
        </w:rPr>
        <w:t xml:space="preserve"> famílias juntas, sob o comando do chefe</w:t>
      </w:r>
      <w:r w:rsidR="00170B26" w:rsidRPr="0015615B">
        <w:rPr>
          <w:rFonts w:ascii="Times New Roman" w:hAnsi="Times New Roman" w:cs="Times New Roman"/>
          <w:sz w:val="24"/>
          <w:szCs w:val="24"/>
        </w:rPr>
        <w:t xml:space="preserve"> de uma delas, geralmente o</w:t>
      </w:r>
      <w:r w:rsidR="00C86048" w:rsidRPr="0015615B">
        <w:rPr>
          <w:rFonts w:ascii="Times New Roman" w:hAnsi="Times New Roman" w:cs="Times New Roman"/>
          <w:sz w:val="24"/>
          <w:szCs w:val="24"/>
        </w:rPr>
        <w:t xml:space="preserve"> que</w:t>
      </w:r>
      <w:r w:rsidR="00280EAD" w:rsidRPr="0015615B">
        <w:rPr>
          <w:rFonts w:ascii="Times New Roman" w:hAnsi="Times New Roman" w:cs="Times New Roman"/>
          <w:sz w:val="24"/>
          <w:szCs w:val="24"/>
        </w:rPr>
        <w:t xml:space="preserve"> adqui</w:t>
      </w:r>
      <w:r w:rsidR="007B0122" w:rsidRPr="0015615B">
        <w:rPr>
          <w:rFonts w:ascii="Times New Roman" w:hAnsi="Times New Roman" w:cs="Times New Roman"/>
          <w:sz w:val="24"/>
          <w:szCs w:val="24"/>
        </w:rPr>
        <w:t>ria</w:t>
      </w:r>
      <w:r w:rsidR="00572F7C" w:rsidRPr="0015615B">
        <w:rPr>
          <w:rFonts w:ascii="Times New Roman" w:hAnsi="Times New Roman" w:cs="Times New Roman"/>
          <w:sz w:val="24"/>
          <w:szCs w:val="24"/>
        </w:rPr>
        <w:t xml:space="preserve"> a terra. A</w:t>
      </w:r>
      <w:r w:rsidR="00C86048" w:rsidRPr="0015615B">
        <w:rPr>
          <w:rFonts w:ascii="Times New Roman" w:hAnsi="Times New Roman" w:cs="Times New Roman"/>
          <w:sz w:val="24"/>
          <w:szCs w:val="24"/>
        </w:rPr>
        <w:t xml:space="preserve"> migração se </w:t>
      </w:r>
      <w:r w:rsidR="00E75021" w:rsidRPr="0015615B">
        <w:rPr>
          <w:rFonts w:ascii="Times New Roman" w:hAnsi="Times New Roman" w:cs="Times New Roman"/>
          <w:sz w:val="24"/>
          <w:szCs w:val="24"/>
        </w:rPr>
        <w:t>constituía</w:t>
      </w:r>
      <w:r w:rsidR="00C86048" w:rsidRPr="0015615B">
        <w:rPr>
          <w:rFonts w:ascii="Times New Roman" w:hAnsi="Times New Roman" w:cs="Times New Roman"/>
          <w:sz w:val="24"/>
          <w:szCs w:val="24"/>
        </w:rPr>
        <w:t xml:space="preserve"> </w:t>
      </w:r>
      <w:r w:rsidR="0051593B" w:rsidRPr="0015615B">
        <w:rPr>
          <w:rFonts w:ascii="Times New Roman" w:hAnsi="Times New Roman" w:cs="Times New Roman"/>
          <w:sz w:val="24"/>
          <w:szCs w:val="24"/>
        </w:rPr>
        <w:t>do núcleo familiar</w:t>
      </w:r>
      <w:r w:rsidR="00173A75" w:rsidRPr="0015615B">
        <w:rPr>
          <w:rFonts w:ascii="Times New Roman" w:hAnsi="Times New Roman" w:cs="Times New Roman"/>
          <w:sz w:val="24"/>
          <w:szCs w:val="24"/>
        </w:rPr>
        <w:t xml:space="preserve"> </w:t>
      </w:r>
      <w:r w:rsidR="00E25FA5" w:rsidRPr="0015615B">
        <w:rPr>
          <w:rFonts w:ascii="Times New Roman" w:hAnsi="Times New Roman" w:cs="Times New Roman"/>
          <w:sz w:val="24"/>
          <w:szCs w:val="24"/>
        </w:rPr>
        <w:t xml:space="preserve">extenso </w:t>
      </w:r>
      <w:r w:rsidR="00173A75" w:rsidRPr="0015615B">
        <w:rPr>
          <w:rFonts w:ascii="Times New Roman" w:hAnsi="Times New Roman" w:cs="Times New Roman"/>
          <w:sz w:val="24"/>
          <w:szCs w:val="24"/>
        </w:rPr>
        <w:t>do</w:t>
      </w:r>
      <w:r w:rsidR="00E25FA5" w:rsidRPr="0015615B">
        <w:rPr>
          <w:rFonts w:ascii="Times New Roman" w:hAnsi="Times New Roman" w:cs="Times New Roman"/>
          <w:sz w:val="24"/>
          <w:szCs w:val="24"/>
        </w:rPr>
        <w:t xml:space="preserve"> proprietário e das </w:t>
      </w:r>
      <w:r w:rsidR="0051593B" w:rsidRPr="0015615B">
        <w:rPr>
          <w:rFonts w:ascii="Times New Roman" w:hAnsi="Times New Roman" w:cs="Times New Roman"/>
          <w:sz w:val="24"/>
          <w:szCs w:val="24"/>
        </w:rPr>
        <w:t>famílias agregadas, form</w:t>
      </w:r>
      <w:r w:rsidR="00E75021" w:rsidRPr="0015615B">
        <w:rPr>
          <w:rFonts w:ascii="Times New Roman" w:hAnsi="Times New Roman" w:cs="Times New Roman"/>
          <w:sz w:val="24"/>
          <w:szCs w:val="24"/>
        </w:rPr>
        <w:t>ada pelos</w:t>
      </w:r>
      <w:r w:rsidR="0051593B" w:rsidRPr="0015615B">
        <w:rPr>
          <w:rFonts w:ascii="Times New Roman" w:hAnsi="Times New Roman" w:cs="Times New Roman"/>
          <w:sz w:val="24"/>
          <w:szCs w:val="24"/>
        </w:rPr>
        <w:t xml:space="preserve"> que não tinham laços consanguíneos</w:t>
      </w:r>
      <w:r w:rsidR="00E75021" w:rsidRPr="0015615B">
        <w:rPr>
          <w:rFonts w:ascii="Times New Roman" w:hAnsi="Times New Roman" w:cs="Times New Roman"/>
          <w:sz w:val="24"/>
          <w:szCs w:val="24"/>
        </w:rPr>
        <w:t xml:space="preserve"> com o</w:t>
      </w:r>
      <w:r w:rsidR="00572F7C" w:rsidRPr="0015615B">
        <w:rPr>
          <w:rFonts w:ascii="Times New Roman" w:hAnsi="Times New Roman" w:cs="Times New Roman"/>
          <w:sz w:val="24"/>
          <w:szCs w:val="24"/>
        </w:rPr>
        <w:t xml:space="preserve"> </w:t>
      </w:r>
      <w:r w:rsidR="00E25FA5" w:rsidRPr="0015615B">
        <w:rPr>
          <w:rFonts w:ascii="Times New Roman" w:hAnsi="Times New Roman" w:cs="Times New Roman"/>
          <w:sz w:val="24"/>
          <w:szCs w:val="24"/>
        </w:rPr>
        <w:t>dono</w:t>
      </w:r>
      <w:r w:rsidR="0051593B" w:rsidRPr="0015615B">
        <w:rPr>
          <w:rFonts w:ascii="Times New Roman" w:hAnsi="Times New Roman" w:cs="Times New Roman"/>
          <w:sz w:val="24"/>
          <w:szCs w:val="24"/>
        </w:rPr>
        <w:t>.</w:t>
      </w:r>
      <w:r w:rsidR="00E75021" w:rsidRPr="0015615B">
        <w:rPr>
          <w:rFonts w:ascii="Times New Roman" w:hAnsi="Times New Roman" w:cs="Times New Roman"/>
          <w:sz w:val="24"/>
          <w:szCs w:val="24"/>
        </w:rPr>
        <w:t xml:space="preserve"> </w:t>
      </w:r>
      <w:r w:rsidR="0051593B" w:rsidRPr="0015615B">
        <w:rPr>
          <w:rFonts w:ascii="Times New Roman" w:hAnsi="Times New Roman" w:cs="Times New Roman"/>
          <w:sz w:val="24"/>
          <w:szCs w:val="24"/>
        </w:rPr>
        <w:t>A ocupaç</w:t>
      </w:r>
      <w:r w:rsidR="00572F7C" w:rsidRPr="0015615B">
        <w:rPr>
          <w:rFonts w:ascii="Times New Roman" w:hAnsi="Times New Roman" w:cs="Times New Roman"/>
          <w:sz w:val="24"/>
          <w:szCs w:val="24"/>
        </w:rPr>
        <w:t xml:space="preserve">ão da fazenda era realizada pelo parentesco e segundo um </w:t>
      </w:r>
      <w:r w:rsidR="0051593B" w:rsidRPr="0015615B">
        <w:rPr>
          <w:rFonts w:ascii="Times New Roman" w:hAnsi="Times New Roman" w:cs="Times New Roman"/>
          <w:sz w:val="24"/>
          <w:szCs w:val="24"/>
        </w:rPr>
        <w:t xml:space="preserve">conjunto de deveres e obrigações. </w:t>
      </w:r>
    </w:p>
    <w:p w:rsidR="004A285E" w:rsidRDefault="004A285E" w:rsidP="004A28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5615B">
        <w:rPr>
          <w:rFonts w:ascii="Times New Roman" w:hAnsi="Times New Roman" w:cs="Times New Roman"/>
          <w:sz w:val="24"/>
          <w:szCs w:val="24"/>
        </w:rPr>
        <w:t xml:space="preserve">Por exemplo, os filhos casados tinham direito a própria casa, ao cercamento de pastos e ao plantio da roça sem ter de pagar pelo uso da terra. Já os filhos jovens, também recebiam uma área destinada ao plantio, sem a necessidade de pagamento de uma percentagem da produção. Já os irmãos e os agregados eram obrigados a pagar pelo direito de utilização da terra. Esse sistema de exploração se esfacelou com a morte dos proprietários. Com isso, a terra foi dividida entre os herdeiros diretos, que permaneceram com ela, venderam-na a um de seus irmãos, ou a comercializou com outro individuo. Já os agregados migraram para a fronteira agrícola, ou para os centros urbanos. Portanto, as grandes fazendas foram se transformando em propriedades camponesas, conduzidas pelo trabalho familiar, ou por agregados que desejassem cultivar lavouras sobre o regime de meação. Este processo contribui para explicar a estrutura agrária de </w:t>
      </w:r>
      <w:proofErr w:type="spellStart"/>
      <w:r w:rsidRPr="0015615B">
        <w:rPr>
          <w:rFonts w:ascii="Times New Roman" w:hAnsi="Times New Roman" w:cs="Times New Roman"/>
          <w:sz w:val="24"/>
          <w:szCs w:val="24"/>
        </w:rPr>
        <w:t>Itapuranga</w:t>
      </w:r>
      <w:proofErr w:type="spellEnd"/>
      <w:r w:rsidRPr="0015615B">
        <w:rPr>
          <w:rFonts w:ascii="Times New Roman" w:hAnsi="Times New Roman" w:cs="Times New Roman"/>
          <w:sz w:val="24"/>
          <w:szCs w:val="24"/>
        </w:rPr>
        <w:t xml:space="preserve">, observada na tabela 1. Nela nota-se a predominância da pequena propriedade. Entretanto, não concentram a maior área, pois detém 39.459,50 hectares, enquanto as médias propriedades possuem 42.117,90 hectares. </w:t>
      </w:r>
    </w:p>
    <w:p w:rsidR="00EF2529" w:rsidRPr="0015615B" w:rsidRDefault="00EF2529" w:rsidP="004A28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5615B">
        <w:rPr>
          <w:rFonts w:ascii="Times New Roman" w:hAnsi="Times New Roman" w:cs="Times New Roman"/>
          <w:sz w:val="24"/>
          <w:szCs w:val="24"/>
        </w:rPr>
        <w:t xml:space="preserve">Além disso, há grandes propriedades no município, que dominam 34.254,40 hectares. Portanto, contrário ao discurso corrente no imaginário social do município, </w:t>
      </w:r>
      <w:proofErr w:type="spellStart"/>
      <w:r w:rsidRPr="0015615B">
        <w:rPr>
          <w:rFonts w:ascii="Times New Roman" w:hAnsi="Times New Roman" w:cs="Times New Roman"/>
          <w:sz w:val="24"/>
          <w:szCs w:val="24"/>
        </w:rPr>
        <w:t>Itapuranga</w:t>
      </w:r>
      <w:proofErr w:type="spellEnd"/>
      <w:r w:rsidRPr="0015615B">
        <w:rPr>
          <w:rFonts w:ascii="Times New Roman" w:hAnsi="Times New Roman" w:cs="Times New Roman"/>
          <w:sz w:val="24"/>
          <w:szCs w:val="24"/>
        </w:rPr>
        <w:t xml:space="preserve"> não produziu uma reforma agrária “natural”, pelo contrário, vivencia a ampliação da concentração </w:t>
      </w:r>
      <w:r w:rsidRPr="0015615B">
        <w:rPr>
          <w:rFonts w:ascii="Times New Roman" w:hAnsi="Times New Roman" w:cs="Times New Roman"/>
          <w:sz w:val="24"/>
          <w:szCs w:val="24"/>
        </w:rPr>
        <w:lastRenderedPageBreak/>
        <w:t>da propriedade. Pois, as pequenas propriedades, com as partilhas subsequentes entre herdeiros tem se tornado minifúndios, incapazes de sustentar a família proprietária, com isso a tendência é sua aquisição por médios ou grandes proprietários, o que amplia a área de domínio desses.</w:t>
      </w:r>
    </w:p>
    <w:p w:rsidR="007F22DA" w:rsidRPr="0015615B" w:rsidRDefault="007F22DA" w:rsidP="007F22DA">
      <w:pPr>
        <w:spacing w:after="0" w:line="240" w:lineRule="auto"/>
        <w:ind w:firstLine="709"/>
        <w:jc w:val="both"/>
        <w:rPr>
          <w:rFonts w:ascii="Times New Roman" w:hAnsi="Times New Roman" w:cs="Times New Roman"/>
          <w:sz w:val="24"/>
          <w:szCs w:val="24"/>
        </w:rPr>
      </w:pPr>
    </w:p>
    <w:tbl>
      <w:tblPr>
        <w:tblStyle w:val="ListaMdia2-nfase1"/>
        <w:tblpPr w:leftFromText="141" w:rightFromText="141" w:vertAnchor="text" w:horzAnchor="margin" w:tblpXSpec="center" w:tblpY="148"/>
        <w:tblW w:w="8046" w:type="dxa"/>
        <w:shd w:val="clear" w:color="auto" w:fill="FFFFFF" w:themeFill="background1"/>
        <w:tblLook w:val="0000"/>
      </w:tblPr>
      <w:tblGrid>
        <w:gridCol w:w="2376"/>
        <w:gridCol w:w="1045"/>
        <w:gridCol w:w="1932"/>
        <w:gridCol w:w="851"/>
        <w:gridCol w:w="1842"/>
      </w:tblGrid>
      <w:tr w:rsidR="0015615B" w:rsidRPr="0015615B" w:rsidTr="00707DC6">
        <w:trPr>
          <w:cnfStyle w:val="000000100000"/>
          <w:trHeight w:val="135"/>
        </w:trPr>
        <w:tc>
          <w:tcPr>
            <w:cnfStyle w:val="000010000000"/>
            <w:tcW w:w="8046" w:type="dxa"/>
            <w:gridSpan w:val="5"/>
            <w:tcBorders>
              <w:top w:val="single" w:sz="4" w:space="0" w:color="auto"/>
            </w:tcBorders>
            <w:shd w:val="clear" w:color="auto" w:fill="FFFFFF" w:themeFill="background1"/>
          </w:tcPr>
          <w:p w:rsidR="0015615B" w:rsidRPr="0015615B" w:rsidRDefault="0015615B" w:rsidP="0015615B">
            <w:pPr>
              <w:autoSpaceDE w:val="0"/>
              <w:autoSpaceDN w:val="0"/>
              <w:adjustRightInd w:val="0"/>
              <w:jc w:val="both"/>
              <w:rPr>
                <w:rFonts w:ascii="Times New Roman" w:hAnsi="Times New Roman" w:cs="Times New Roman"/>
                <w:color w:val="000000"/>
                <w:sz w:val="24"/>
                <w:szCs w:val="24"/>
              </w:rPr>
            </w:pPr>
            <w:r w:rsidRPr="0015615B">
              <w:rPr>
                <w:rFonts w:ascii="Times New Roman" w:hAnsi="Times New Roman" w:cs="Times New Roman"/>
                <w:b/>
                <w:color w:val="000000"/>
                <w:sz w:val="24"/>
                <w:szCs w:val="24"/>
              </w:rPr>
              <w:t>Tabela 1</w:t>
            </w:r>
            <w:r w:rsidRPr="0015615B">
              <w:rPr>
                <w:rFonts w:ascii="Times New Roman" w:hAnsi="Times New Roman" w:cs="Times New Roman"/>
                <w:color w:val="000000"/>
                <w:sz w:val="24"/>
                <w:szCs w:val="24"/>
              </w:rPr>
              <w:t xml:space="preserve"> – </w:t>
            </w:r>
            <w:r w:rsidR="00C3545B">
              <w:rPr>
                <w:rFonts w:ascii="Times New Roman" w:hAnsi="Times New Roman" w:cs="Times New Roman"/>
                <w:color w:val="000000"/>
                <w:sz w:val="24"/>
                <w:szCs w:val="24"/>
              </w:rPr>
              <w:t>Estado de Goiás- m</w:t>
            </w:r>
            <w:r w:rsidRPr="0015615B">
              <w:rPr>
                <w:rFonts w:ascii="Times New Roman" w:hAnsi="Times New Roman" w:cs="Times New Roman"/>
                <w:color w:val="000000"/>
                <w:sz w:val="24"/>
                <w:szCs w:val="24"/>
              </w:rPr>
              <w:t>unicípio de Itapuranga - Imóveis rurais cadastrados no INCRA-2003.</w:t>
            </w:r>
          </w:p>
        </w:tc>
      </w:tr>
      <w:tr w:rsidR="00707DC6" w:rsidRPr="0015615B" w:rsidTr="00707DC6">
        <w:trPr>
          <w:trHeight w:val="135"/>
        </w:trPr>
        <w:tc>
          <w:tcPr>
            <w:cnfStyle w:val="000010000000"/>
            <w:tcW w:w="2376" w:type="dxa"/>
            <w:vMerge w:val="restart"/>
            <w:tcBorders>
              <w:top w:val="single" w:sz="4" w:space="0" w:color="auto"/>
              <w:right w:val="single" w:sz="4" w:space="0" w:color="auto"/>
            </w:tcBorders>
            <w:shd w:val="clear" w:color="auto" w:fill="FFFFFF" w:themeFill="background1"/>
          </w:tcPr>
          <w:p w:rsidR="0015615B" w:rsidRPr="0015615B" w:rsidRDefault="0015615B" w:rsidP="00707DC6">
            <w:pPr>
              <w:jc w:val="center"/>
              <w:rPr>
                <w:rFonts w:ascii="Times New Roman" w:eastAsia="Times New Roman" w:hAnsi="Times New Roman" w:cs="Times New Roman"/>
                <w:color w:val="auto"/>
                <w:sz w:val="24"/>
                <w:szCs w:val="24"/>
              </w:rPr>
            </w:pPr>
            <w:r w:rsidRPr="0015615B">
              <w:rPr>
                <w:rFonts w:ascii="Times New Roman" w:eastAsia="Times New Roman" w:hAnsi="Times New Roman" w:cs="Times New Roman"/>
                <w:color w:val="auto"/>
                <w:sz w:val="24"/>
                <w:szCs w:val="24"/>
              </w:rPr>
              <w:t>Município</w:t>
            </w:r>
          </w:p>
        </w:tc>
        <w:tc>
          <w:tcPr>
            <w:tcW w:w="1045" w:type="dxa"/>
            <w:vMerge w:val="restart"/>
            <w:tcBorders>
              <w:top w:val="single" w:sz="4" w:space="0" w:color="auto"/>
              <w:left w:val="single" w:sz="4" w:space="0" w:color="auto"/>
              <w:right w:val="single" w:sz="4" w:space="0" w:color="auto"/>
            </w:tcBorders>
            <w:shd w:val="clear" w:color="auto" w:fill="FFFFFF" w:themeFill="background1"/>
          </w:tcPr>
          <w:p w:rsidR="0015615B" w:rsidRPr="0015615B" w:rsidRDefault="0015615B" w:rsidP="00707DC6">
            <w:pPr>
              <w:jc w:val="center"/>
              <w:cnfStyle w:val="000000000000"/>
              <w:rPr>
                <w:rFonts w:ascii="Times New Roman" w:eastAsia="Times New Roman" w:hAnsi="Times New Roman" w:cs="Times New Roman"/>
                <w:color w:val="auto"/>
                <w:sz w:val="24"/>
                <w:szCs w:val="24"/>
              </w:rPr>
            </w:pPr>
            <w:r w:rsidRPr="0015615B">
              <w:rPr>
                <w:rFonts w:ascii="Times New Roman" w:eastAsia="Times New Roman" w:hAnsi="Times New Roman" w:cs="Times New Roman"/>
                <w:color w:val="auto"/>
                <w:sz w:val="24"/>
                <w:szCs w:val="24"/>
              </w:rPr>
              <w:t>Módulo fiscal</w:t>
            </w:r>
          </w:p>
        </w:tc>
        <w:tc>
          <w:tcPr>
            <w:cnfStyle w:val="000010000000"/>
            <w:tcW w:w="1932" w:type="dxa"/>
            <w:vMerge w:val="restart"/>
            <w:tcBorders>
              <w:top w:val="single" w:sz="4" w:space="0" w:color="auto"/>
              <w:left w:val="single" w:sz="4" w:space="0" w:color="auto"/>
              <w:right w:val="single" w:sz="4" w:space="0" w:color="auto"/>
            </w:tcBorders>
            <w:shd w:val="clear" w:color="auto" w:fill="FFFFFF" w:themeFill="background1"/>
          </w:tcPr>
          <w:p w:rsidR="0015615B" w:rsidRPr="0015615B" w:rsidRDefault="0015615B" w:rsidP="00707DC6">
            <w:pPr>
              <w:jc w:val="center"/>
              <w:rPr>
                <w:rFonts w:ascii="Times New Roman" w:eastAsia="Times New Roman" w:hAnsi="Times New Roman" w:cs="Times New Roman"/>
                <w:color w:val="auto"/>
                <w:sz w:val="24"/>
                <w:szCs w:val="24"/>
              </w:rPr>
            </w:pPr>
            <w:r w:rsidRPr="0015615B">
              <w:rPr>
                <w:rFonts w:ascii="Times New Roman" w:eastAsia="Times New Roman" w:hAnsi="Times New Roman" w:cs="Times New Roman"/>
                <w:color w:val="auto"/>
                <w:sz w:val="24"/>
                <w:szCs w:val="24"/>
              </w:rPr>
              <w:t>Área (ha)</w:t>
            </w:r>
          </w:p>
        </w:tc>
        <w:tc>
          <w:tcPr>
            <w:tcW w:w="2693" w:type="dxa"/>
            <w:gridSpan w:val="2"/>
            <w:tcBorders>
              <w:top w:val="single" w:sz="4" w:space="0" w:color="auto"/>
              <w:left w:val="single" w:sz="4" w:space="0" w:color="auto"/>
              <w:bottom w:val="single" w:sz="4" w:space="0" w:color="auto"/>
              <w:right w:val="nil"/>
            </w:tcBorders>
            <w:shd w:val="clear" w:color="auto" w:fill="FFFFFF" w:themeFill="background1"/>
          </w:tcPr>
          <w:p w:rsidR="0015615B" w:rsidRPr="0015615B" w:rsidRDefault="0015615B" w:rsidP="00707DC6">
            <w:pPr>
              <w:jc w:val="center"/>
              <w:cnfStyle w:val="000000000000"/>
              <w:rPr>
                <w:rFonts w:ascii="Times New Roman" w:eastAsia="Times New Roman" w:hAnsi="Times New Roman" w:cs="Times New Roman"/>
                <w:color w:val="auto"/>
                <w:sz w:val="24"/>
                <w:szCs w:val="24"/>
              </w:rPr>
            </w:pPr>
            <w:r w:rsidRPr="0015615B">
              <w:rPr>
                <w:rFonts w:ascii="Times New Roman" w:eastAsia="Times New Roman" w:hAnsi="Times New Roman" w:cs="Times New Roman"/>
                <w:color w:val="auto"/>
                <w:sz w:val="24"/>
                <w:szCs w:val="24"/>
              </w:rPr>
              <w:t>Imóveis</w:t>
            </w:r>
          </w:p>
        </w:tc>
      </w:tr>
      <w:tr w:rsidR="00707DC6" w:rsidRPr="0015615B" w:rsidTr="00707DC6">
        <w:trPr>
          <w:cnfStyle w:val="000000100000"/>
          <w:trHeight w:val="150"/>
        </w:trPr>
        <w:tc>
          <w:tcPr>
            <w:cnfStyle w:val="000010000000"/>
            <w:tcW w:w="2376" w:type="dxa"/>
            <w:vMerge/>
            <w:tcBorders>
              <w:bottom w:val="single" w:sz="4" w:space="0" w:color="auto"/>
              <w:right w:val="single" w:sz="4" w:space="0" w:color="auto"/>
            </w:tcBorders>
            <w:shd w:val="clear" w:color="auto" w:fill="FFFFFF" w:themeFill="background1"/>
          </w:tcPr>
          <w:p w:rsidR="0015615B" w:rsidRPr="0015615B" w:rsidRDefault="0015615B" w:rsidP="00707DC6">
            <w:pPr>
              <w:jc w:val="center"/>
              <w:rPr>
                <w:rFonts w:ascii="Times New Roman" w:eastAsia="Times New Roman" w:hAnsi="Times New Roman" w:cs="Times New Roman"/>
                <w:color w:val="auto"/>
                <w:sz w:val="24"/>
                <w:szCs w:val="24"/>
              </w:rPr>
            </w:pPr>
          </w:p>
        </w:tc>
        <w:tc>
          <w:tcPr>
            <w:tcW w:w="1045" w:type="dxa"/>
            <w:vMerge/>
            <w:tcBorders>
              <w:left w:val="single" w:sz="4" w:space="0" w:color="auto"/>
              <w:bottom w:val="single" w:sz="4" w:space="0" w:color="auto"/>
              <w:right w:val="single" w:sz="4" w:space="0" w:color="auto"/>
            </w:tcBorders>
            <w:shd w:val="clear" w:color="auto" w:fill="FFFFFF" w:themeFill="background1"/>
          </w:tcPr>
          <w:p w:rsidR="0015615B" w:rsidRPr="0015615B" w:rsidRDefault="0015615B" w:rsidP="00707DC6">
            <w:pPr>
              <w:jc w:val="center"/>
              <w:cnfStyle w:val="000000100000"/>
              <w:rPr>
                <w:rFonts w:ascii="Times New Roman" w:eastAsia="Times New Roman" w:hAnsi="Times New Roman" w:cs="Times New Roman"/>
                <w:color w:val="auto"/>
                <w:sz w:val="24"/>
                <w:szCs w:val="24"/>
              </w:rPr>
            </w:pPr>
          </w:p>
        </w:tc>
        <w:tc>
          <w:tcPr>
            <w:cnfStyle w:val="000010000000"/>
            <w:tcW w:w="1932" w:type="dxa"/>
            <w:vMerge/>
            <w:tcBorders>
              <w:left w:val="single" w:sz="4" w:space="0" w:color="auto"/>
              <w:bottom w:val="single" w:sz="4" w:space="0" w:color="auto"/>
              <w:right w:val="single" w:sz="4" w:space="0" w:color="auto"/>
            </w:tcBorders>
            <w:shd w:val="clear" w:color="auto" w:fill="FFFFFF" w:themeFill="background1"/>
          </w:tcPr>
          <w:p w:rsidR="0015615B" w:rsidRPr="0015615B" w:rsidRDefault="0015615B" w:rsidP="00707DC6">
            <w:pPr>
              <w:jc w:val="center"/>
              <w:rPr>
                <w:rFonts w:ascii="Times New Roman" w:eastAsia="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15615B" w:rsidRPr="0015615B" w:rsidRDefault="0015615B" w:rsidP="00707DC6">
            <w:pPr>
              <w:jc w:val="center"/>
              <w:cnfStyle w:val="000000100000"/>
              <w:rPr>
                <w:rFonts w:ascii="Times New Roman" w:eastAsia="Times New Roman" w:hAnsi="Times New Roman" w:cs="Times New Roman"/>
                <w:color w:val="auto"/>
                <w:sz w:val="24"/>
                <w:szCs w:val="24"/>
              </w:rPr>
            </w:pPr>
            <w:proofErr w:type="spellStart"/>
            <w:r w:rsidRPr="0015615B">
              <w:rPr>
                <w:rFonts w:ascii="Times New Roman" w:eastAsia="Times New Roman" w:hAnsi="Times New Roman" w:cs="Times New Roman"/>
                <w:color w:val="auto"/>
                <w:sz w:val="24"/>
                <w:szCs w:val="24"/>
              </w:rPr>
              <w:t>Qtde</w:t>
            </w:r>
            <w:proofErr w:type="spellEnd"/>
            <w:r w:rsidRPr="0015615B">
              <w:rPr>
                <w:rFonts w:ascii="Times New Roman" w:eastAsia="Times New Roman" w:hAnsi="Times New Roman" w:cs="Times New Roman"/>
                <w:color w:val="auto"/>
                <w:sz w:val="24"/>
                <w:szCs w:val="24"/>
              </w:rPr>
              <w:t>.</w:t>
            </w:r>
          </w:p>
        </w:tc>
        <w:tc>
          <w:tcPr>
            <w:cnfStyle w:val="000010000000"/>
            <w:tcW w:w="1842" w:type="dxa"/>
            <w:tcBorders>
              <w:top w:val="single" w:sz="4" w:space="0" w:color="auto"/>
              <w:left w:val="single" w:sz="4" w:space="0" w:color="auto"/>
              <w:bottom w:val="single" w:sz="4" w:space="0" w:color="auto"/>
            </w:tcBorders>
            <w:shd w:val="clear" w:color="auto" w:fill="FFFFFF" w:themeFill="background1"/>
          </w:tcPr>
          <w:p w:rsidR="0015615B" w:rsidRPr="0015615B" w:rsidRDefault="0015615B" w:rsidP="00707DC6">
            <w:pPr>
              <w:jc w:val="center"/>
              <w:rPr>
                <w:rFonts w:ascii="Times New Roman" w:eastAsia="Times New Roman" w:hAnsi="Times New Roman" w:cs="Times New Roman"/>
                <w:color w:val="auto"/>
                <w:sz w:val="24"/>
                <w:szCs w:val="24"/>
              </w:rPr>
            </w:pPr>
            <w:r w:rsidRPr="0015615B">
              <w:rPr>
                <w:rFonts w:ascii="Times New Roman" w:eastAsia="Times New Roman" w:hAnsi="Times New Roman" w:cs="Times New Roman"/>
                <w:color w:val="auto"/>
                <w:sz w:val="24"/>
                <w:szCs w:val="24"/>
              </w:rPr>
              <w:t>Área (ha)</w:t>
            </w:r>
          </w:p>
        </w:tc>
      </w:tr>
      <w:tr w:rsidR="00707DC6" w:rsidRPr="0015615B" w:rsidTr="00707DC6">
        <w:trPr>
          <w:trHeight w:val="300"/>
        </w:trPr>
        <w:tc>
          <w:tcPr>
            <w:cnfStyle w:val="000010000000"/>
            <w:tcW w:w="2376" w:type="dxa"/>
            <w:tcBorders>
              <w:top w:val="single" w:sz="4" w:space="0" w:color="auto"/>
              <w:bottom w:val="single" w:sz="4" w:space="0" w:color="auto"/>
              <w:right w:val="single" w:sz="4" w:space="0" w:color="auto"/>
            </w:tcBorders>
            <w:shd w:val="clear" w:color="auto" w:fill="FFFFFF" w:themeFill="background1"/>
          </w:tcPr>
          <w:p w:rsidR="0015615B" w:rsidRPr="0015615B" w:rsidRDefault="0015615B" w:rsidP="00707DC6">
            <w:pPr>
              <w:jc w:val="center"/>
              <w:rPr>
                <w:rFonts w:ascii="Times New Roman" w:eastAsia="Times New Roman" w:hAnsi="Times New Roman" w:cs="Times New Roman"/>
                <w:color w:val="auto"/>
                <w:sz w:val="24"/>
                <w:szCs w:val="24"/>
              </w:rPr>
            </w:pPr>
            <w:proofErr w:type="spellStart"/>
            <w:r w:rsidRPr="0015615B">
              <w:rPr>
                <w:rFonts w:ascii="Times New Roman" w:eastAsia="Times New Roman" w:hAnsi="Times New Roman" w:cs="Times New Roman"/>
                <w:color w:val="auto"/>
                <w:sz w:val="24"/>
                <w:szCs w:val="24"/>
              </w:rPr>
              <w:t>Itapuranga</w:t>
            </w:r>
            <w:proofErr w:type="spellEnd"/>
          </w:p>
        </w:tc>
        <w:tc>
          <w:tcPr>
            <w:tcW w:w="1045" w:type="dxa"/>
            <w:tcBorders>
              <w:top w:val="single" w:sz="4" w:space="0" w:color="auto"/>
              <w:left w:val="single" w:sz="4" w:space="0" w:color="auto"/>
              <w:bottom w:val="single" w:sz="4" w:space="0" w:color="auto"/>
              <w:right w:val="single" w:sz="4" w:space="0" w:color="auto"/>
            </w:tcBorders>
            <w:shd w:val="clear" w:color="auto" w:fill="FFFFFF" w:themeFill="background1"/>
          </w:tcPr>
          <w:p w:rsidR="0015615B" w:rsidRPr="0015615B" w:rsidRDefault="0015615B" w:rsidP="00707DC6">
            <w:pPr>
              <w:jc w:val="center"/>
              <w:cnfStyle w:val="000000000000"/>
              <w:rPr>
                <w:rFonts w:ascii="Times New Roman" w:eastAsia="Times New Roman" w:hAnsi="Times New Roman" w:cs="Times New Roman"/>
                <w:color w:val="auto"/>
                <w:sz w:val="24"/>
                <w:szCs w:val="24"/>
              </w:rPr>
            </w:pPr>
            <w:r w:rsidRPr="0015615B">
              <w:rPr>
                <w:rFonts w:ascii="Times New Roman" w:eastAsia="Times New Roman" w:hAnsi="Times New Roman" w:cs="Times New Roman"/>
                <w:color w:val="auto"/>
                <w:sz w:val="24"/>
                <w:szCs w:val="24"/>
              </w:rPr>
              <w:t>20</w:t>
            </w:r>
          </w:p>
        </w:tc>
        <w:tc>
          <w:tcPr>
            <w:cnfStyle w:val="000010000000"/>
            <w:tcW w:w="1932" w:type="dxa"/>
            <w:tcBorders>
              <w:top w:val="single" w:sz="4" w:space="0" w:color="auto"/>
              <w:left w:val="single" w:sz="4" w:space="0" w:color="auto"/>
              <w:bottom w:val="single" w:sz="4" w:space="0" w:color="auto"/>
              <w:right w:val="single" w:sz="4" w:space="0" w:color="auto"/>
            </w:tcBorders>
            <w:shd w:val="clear" w:color="auto" w:fill="FFFFFF" w:themeFill="background1"/>
          </w:tcPr>
          <w:p w:rsidR="0015615B" w:rsidRPr="0015615B" w:rsidRDefault="0015615B" w:rsidP="00707DC6">
            <w:pPr>
              <w:jc w:val="center"/>
              <w:rPr>
                <w:rFonts w:ascii="Times New Roman" w:eastAsia="Times New Roman" w:hAnsi="Times New Roman" w:cs="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15615B" w:rsidRPr="0015615B" w:rsidRDefault="0015615B" w:rsidP="00707DC6">
            <w:pPr>
              <w:jc w:val="center"/>
              <w:cnfStyle w:val="000000000000"/>
              <w:rPr>
                <w:rFonts w:ascii="Times New Roman" w:eastAsia="Times New Roman" w:hAnsi="Times New Roman" w:cs="Times New Roman"/>
                <w:color w:val="auto"/>
                <w:sz w:val="24"/>
                <w:szCs w:val="24"/>
              </w:rPr>
            </w:pPr>
            <w:r w:rsidRPr="0015615B">
              <w:rPr>
                <w:rFonts w:ascii="Times New Roman" w:eastAsia="Times New Roman" w:hAnsi="Times New Roman" w:cs="Times New Roman"/>
                <w:color w:val="auto"/>
                <w:sz w:val="24"/>
                <w:szCs w:val="24"/>
              </w:rPr>
              <w:t>2.026</w:t>
            </w:r>
          </w:p>
        </w:tc>
        <w:tc>
          <w:tcPr>
            <w:cnfStyle w:val="000010000000"/>
            <w:tcW w:w="1842" w:type="dxa"/>
            <w:tcBorders>
              <w:top w:val="single" w:sz="4" w:space="0" w:color="auto"/>
              <w:left w:val="single" w:sz="4" w:space="0" w:color="auto"/>
              <w:bottom w:val="single" w:sz="4" w:space="0" w:color="auto"/>
            </w:tcBorders>
            <w:shd w:val="clear" w:color="auto" w:fill="FFFFFF" w:themeFill="background1"/>
          </w:tcPr>
          <w:p w:rsidR="0015615B" w:rsidRPr="0015615B" w:rsidRDefault="0015615B" w:rsidP="00707DC6">
            <w:pPr>
              <w:jc w:val="center"/>
              <w:rPr>
                <w:rFonts w:ascii="Times New Roman" w:eastAsia="Times New Roman" w:hAnsi="Times New Roman" w:cs="Times New Roman"/>
                <w:color w:val="auto"/>
                <w:sz w:val="24"/>
                <w:szCs w:val="24"/>
              </w:rPr>
            </w:pPr>
            <w:r w:rsidRPr="0015615B">
              <w:rPr>
                <w:rFonts w:ascii="Times New Roman" w:eastAsia="Times New Roman" w:hAnsi="Times New Roman" w:cs="Times New Roman"/>
                <w:color w:val="auto"/>
                <w:sz w:val="24"/>
                <w:szCs w:val="24"/>
              </w:rPr>
              <w:t>115.831,80</w:t>
            </w:r>
          </w:p>
        </w:tc>
      </w:tr>
      <w:tr w:rsidR="00707DC6" w:rsidRPr="0015615B" w:rsidTr="00707DC6">
        <w:trPr>
          <w:cnfStyle w:val="000000100000"/>
          <w:trHeight w:val="241"/>
        </w:trPr>
        <w:tc>
          <w:tcPr>
            <w:cnfStyle w:val="000010000000"/>
            <w:tcW w:w="2376" w:type="dxa"/>
            <w:tcBorders>
              <w:top w:val="single" w:sz="4" w:space="0" w:color="auto"/>
              <w:bottom w:val="single" w:sz="4" w:space="0" w:color="auto"/>
              <w:right w:val="single" w:sz="4" w:space="0" w:color="auto"/>
            </w:tcBorders>
            <w:shd w:val="clear" w:color="auto" w:fill="FFFFFF" w:themeFill="background1"/>
          </w:tcPr>
          <w:p w:rsidR="0015615B" w:rsidRPr="0015615B" w:rsidRDefault="0015615B" w:rsidP="00707DC6">
            <w:pPr>
              <w:jc w:val="center"/>
              <w:rPr>
                <w:rFonts w:ascii="Times New Roman" w:eastAsia="Times New Roman" w:hAnsi="Times New Roman" w:cs="Times New Roman"/>
                <w:color w:val="auto"/>
                <w:sz w:val="24"/>
                <w:szCs w:val="24"/>
              </w:rPr>
            </w:pPr>
            <w:r w:rsidRPr="0015615B">
              <w:rPr>
                <w:rFonts w:ascii="Times New Roman" w:eastAsia="Times New Roman" w:hAnsi="Times New Roman" w:cs="Times New Roman"/>
                <w:color w:val="auto"/>
                <w:sz w:val="24"/>
                <w:szCs w:val="24"/>
              </w:rPr>
              <w:t>Pequena propriedade</w:t>
            </w:r>
          </w:p>
        </w:tc>
        <w:tc>
          <w:tcPr>
            <w:tcW w:w="1045" w:type="dxa"/>
            <w:tcBorders>
              <w:top w:val="single" w:sz="4" w:space="0" w:color="auto"/>
              <w:left w:val="single" w:sz="4" w:space="0" w:color="auto"/>
              <w:bottom w:val="single" w:sz="4" w:space="0" w:color="auto"/>
              <w:right w:val="single" w:sz="4" w:space="0" w:color="auto"/>
            </w:tcBorders>
            <w:shd w:val="clear" w:color="auto" w:fill="FFFFFF" w:themeFill="background1"/>
          </w:tcPr>
          <w:p w:rsidR="0015615B" w:rsidRPr="0015615B" w:rsidRDefault="0015615B" w:rsidP="00707DC6">
            <w:pPr>
              <w:jc w:val="center"/>
              <w:cnfStyle w:val="000000100000"/>
              <w:rPr>
                <w:rFonts w:ascii="Times New Roman" w:eastAsia="Times New Roman" w:hAnsi="Times New Roman" w:cs="Times New Roman"/>
                <w:color w:val="auto"/>
                <w:sz w:val="24"/>
                <w:szCs w:val="24"/>
              </w:rPr>
            </w:pPr>
          </w:p>
        </w:tc>
        <w:tc>
          <w:tcPr>
            <w:cnfStyle w:val="000010000000"/>
            <w:tcW w:w="1932" w:type="dxa"/>
            <w:tcBorders>
              <w:top w:val="single" w:sz="4" w:space="0" w:color="auto"/>
              <w:left w:val="single" w:sz="4" w:space="0" w:color="auto"/>
              <w:bottom w:val="single" w:sz="4" w:space="0" w:color="auto"/>
              <w:right w:val="single" w:sz="4" w:space="0" w:color="auto"/>
            </w:tcBorders>
            <w:shd w:val="clear" w:color="auto" w:fill="FFFFFF" w:themeFill="background1"/>
          </w:tcPr>
          <w:p w:rsidR="0015615B" w:rsidRPr="0015615B" w:rsidRDefault="0015615B" w:rsidP="00707DC6">
            <w:pPr>
              <w:jc w:val="center"/>
              <w:rPr>
                <w:rFonts w:ascii="Times New Roman" w:eastAsia="Times New Roman" w:hAnsi="Times New Roman" w:cs="Times New Roman"/>
                <w:color w:val="auto"/>
                <w:sz w:val="24"/>
                <w:szCs w:val="24"/>
              </w:rPr>
            </w:pPr>
            <w:proofErr w:type="gramStart"/>
            <w:r w:rsidRPr="0015615B">
              <w:rPr>
                <w:rFonts w:ascii="Times New Roman" w:eastAsia="Times New Roman" w:hAnsi="Times New Roman" w:cs="Times New Roman"/>
                <w:color w:val="auto"/>
                <w:sz w:val="24"/>
                <w:szCs w:val="24"/>
              </w:rPr>
              <w:t>de</w:t>
            </w:r>
            <w:proofErr w:type="gramEnd"/>
            <w:r w:rsidRPr="0015615B">
              <w:rPr>
                <w:rFonts w:ascii="Times New Roman" w:eastAsia="Times New Roman" w:hAnsi="Times New Roman" w:cs="Times New Roman"/>
                <w:color w:val="auto"/>
                <w:sz w:val="24"/>
                <w:szCs w:val="24"/>
              </w:rPr>
              <w:t xml:space="preserve"> 0 a 8</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15615B" w:rsidRPr="0015615B" w:rsidRDefault="0015615B" w:rsidP="00707DC6">
            <w:pPr>
              <w:jc w:val="center"/>
              <w:cnfStyle w:val="000000100000"/>
              <w:rPr>
                <w:rFonts w:ascii="Times New Roman" w:eastAsia="Times New Roman" w:hAnsi="Times New Roman" w:cs="Times New Roman"/>
                <w:color w:val="auto"/>
                <w:sz w:val="24"/>
                <w:szCs w:val="24"/>
              </w:rPr>
            </w:pPr>
            <w:r w:rsidRPr="0015615B">
              <w:rPr>
                <w:rFonts w:ascii="Times New Roman" w:eastAsia="Times New Roman" w:hAnsi="Times New Roman" w:cs="Times New Roman"/>
                <w:color w:val="auto"/>
                <w:sz w:val="24"/>
                <w:szCs w:val="24"/>
              </w:rPr>
              <w:t>1.681</w:t>
            </w:r>
          </w:p>
        </w:tc>
        <w:tc>
          <w:tcPr>
            <w:cnfStyle w:val="000010000000"/>
            <w:tcW w:w="1842" w:type="dxa"/>
            <w:tcBorders>
              <w:top w:val="single" w:sz="4" w:space="0" w:color="auto"/>
              <w:left w:val="single" w:sz="4" w:space="0" w:color="auto"/>
              <w:bottom w:val="single" w:sz="4" w:space="0" w:color="auto"/>
            </w:tcBorders>
            <w:shd w:val="clear" w:color="auto" w:fill="FFFFFF" w:themeFill="background1"/>
          </w:tcPr>
          <w:p w:rsidR="0015615B" w:rsidRPr="0015615B" w:rsidRDefault="0015615B" w:rsidP="00707DC6">
            <w:pPr>
              <w:jc w:val="center"/>
              <w:rPr>
                <w:rFonts w:ascii="Times New Roman" w:eastAsia="Times New Roman" w:hAnsi="Times New Roman" w:cs="Times New Roman"/>
                <w:color w:val="auto"/>
                <w:sz w:val="24"/>
                <w:szCs w:val="24"/>
              </w:rPr>
            </w:pPr>
            <w:r w:rsidRPr="0015615B">
              <w:rPr>
                <w:rFonts w:ascii="Times New Roman" w:eastAsia="Times New Roman" w:hAnsi="Times New Roman" w:cs="Times New Roman"/>
                <w:color w:val="auto"/>
                <w:sz w:val="24"/>
                <w:szCs w:val="24"/>
              </w:rPr>
              <w:t>39.459,50</w:t>
            </w:r>
          </w:p>
        </w:tc>
      </w:tr>
      <w:tr w:rsidR="00707DC6" w:rsidRPr="0015615B" w:rsidTr="00707DC6">
        <w:trPr>
          <w:trHeight w:val="248"/>
        </w:trPr>
        <w:tc>
          <w:tcPr>
            <w:cnfStyle w:val="000010000000"/>
            <w:tcW w:w="2376" w:type="dxa"/>
            <w:tcBorders>
              <w:top w:val="single" w:sz="4" w:space="0" w:color="auto"/>
              <w:bottom w:val="single" w:sz="4" w:space="0" w:color="auto"/>
              <w:right w:val="single" w:sz="4" w:space="0" w:color="auto"/>
            </w:tcBorders>
            <w:shd w:val="clear" w:color="auto" w:fill="FFFFFF" w:themeFill="background1"/>
          </w:tcPr>
          <w:p w:rsidR="0015615B" w:rsidRPr="0015615B" w:rsidRDefault="0015615B" w:rsidP="00707DC6">
            <w:pPr>
              <w:jc w:val="center"/>
              <w:rPr>
                <w:rFonts w:ascii="Times New Roman" w:eastAsia="Times New Roman" w:hAnsi="Times New Roman" w:cs="Times New Roman"/>
                <w:color w:val="auto"/>
                <w:sz w:val="24"/>
                <w:szCs w:val="24"/>
              </w:rPr>
            </w:pPr>
            <w:r w:rsidRPr="0015615B">
              <w:rPr>
                <w:rFonts w:ascii="Times New Roman" w:eastAsia="Times New Roman" w:hAnsi="Times New Roman" w:cs="Times New Roman"/>
                <w:color w:val="auto"/>
                <w:sz w:val="24"/>
                <w:szCs w:val="24"/>
              </w:rPr>
              <w:t>Média propriedade</w:t>
            </w:r>
          </w:p>
        </w:tc>
        <w:tc>
          <w:tcPr>
            <w:tcW w:w="1045" w:type="dxa"/>
            <w:tcBorders>
              <w:top w:val="single" w:sz="4" w:space="0" w:color="auto"/>
              <w:left w:val="single" w:sz="4" w:space="0" w:color="auto"/>
              <w:bottom w:val="single" w:sz="4" w:space="0" w:color="auto"/>
              <w:right w:val="single" w:sz="4" w:space="0" w:color="auto"/>
            </w:tcBorders>
            <w:shd w:val="clear" w:color="auto" w:fill="FFFFFF" w:themeFill="background1"/>
          </w:tcPr>
          <w:p w:rsidR="0015615B" w:rsidRPr="0015615B" w:rsidRDefault="0015615B" w:rsidP="00707DC6">
            <w:pPr>
              <w:jc w:val="center"/>
              <w:cnfStyle w:val="000000000000"/>
              <w:rPr>
                <w:rFonts w:ascii="Times New Roman" w:eastAsia="Times New Roman" w:hAnsi="Times New Roman" w:cs="Times New Roman"/>
                <w:color w:val="auto"/>
                <w:sz w:val="24"/>
                <w:szCs w:val="24"/>
              </w:rPr>
            </w:pPr>
          </w:p>
        </w:tc>
        <w:tc>
          <w:tcPr>
            <w:cnfStyle w:val="000010000000"/>
            <w:tcW w:w="1932" w:type="dxa"/>
            <w:tcBorders>
              <w:top w:val="single" w:sz="4" w:space="0" w:color="auto"/>
              <w:left w:val="single" w:sz="4" w:space="0" w:color="auto"/>
              <w:bottom w:val="single" w:sz="4" w:space="0" w:color="auto"/>
              <w:right w:val="single" w:sz="4" w:space="0" w:color="auto"/>
            </w:tcBorders>
            <w:shd w:val="clear" w:color="auto" w:fill="FFFFFF" w:themeFill="background1"/>
          </w:tcPr>
          <w:p w:rsidR="0015615B" w:rsidRPr="0015615B" w:rsidRDefault="0015615B" w:rsidP="00707DC6">
            <w:pPr>
              <w:jc w:val="center"/>
              <w:rPr>
                <w:rFonts w:ascii="Times New Roman" w:eastAsia="Times New Roman" w:hAnsi="Times New Roman" w:cs="Times New Roman"/>
                <w:color w:val="auto"/>
                <w:sz w:val="24"/>
                <w:szCs w:val="24"/>
              </w:rPr>
            </w:pPr>
            <w:proofErr w:type="gramStart"/>
            <w:r w:rsidRPr="0015615B">
              <w:rPr>
                <w:rFonts w:ascii="Times New Roman" w:eastAsia="Times New Roman" w:hAnsi="Times New Roman" w:cs="Times New Roman"/>
                <w:color w:val="auto"/>
                <w:sz w:val="24"/>
                <w:szCs w:val="24"/>
              </w:rPr>
              <w:t>mais</w:t>
            </w:r>
            <w:proofErr w:type="gramEnd"/>
            <w:r w:rsidRPr="0015615B">
              <w:rPr>
                <w:rFonts w:ascii="Times New Roman" w:eastAsia="Times New Roman" w:hAnsi="Times New Roman" w:cs="Times New Roman"/>
                <w:color w:val="auto"/>
                <w:sz w:val="24"/>
                <w:szCs w:val="24"/>
              </w:rPr>
              <w:t xml:space="preserve"> de 80 a 300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15615B" w:rsidRPr="0015615B" w:rsidRDefault="0015615B" w:rsidP="00707DC6">
            <w:pPr>
              <w:jc w:val="center"/>
              <w:cnfStyle w:val="000000000000"/>
              <w:rPr>
                <w:rFonts w:ascii="Times New Roman" w:eastAsia="Times New Roman" w:hAnsi="Times New Roman" w:cs="Times New Roman"/>
                <w:color w:val="auto"/>
                <w:sz w:val="24"/>
                <w:szCs w:val="24"/>
              </w:rPr>
            </w:pPr>
            <w:r w:rsidRPr="0015615B">
              <w:rPr>
                <w:rFonts w:ascii="Times New Roman" w:eastAsia="Times New Roman" w:hAnsi="Times New Roman" w:cs="Times New Roman"/>
                <w:color w:val="auto"/>
                <w:sz w:val="24"/>
                <w:szCs w:val="24"/>
              </w:rPr>
              <w:t>290</w:t>
            </w:r>
          </w:p>
        </w:tc>
        <w:tc>
          <w:tcPr>
            <w:cnfStyle w:val="000010000000"/>
            <w:tcW w:w="1842" w:type="dxa"/>
            <w:tcBorders>
              <w:top w:val="single" w:sz="4" w:space="0" w:color="auto"/>
              <w:left w:val="single" w:sz="4" w:space="0" w:color="auto"/>
              <w:bottom w:val="single" w:sz="4" w:space="0" w:color="auto"/>
            </w:tcBorders>
            <w:shd w:val="clear" w:color="auto" w:fill="FFFFFF" w:themeFill="background1"/>
          </w:tcPr>
          <w:p w:rsidR="0015615B" w:rsidRPr="0015615B" w:rsidRDefault="0015615B" w:rsidP="00707DC6">
            <w:pPr>
              <w:jc w:val="center"/>
              <w:rPr>
                <w:rFonts w:ascii="Times New Roman" w:eastAsia="Times New Roman" w:hAnsi="Times New Roman" w:cs="Times New Roman"/>
                <w:color w:val="auto"/>
                <w:sz w:val="24"/>
                <w:szCs w:val="24"/>
              </w:rPr>
            </w:pPr>
            <w:r w:rsidRPr="0015615B">
              <w:rPr>
                <w:rFonts w:ascii="Times New Roman" w:eastAsia="Times New Roman" w:hAnsi="Times New Roman" w:cs="Times New Roman"/>
                <w:color w:val="auto"/>
                <w:sz w:val="24"/>
                <w:szCs w:val="24"/>
              </w:rPr>
              <w:t>42.117,90</w:t>
            </w:r>
          </w:p>
        </w:tc>
      </w:tr>
      <w:tr w:rsidR="00707DC6" w:rsidRPr="0015615B" w:rsidTr="00707DC6">
        <w:trPr>
          <w:cnfStyle w:val="000000100000"/>
          <w:trHeight w:val="240"/>
        </w:trPr>
        <w:tc>
          <w:tcPr>
            <w:cnfStyle w:val="000010000000"/>
            <w:tcW w:w="2376" w:type="dxa"/>
            <w:tcBorders>
              <w:top w:val="single" w:sz="4" w:space="0" w:color="auto"/>
              <w:bottom w:val="single" w:sz="4" w:space="0" w:color="auto"/>
              <w:right w:val="single" w:sz="4" w:space="0" w:color="auto"/>
            </w:tcBorders>
            <w:shd w:val="clear" w:color="auto" w:fill="FFFFFF" w:themeFill="background1"/>
          </w:tcPr>
          <w:p w:rsidR="0015615B" w:rsidRPr="0015615B" w:rsidRDefault="0015615B" w:rsidP="00707DC6">
            <w:pPr>
              <w:jc w:val="center"/>
              <w:rPr>
                <w:rFonts w:ascii="Times New Roman" w:eastAsia="Times New Roman" w:hAnsi="Times New Roman" w:cs="Times New Roman"/>
                <w:color w:val="auto"/>
                <w:sz w:val="24"/>
                <w:szCs w:val="24"/>
              </w:rPr>
            </w:pPr>
            <w:r w:rsidRPr="0015615B">
              <w:rPr>
                <w:rFonts w:ascii="Times New Roman" w:eastAsia="Times New Roman" w:hAnsi="Times New Roman" w:cs="Times New Roman"/>
                <w:color w:val="auto"/>
                <w:sz w:val="24"/>
                <w:szCs w:val="24"/>
              </w:rPr>
              <w:t>Grande propriedade</w:t>
            </w:r>
          </w:p>
        </w:tc>
        <w:tc>
          <w:tcPr>
            <w:tcW w:w="1045" w:type="dxa"/>
            <w:tcBorders>
              <w:top w:val="single" w:sz="4" w:space="0" w:color="auto"/>
              <w:left w:val="single" w:sz="4" w:space="0" w:color="auto"/>
              <w:bottom w:val="single" w:sz="4" w:space="0" w:color="auto"/>
              <w:right w:val="single" w:sz="4" w:space="0" w:color="auto"/>
            </w:tcBorders>
            <w:shd w:val="clear" w:color="auto" w:fill="FFFFFF" w:themeFill="background1"/>
          </w:tcPr>
          <w:p w:rsidR="0015615B" w:rsidRPr="0015615B" w:rsidRDefault="0015615B" w:rsidP="00707DC6">
            <w:pPr>
              <w:jc w:val="center"/>
              <w:cnfStyle w:val="000000100000"/>
              <w:rPr>
                <w:rFonts w:ascii="Times New Roman" w:eastAsia="Times New Roman" w:hAnsi="Times New Roman" w:cs="Times New Roman"/>
                <w:color w:val="auto"/>
                <w:sz w:val="24"/>
                <w:szCs w:val="24"/>
              </w:rPr>
            </w:pPr>
          </w:p>
        </w:tc>
        <w:tc>
          <w:tcPr>
            <w:cnfStyle w:val="000010000000"/>
            <w:tcW w:w="1932" w:type="dxa"/>
            <w:tcBorders>
              <w:top w:val="single" w:sz="4" w:space="0" w:color="auto"/>
              <w:left w:val="single" w:sz="4" w:space="0" w:color="auto"/>
              <w:bottom w:val="single" w:sz="4" w:space="0" w:color="auto"/>
              <w:right w:val="single" w:sz="4" w:space="0" w:color="auto"/>
            </w:tcBorders>
            <w:shd w:val="clear" w:color="auto" w:fill="FFFFFF" w:themeFill="background1"/>
          </w:tcPr>
          <w:p w:rsidR="0015615B" w:rsidRPr="0015615B" w:rsidRDefault="0015615B" w:rsidP="00707DC6">
            <w:pPr>
              <w:jc w:val="center"/>
              <w:rPr>
                <w:rFonts w:ascii="Times New Roman" w:eastAsia="Times New Roman" w:hAnsi="Times New Roman" w:cs="Times New Roman"/>
                <w:color w:val="auto"/>
                <w:sz w:val="24"/>
                <w:szCs w:val="24"/>
              </w:rPr>
            </w:pPr>
            <w:proofErr w:type="gramStart"/>
            <w:r w:rsidRPr="0015615B">
              <w:rPr>
                <w:rFonts w:ascii="Times New Roman" w:eastAsia="Times New Roman" w:hAnsi="Times New Roman" w:cs="Times New Roman"/>
                <w:color w:val="auto"/>
                <w:sz w:val="24"/>
                <w:szCs w:val="24"/>
              </w:rPr>
              <w:t>mais</w:t>
            </w:r>
            <w:proofErr w:type="gramEnd"/>
            <w:r w:rsidRPr="0015615B">
              <w:rPr>
                <w:rFonts w:ascii="Times New Roman" w:eastAsia="Times New Roman" w:hAnsi="Times New Roman" w:cs="Times New Roman"/>
                <w:color w:val="auto"/>
                <w:sz w:val="24"/>
                <w:szCs w:val="24"/>
              </w:rPr>
              <w:t xml:space="preserve"> de 300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15615B" w:rsidRPr="0015615B" w:rsidRDefault="0015615B" w:rsidP="00707DC6">
            <w:pPr>
              <w:jc w:val="center"/>
              <w:cnfStyle w:val="000000100000"/>
              <w:rPr>
                <w:rFonts w:ascii="Times New Roman" w:eastAsia="Times New Roman" w:hAnsi="Times New Roman" w:cs="Times New Roman"/>
                <w:color w:val="auto"/>
                <w:sz w:val="24"/>
                <w:szCs w:val="24"/>
              </w:rPr>
            </w:pPr>
            <w:r w:rsidRPr="0015615B">
              <w:rPr>
                <w:rFonts w:ascii="Times New Roman" w:eastAsia="Times New Roman" w:hAnsi="Times New Roman" w:cs="Times New Roman"/>
                <w:color w:val="auto"/>
                <w:sz w:val="24"/>
                <w:szCs w:val="24"/>
              </w:rPr>
              <w:t>55</w:t>
            </w:r>
          </w:p>
        </w:tc>
        <w:tc>
          <w:tcPr>
            <w:cnfStyle w:val="000010000000"/>
            <w:tcW w:w="1842" w:type="dxa"/>
            <w:tcBorders>
              <w:top w:val="single" w:sz="4" w:space="0" w:color="auto"/>
              <w:left w:val="single" w:sz="4" w:space="0" w:color="auto"/>
              <w:bottom w:val="single" w:sz="4" w:space="0" w:color="auto"/>
            </w:tcBorders>
            <w:shd w:val="clear" w:color="auto" w:fill="FFFFFF" w:themeFill="background1"/>
          </w:tcPr>
          <w:p w:rsidR="0015615B" w:rsidRPr="0015615B" w:rsidRDefault="0015615B" w:rsidP="00707DC6">
            <w:pPr>
              <w:jc w:val="center"/>
              <w:rPr>
                <w:rFonts w:ascii="Times New Roman" w:eastAsia="Times New Roman" w:hAnsi="Times New Roman" w:cs="Times New Roman"/>
                <w:color w:val="auto"/>
                <w:sz w:val="24"/>
                <w:szCs w:val="24"/>
              </w:rPr>
            </w:pPr>
            <w:r w:rsidRPr="0015615B">
              <w:rPr>
                <w:rFonts w:ascii="Times New Roman" w:eastAsia="Times New Roman" w:hAnsi="Times New Roman" w:cs="Times New Roman"/>
                <w:color w:val="auto"/>
                <w:sz w:val="24"/>
                <w:szCs w:val="24"/>
              </w:rPr>
              <w:t>34.254,40</w:t>
            </w:r>
          </w:p>
        </w:tc>
      </w:tr>
      <w:tr w:rsidR="0015615B" w:rsidRPr="0015615B" w:rsidTr="00707DC6">
        <w:trPr>
          <w:trHeight w:val="240"/>
        </w:trPr>
        <w:tc>
          <w:tcPr>
            <w:cnfStyle w:val="000010000000"/>
            <w:tcW w:w="8046" w:type="dxa"/>
            <w:gridSpan w:val="5"/>
            <w:tcBorders>
              <w:top w:val="single" w:sz="4" w:space="0" w:color="auto"/>
              <w:bottom w:val="single" w:sz="4" w:space="0" w:color="auto"/>
            </w:tcBorders>
            <w:shd w:val="clear" w:color="auto" w:fill="FFFFFF" w:themeFill="background1"/>
          </w:tcPr>
          <w:p w:rsidR="0015615B" w:rsidRPr="0015615B" w:rsidRDefault="0015615B" w:rsidP="0015615B">
            <w:pPr>
              <w:jc w:val="both"/>
              <w:rPr>
                <w:rFonts w:ascii="Times New Roman" w:eastAsia="Times New Roman" w:hAnsi="Times New Roman" w:cs="Times New Roman"/>
                <w:sz w:val="20"/>
                <w:szCs w:val="20"/>
              </w:rPr>
            </w:pPr>
            <w:r w:rsidRPr="0015615B">
              <w:rPr>
                <w:rFonts w:ascii="Times New Roman" w:eastAsia="Times New Roman" w:hAnsi="Times New Roman" w:cs="Times New Roman"/>
                <w:b/>
                <w:sz w:val="20"/>
                <w:szCs w:val="20"/>
              </w:rPr>
              <w:t>Fonte:</w:t>
            </w:r>
            <w:r w:rsidRPr="0015615B">
              <w:rPr>
                <w:rFonts w:ascii="Times New Roman" w:eastAsia="Times New Roman" w:hAnsi="Times New Roman" w:cs="Times New Roman"/>
                <w:sz w:val="20"/>
                <w:szCs w:val="20"/>
              </w:rPr>
              <w:t xml:space="preserve"> </w:t>
            </w:r>
            <w:proofErr w:type="spellStart"/>
            <w:r w:rsidRPr="0015615B">
              <w:rPr>
                <w:rFonts w:ascii="Times New Roman" w:eastAsia="Times New Roman" w:hAnsi="Times New Roman" w:cs="Times New Roman"/>
                <w:sz w:val="20"/>
                <w:szCs w:val="20"/>
              </w:rPr>
              <w:t>IMB</w:t>
            </w:r>
            <w:proofErr w:type="spellEnd"/>
            <w:r w:rsidRPr="0015615B">
              <w:rPr>
                <w:rFonts w:ascii="Times New Roman" w:eastAsia="Times New Roman" w:hAnsi="Times New Roman" w:cs="Times New Roman"/>
                <w:sz w:val="20"/>
                <w:szCs w:val="20"/>
              </w:rPr>
              <w:t xml:space="preserve">/INCRA-2015.           </w:t>
            </w:r>
            <w:r w:rsidRPr="0015615B">
              <w:rPr>
                <w:rFonts w:ascii="Times New Roman" w:eastAsia="Times New Roman" w:hAnsi="Times New Roman" w:cs="Times New Roman"/>
                <w:b/>
                <w:sz w:val="20"/>
                <w:szCs w:val="20"/>
              </w:rPr>
              <w:t>Organização:</w:t>
            </w:r>
            <w:r w:rsidR="00484DEA">
              <w:rPr>
                <w:rFonts w:ascii="Times New Roman" w:eastAsia="Times New Roman" w:hAnsi="Times New Roman" w:cs="Times New Roman"/>
                <w:sz w:val="20"/>
                <w:szCs w:val="20"/>
              </w:rPr>
              <w:t xml:space="preserve"> Autor</w:t>
            </w:r>
            <w:r w:rsidRPr="0015615B">
              <w:rPr>
                <w:rFonts w:ascii="Times New Roman" w:eastAsia="Times New Roman" w:hAnsi="Times New Roman" w:cs="Times New Roman"/>
                <w:sz w:val="20"/>
                <w:szCs w:val="20"/>
              </w:rPr>
              <w:t>.</w:t>
            </w:r>
          </w:p>
        </w:tc>
      </w:tr>
    </w:tbl>
    <w:p w:rsidR="00BC1C3D" w:rsidRPr="0015615B" w:rsidRDefault="00E25FA5" w:rsidP="0015615B">
      <w:pPr>
        <w:spacing w:after="0" w:line="240" w:lineRule="auto"/>
        <w:jc w:val="both"/>
        <w:rPr>
          <w:rFonts w:ascii="Times New Roman" w:hAnsi="Times New Roman" w:cs="Times New Roman"/>
          <w:sz w:val="24"/>
          <w:szCs w:val="24"/>
        </w:rPr>
      </w:pPr>
      <w:r w:rsidRPr="0015615B">
        <w:rPr>
          <w:rFonts w:ascii="Times New Roman" w:hAnsi="Times New Roman" w:cs="Times New Roman"/>
          <w:sz w:val="24"/>
          <w:szCs w:val="24"/>
        </w:rPr>
        <w:tab/>
      </w:r>
      <w:r w:rsidR="00173A75" w:rsidRPr="0015615B">
        <w:rPr>
          <w:rFonts w:ascii="Times New Roman" w:hAnsi="Times New Roman" w:cs="Times New Roman"/>
          <w:sz w:val="24"/>
          <w:szCs w:val="24"/>
        </w:rPr>
        <w:t xml:space="preserve"> </w:t>
      </w:r>
    </w:p>
    <w:p w:rsidR="0015615B" w:rsidRPr="0015615B" w:rsidRDefault="00BC1C3D" w:rsidP="0015615B">
      <w:pPr>
        <w:autoSpaceDE w:val="0"/>
        <w:autoSpaceDN w:val="0"/>
        <w:adjustRightInd w:val="0"/>
        <w:spacing w:after="0" w:line="240" w:lineRule="auto"/>
        <w:ind w:firstLine="709"/>
        <w:jc w:val="both"/>
        <w:rPr>
          <w:rFonts w:ascii="Times New Roman" w:hAnsi="Times New Roman" w:cs="Times New Roman"/>
          <w:sz w:val="24"/>
          <w:szCs w:val="24"/>
        </w:rPr>
      </w:pPr>
      <w:r w:rsidRPr="0015615B">
        <w:rPr>
          <w:rFonts w:ascii="Times New Roman" w:hAnsi="Times New Roman" w:cs="Times New Roman"/>
          <w:sz w:val="24"/>
          <w:szCs w:val="24"/>
        </w:rPr>
        <w:t>Associado a isto</w:t>
      </w:r>
      <w:r w:rsidR="00811E33" w:rsidRPr="0015615B">
        <w:rPr>
          <w:rFonts w:ascii="Times New Roman" w:hAnsi="Times New Roman" w:cs="Times New Roman"/>
          <w:sz w:val="24"/>
          <w:szCs w:val="24"/>
        </w:rPr>
        <w:t xml:space="preserve">, o conceito </w:t>
      </w:r>
      <w:r w:rsidR="00EA461C" w:rsidRPr="0015615B">
        <w:rPr>
          <w:rFonts w:ascii="Times New Roman" w:hAnsi="Times New Roman" w:cs="Times New Roman"/>
          <w:sz w:val="24"/>
          <w:szCs w:val="24"/>
        </w:rPr>
        <w:t>adotado pelo INCRA (2015</w:t>
      </w:r>
      <w:r w:rsidR="00811E33" w:rsidRPr="0015615B">
        <w:rPr>
          <w:rFonts w:ascii="Times New Roman" w:hAnsi="Times New Roman" w:cs="Times New Roman"/>
          <w:sz w:val="24"/>
          <w:szCs w:val="24"/>
        </w:rPr>
        <w:t>), denomina como imóv</w:t>
      </w:r>
      <w:r w:rsidRPr="0015615B">
        <w:rPr>
          <w:rFonts w:ascii="Times New Roman" w:hAnsi="Times New Roman" w:cs="Times New Roman"/>
          <w:sz w:val="24"/>
          <w:szCs w:val="24"/>
        </w:rPr>
        <w:t xml:space="preserve">el </w:t>
      </w:r>
      <w:r w:rsidR="00572F7C" w:rsidRPr="0015615B">
        <w:rPr>
          <w:rFonts w:ascii="Times New Roman" w:hAnsi="Times New Roman" w:cs="Times New Roman"/>
          <w:sz w:val="24"/>
          <w:szCs w:val="24"/>
        </w:rPr>
        <w:t xml:space="preserve">rural uma área contínua </w:t>
      </w:r>
      <w:r w:rsidR="0021194F" w:rsidRPr="0015615B">
        <w:rPr>
          <w:rFonts w:ascii="Times New Roman" w:hAnsi="Times New Roman" w:cs="Times New Roman"/>
          <w:sz w:val="24"/>
          <w:szCs w:val="24"/>
        </w:rPr>
        <w:t>utilizad</w:t>
      </w:r>
      <w:r w:rsidR="00572F7C" w:rsidRPr="0015615B">
        <w:rPr>
          <w:rFonts w:ascii="Times New Roman" w:hAnsi="Times New Roman" w:cs="Times New Roman"/>
          <w:sz w:val="24"/>
          <w:szCs w:val="24"/>
        </w:rPr>
        <w:t xml:space="preserve">a para a </w:t>
      </w:r>
      <w:r w:rsidR="00811E33" w:rsidRPr="0015615B">
        <w:rPr>
          <w:rFonts w:ascii="Times New Roman" w:hAnsi="Times New Roman" w:cs="Times New Roman"/>
          <w:sz w:val="24"/>
          <w:szCs w:val="24"/>
        </w:rPr>
        <w:t xml:space="preserve">exploração agropecuária e agroflorestal, </w:t>
      </w:r>
      <w:r w:rsidR="00572F7C" w:rsidRPr="0015615B">
        <w:rPr>
          <w:rFonts w:ascii="Times New Roman" w:hAnsi="Times New Roman" w:cs="Times New Roman"/>
          <w:sz w:val="24"/>
          <w:szCs w:val="24"/>
        </w:rPr>
        <w:t xml:space="preserve">que </w:t>
      </w:r>
      <w:r w:rsidR="00811E33" w:rsidRPr="0015615B">
        <w:rPr>
          <w:rFonts w:ascii="Times New Roman" w:hAnsi="Times New Roman" w:cs="Times New Roman"/>
          <w:sz w:val="24"/>
          <w:szCs w:val="24"/>
        </w:rPr>
        <w:t>indep</w:t>
      </w:r>
      <w:r w:rsidR="00572F7C" w:rsidRPr="0015615B">
        <w:rPr>
          <w:rFonts w:ascii="Times New Roman" w:hAnsi="Times New Roman" w:cs="Times New Roman"/>
          <w:sz w:val="24"/>
          <w:szCs w:val="24"/>
        </w:rPr>
        <w:t>ende de</w:t>
      </w:r>
      <w:r w:rsidR="000920F5" w:rsidRPr="0015615B">
        <w:rPr>
          <w:rFonts w:ascii="Times New Roman" w:hAnsi="Times New Roman" w:cs="Times New Roman"/>
          <w:sz w:val="24"/>
          <w:szCs w:val="24"/>
        </w:rPr>
        <w:t xml:space="preserve"> localização</w:t>
      </w:r>
      <w:r w:rsidR="00811E33" w:rsidRPr="0015615B">
        <w:rPr>
          <w:rFonts w:ascii="Times New Roman" w:hAnsi="Times New Roman" w:cs="Times New Roman"/>
          <w:sz w:val="24"/>
          <w:szCs w:val="24"/>
        </w:rPr>
        <w:t xml:space="preserve">. Portanto, isto permite uma </w:t>
      </w:r>
      <w:r w:rsidR="0021194F" w:rsidRPr="0015615B">
        <w:rPr>
          <w:rFonts w:ascii="Times New Roman" w:hAnsi="Times New Roman" w:cs="Times New Roman"/>
          <w:sz w:val="24"/>
          <w:szCs w:val="24"/>
        </w:rPr>
        <w:t>ampliação do número de imóveis,</w:t>
      </w:r>
      <w:r w:rsidR="00811E33" w:rsidRPr="0015615B">
        <w:rPr>
          <w:rFonts w:ascii="Times New Roman" w:hAnsi="Times New Roman" w:cs="Times New Roman"/>
          <w:sz w:val="24"/>
          <w:szCs w:val="24"/>
        </w:rPr>
        <w:t xml:space="preserve"> principalme</w:t>
      </w:r>
      <w:r w:rsidR="0021194F" w:rsidRPr="0015615B">
        <w:rPr>
          <w:rFonts w:ascii="Times New Roman" w:hAnsi="Times New Roman" w:cs="Times New Roman"/>
          <w:sz w:val="24"/>
          <w:szCs w:val="24"/>
        </w:rPr>
        <w:t>nte de pequenas propriedades, pois</w:t>
      </w:r>
      <w:r w:rsidRPr="0015615B">
        <w:rPr>
          <w:rFonts w:ascii="Times New Roman" w:hAnsi="Times New Roman" w:cs="Times New Roman"/>
          <w:sz w:val="24"/>
          <w:szCs w:val="24"/>
        </w:rPr>
        <w:t xml:space="preserve"> desconsidera que um</w:t>
      </w:r>
      <w:r w:rsidR="0021194F" w:rsidRPr="0015615B">
        <w:rPr>
          <w:rFonts w:ascii="Times New Roman" w:hAnsi="Times New Roman" w:cs="Times New Roman"/>
          <w:sz w:val="24"/>
          <w:szCs w:val="24"/>
        </w:rPr>
        <w:t xml:space="preserve"> proprietár</w:t>
      </w:r>
      <w:r w:rsidRPr="0015615B">
        <w:rPr>
          <w:rFonts w:ascii="Times New Roman" w:hAnsi="Times New Roman" w:cs="Times New Roman"/>
          <w:sz w:val="24"/>
          <w:szCs w:val="24"/>
        </w:rPr>
        <w:t>io possa</w:t>
      </w:r>
      <w:r w:rsidR="00907105" w:rsidRPr="0015615B">
        <w:rPr>
          <w:rFonts w:ascii="Times New Roman" w:hAnsi="Times New Roman" w:cs="Times New Roman"/>
          <w:sz w:val="24"/>
          <w:szCs w:val="24"/>
        </w:rPr>
        <w:t xml:space="preserve"> ter</w:t>
      </w:r>
      <w:r w:rsidR="0021194F" w:rsidRPr="0015615B">
        <w:rPr>
          <w:rFonts w:ascii="Times New Roman" w:hAnsi="Times New Roman" w:cs="Times New Roman"/>
          <w:sz w:val="24"/>
          <w:szCs w:val="24"/>
        </w:rPr>
        <w:t xml:space="preserve"> dois</w:t>
      </w:r>
      <w:r w:rsidR="00907105" w:rsidRPr="0015615B">
        <w:rPr>
          <w:rFonts w:ascii="Times New Roman" w:hAnsi="Times New Roman" w:cs="Times New Roman"/>
          <w:sz w:val="24"/>
          <w:szCs w:val="24"/>
        </w:rPr>
        <w:t>, três,</w:t>
      </w:r>
      <w:r w:rsidR="0021194F" w:rsidRPr="0015615B">
        <w:rPr>
          <w:rFonts w:ascii="Times New Roman" w:hAnsi="Times New Roman" w:cs="Times New Roman"/>
          <w:sz w:val="24"/>
          <w:szCs w:val="24"/>
        </w:rPr>
        <w:t xml:space="preserve"> ou mais imóveis sobre seu c</w:t>
      </w:r>
      <w:r w:rsidR="000920F5" w:rsidRPr="0015615B">
        <w:rPr>
          <w:rFonts w:ascii="Times New Roman" w:hAnsi="Times New Roman" w:cs="Times New Roman"/>
          <w:sz w:val="24"/>
          <w:szCs w:val="24"/>
        </w:rPr>
        <w:t>ontrole. Na tabela 2</w:t>
      </w:r>
      <w:r w:rsidR="0021194F" w:rsidRPr="0015615B">
        <w:rPr>
          <w:rFonts w:ascii="Times New Roman" w:hAnsi="Times New Roman" w:cs="Times New Roman"/>
          <w:sz w:val="24"/>
          <w:szCs w:val="24"/>
        </w:rPr>
        <w:t xml:space="preserve"> e</w:t>
      </w:r>
      <w:r w:rsidR="002A72D8" w:rsidRPr="0015615B">
        <w:rPr>
          <w:rFonts w:ascii="Times New Roman" w:hAnsi="Times New Roman" w:cs="Times New Roman"/>
          <w:sz w:val="24"/>
          <w:szCs w:val="24"/>
        </w:rPr>
        <w:t>sta</w:t>
      </w:r>
      <w:r w:rsidR="0021194F" w:rsidRPr="0015615B">
        <w:rPr>
          <w:rFonts w:ascii="Times New Roman" w:hAnsi="Times New Roman" w:cs="Times New Roman"/>
          <w:sz w:val="24"/>
          <w:szCs w:val="24"/>
        </w:rPr>
        <w:t xml:space="preserve"> hipótese </w:t>
      </w:r>
      <w:r w:rsidR="007B6358" w:rsidRPr="0015615B">
        <w:rPr>
          <w:rFonts w:ascii="Times New Roman" w:hAnsi="Times New Roman" w:cs="Times New Roman"/>
          <w:sz w:val="24"/>
          <w:szCs w:val="24"/>
        </w:rPr>
        <w:t>assume mais veracidade</w:t>
      </w:r>
      <w:r w:rsidR="000920F5" w:rsidRPr="0015615B">
        <w:rPr>
          <w:rFonts w:ascii="Times New Roman" w:hAnsi="Times New Roman" w:cs="Times New Roman"/>
          <w:sz w:val="24"/>
          <w:szCs w:val="24"/>
        </w:rPr>
        <w:t>, i</w:t>
      </w:r>
      <w:r w:rsidR="0021194F" w:rsidRPr="0015615B">
        <w:rPr>
          <w:rFonts w:ascii="Times New Roman" w:hAnsi="Times New Roman" w:cs="Times New Roman"/>
          <w:sz w:val="24"/>
          <w:szCs w:val="24"/>
        </w:rPr>
        <w:t>sto por</w:t>
      </w:r>
      <w:r w:rsidR="000920F5" w:rsidRPr="0015615B">
        <w:rPr>
          <w:rFonts w:ascii="Times New Roman" w:hAnsi="Times New Roman" w:cs="Times New Roman"/>
          <w:sz w:val="24"/>
          <w:szCs w:val="24"/>
        </w:rPr>
        <w:t>que</w:t>
      </w:r>
      <w:r w:rsidR="00EA461C" w:rsidRPr="0015615B">
        <w:rPr>
          <w:rFonts w:ascii="Times New Roman" w:hAnsi="Times New Roman" w:cs="Times New Roman"/>
          <w:sz w:val="24"/>
          <w:szCs w:val="24"/>
        </w:rPr>
        <w:t xml:space="preserve"> ao contrário do INCRA (2015</w:t>
      </w:r>
      <w:r w:rsidR="0021194F" w:rsidRPr="0015615B">
        <w:rPr>
          <w:rFonts w:ascii="Times New Roman" w:hAnsi="Times New Roman" w:cs="Times New Roman"/>
          <w:sz w:val="24"/>
          <w:szCs w:val="24"/>
        </w:rPr>
        <w:t>), que menciona a presença de 2.026 imóveis rurais, o IBGE</w:t>
      </w:r>
      <w:r w:rsidRPr="0015615B">
        <w:rPr>
          <w:rFonts w:ascii="Times New Roman" w:hAnsi="Times New Roman" w:cs="Times New Roman"/>
          <w:sz w:val="24"/>
          <w:szCs w:val="24"/>
        </w:rPr>
        <w:t xml:space="preserve"> (2006)</w:t>
      </w:r>
      <w:r w:rsidR="0021194F" w:rsidRPr="0015615B">
        <w:rPr>
          <w:rFonts w:ascii="Times New Roman" w:hAnsi="Times New Roman" w:cs="Times New Roman"/>
          <w:sz w:val="24"/>
          <w:szCs w:val="24"/>
        </w:rPr>
        <w:t xml:space="preserve"> apresenta somente a presença de 1.459 estabelecimentos agropecuários.</w:t>
      </w:r>
    </w:p>
    <w:tbl>
      <w:tblPr>
        <w:tblStyle w:val="ListaMdia11"/>
        <w:tblpPr w:leftFromText="141" w:rightFromText="141" w:vertAnchor="text" w:horzAnchor="margin" w:tblpXSpec="center" w:tblpY="252"/>
        <w:tblW w:w="8755" w:type="dxa"/>
        <w:tblLayout w:type="fixed"/>
        <w:tblLook w:val="0600"/>
      </w:tblPr>
      <w:tblGrid>
        <w:gridCol w:w="1951"/>
        <w:gridCol w:w="1559"/>
        <w:gridCol w:w="1418"/>
        <w:gridCol w:w="1276"/>
        <w:gridCol w:w="1275"/>
        <w:gridCol w:w="1276"/>
      </w:tblGrid>
      <w:tr w:rsidR="0003664D" w:rsidRPr="0015615B" w:rsidTr="00707DC6">
        <w:tc>
          <w:tcPr>
            <w:tcW w:w="8755" w:type="dxa"/>
            <w:gridSpan w:val="6"/>
            <w:tcBorders>
              <w:bottom w:val="single" w:sz="4" w:space="0" w:color="auto"/>
            </w:tcBorders>
          </w:tcPr>
          <w:p w:rsidR="0003664D" w:rsidRPr="0015615B" w:rsidRDefault="0003664D" w:rsidP="0015615B">
            <w:pPr>
              <w:jc w:val="both"/>
              <w:rPr>
                <w:rFonts w:ascii="Times New Roman" w:hAnsi="Times New Roman" w:cs="Times New Roman"/>
                <w:sz w:val="24"/>
                <w:szCs w:val="24"/>
              </w:rPr>
            </w:pPr>
            <w:r w:rsidRPr="0015615B">
              <w:rPr>
                <w:rFonts w:ascii="Times New Roman" w:hAnsi="Times New Roman" w:cs="Times New Roman"/>
                <w:b/>
                <w:sz w:val="24"/>
                <w:szCs w:val="24"/>
              </w:rPr>
              <w:t xml:space="preserve">Tabela 2 </w:t>
            </w:r>
            <w:r w:rsidR="00C3545B">
              <w:rPr>
                <w:rFonts w:ascii="Times New Roman" w:hAnsi="Times New Roman" w:cs="Times New Roman"/>
                <w:sz w:val="24"/>
                <w:szCs w:val="24"/>
              </w:rPr>
              <w:t>- Estado de Goiás - m</w:t>
            </w:r>
            <w:r w:rsidRPr="0015615B">
              <w:rPr>
                <w:rFonts w:ascii="Times New Roman" w:hAnsi="Times New Roman" w:cs="Times New Roman"/>
                <w:sz w:val="24"/>
                <w:szCs w:val="24"/>
              </w:rPr>
              <w:t>unicípio de Itapuranga- Utilização das terras, (ha) -2006.</w:t>
            </w:r>
          </w:p>
        </w:tc>
      </w:tr>
      <w:tr w:rsidR="0003664D" w:rsidRPr="00707DC6" w:rsidTr="00707DC6">
        <w:tc>
          <w:tcPr>
            <w:tcW w:w="1951" w:type="dxa"/>
            <w:tcBorders>
              <w:top w:val="single" w:sz="4" w:space="0" w:color="auto"/>
              <w:bottom w:val="single" w:sz="4" w:space="0" w:color="auto"/>
              <w:right w:val="single" w:sz="4" w:space="0" w:color="auto"/>
            </w:tcBorders>
          </w:tcPr>
          <w:p w:rsidR="0003664D" w:rsidRPr="00707DC6" w:rsidRDefault="0003664D" w:rsidP="0015615B">
            <w:pPr>
              <w:jc w:val="both"/>
              <w:rPr>
                <w:rFonts w:ascii="Times New Roman" w:hAnsi="Times New Roman" w:cs="Times New Roman"/>
                <w:sz w:val="24"/>
                <w:szCs w:val="24"/>
              </w:rPr>
            </w:pPr>
            <w:r w:rsidRPr="00707DC6">
              <w:rPr>
                <w:rFonts w:ascii="Times New Roman" w:hAnsi="Times New Roman" w:cs="Times New Roman"/>
                <w:sz w:val="24"/>
                <w:szCs w:val="24"/>
              </w:rPr>
              <w:t>Número de estabelecimentos</w:t>
            </w:r>
          </w:p>
        </w:tc>
        <w:tc>
          <w:tcPr>
            <w:tcW w:w="1559" w:type="dxa"/>
            <w:tcBorders>
              <w:top w:val="single" w:sz="4" w:space="0" w:color="auto"/>
              <w:left w:val="single" w:sz="4" w:space="0" w:color="auto"/>
              <w:bottom w:val="single" w:sz="4" w:space="0" w:color="auto"/>
              <w:right w:val="single" w:sz="4" w:space="0" w:color="auto"/>
            </w:tcBorders>
          </w:tcPr>
          <w:p w:rsidR="0003664D" w:rsidRPr="00707DC6" w:rsidRDefault="0003664D" w:rsidP="0015615B">
            <w:pPr>
              <w:jc w:val="both"/>
              <w:rPr>
                <w:rFonts w:ascii="Times New Roman" w:hAnsi="Times New Roman" w:cs="Times New Roman"/>
                <w:sz w:val="24"/>
                <w:szCs w:val="24"/>
              </w:rPr>
            </w:pPr>
            <w:r w:rsidRPr="00707DC6">
              <w:rPr>
                <w:rFonts w:ascii="Times New Roman" w:hAnsi="Times New Roman" w:cs="Times New Roman"/>
                <w:sz w:val="24"/>
                <w:szCs w:val="24"/>
              </w:rPr>
              <w:t>Lavouras</w:t>
            </w:r>
          </w:p>
          <w:p w:rsidR="0003664D" w:rsidRPr="00707DC6" w:rsidRDefault="0003664D" w:rsidP="0015615B">
            <w:pPr>
              <w:jc w:val="both"/>
              <w:rPr>
                <w:rFonts w:ascii="Times New Roman" w:hAnsi="Times New Roman" w:cs="Times New Roman"/>
                <w:sz w:val="24"/>
                <w:szCs w:val="24"/>
              </w:rPr>
            </w:pPr>
            <w:proofErr w:type="gramStart"/>
            <w:r w:rsidRPr="00707DC6">
              <w:rPr>
                <w:rFonts w:ascii="Times New Roman" w:hAnsi="Times New Roman" w:cs="Times New Roman"/>
                <w:sz w:val="24"/>
                <w:szCs w:val="24"/>
              </w:rPr>
              <w:t>permanentes</w:t>
            </w:r>
            <w:proofErr w:type="gramEnd"/>
          </w:p>
        </w:tc>
        <w:tc>
          <w:tcPr>
            <w:tcW w:w="1418" w:type="dxa"/>
            <w:tcBorders>
              <w:top w:val="single" w:sz="4" w:space="0" w:color="auto"/>
              <w:left w:val="single" w:sz="4" w:space="0" w:color="auto"/>
              <w:bottom w:val="single" w:sz="4" w:space="0" w:color="auto"/>
              <w:right w:val="single" w:sz="4" w:space="0" w:color="auto"/>
            </w:tcBorders>
          </w:tcPr>
          <w:p w:rsidR="0003664D" w:rsidRPr="00707DC6" w:rsidRDefault="0003664D" w:rsidP="0015615B">
            <w:pPr>
              <w:jc w:val="both"/>
              <w:rPr>
                <w:rFonts w:ascii="Times New Roman" w:hAnsi="Times New Roman" w:cs="Times New Roman"/>
                <w:sz w:val="24"/>
                <w:szCs w:val="24"/>
              </w:rPr>
            </w:pPr>
            <w:r w:rsidRPr="00707DC6">
              <w:rPr>
                <w:rFonts w:ascii="Times New Roman" w:hAnsi="Times New Roman" w:cs="Times New Roman"/>
                <w:sz w:val="24"/>
                <w:szCs w:val="24"/>
              </w:rPr>
              <w:t>Lavouras temporárias</w:t>
            </w:r>
          </w:p>
        </w:tc>
        <w:tc>
          <w:tcPr>
            <w:tcW w:w="1276" w:type="dxa"/>
            <w:tcBorders>
              <w:top w:val="single" w:sz="4" w:space="0" w:color="auto"/>
              <w:left w:val="single" w:sz="4" w:space="0" w:color="auto"/>
              <w:bottom w:val="single" w:sz="4" w:space="0" w:color="auto"/>
              <w:right w:val="single" w:sz="4" w:space="0" w:color="auto"/>
            </w:tcBorders>
          </w:tcPr>
          <w:p w:rsidR="0003664D" w:rsidRPr="00707DC6" w:rsidRDefault="0003664D" w:rsidP="0015615B">
            <w:pPr>
              <w:jc w:val="both"/>
              <w:rPr>
                <w:rFonts w:ascii="Times New Roman" w:hAnsi="Times New Roman" w:cs="Times New Roman"/>
                <w:sz w:val="24"/>
                <w:szCs w:val="24"/>
              </w:rPr>
            </w:pPr>
            <w:r w:rsidRPr="00707DC6">
              <w:rPr>
                <w:rFonts w:ascii="Times New Roman" w:hAnsi="Times New Roman" w:cs="Times New Roman"/>
                <w:sz w:val="24"/>
                <w:szCs w:val="24"/>
              </w:rPr>
              <w:t>Pastagens plantadas</w:t>
            </w:r>
          </w:p>
        </w:tc>
        <w:tc>
          <w:tcPr>
            <w:tcW w:w="1275" w:type="dxa"/>
            <w:tcBorders>
              <w:top w:val="single" w:sz="4" w:space="0" w:color="auto"/>
              <w:left w:val="single" w:sz="4" w:space="0" w:color="auto"/>
              <w:bottom w:val="single" w:sz="4" w:space="0" w:color="auto"/>
            </w:tcBorders>
          </w:tcPr>
          <w:p w:rsidR="0003664D" w:rsidRPr="00707DC6" w:rsidRDefault="0003664D" w:rsidP="0015615B">
            <w:pPr>
              <w:jc w:val="both"/>
              <w:rPr>
                <w:rFonts w:ascii="Times New Roman" w:hAnsi="Times New Roman" w:cs="Times New Roman"/>
                <w:sz w:val="24"/>
                <w:szCs w:val="24"/>
              </w:rPr>
            </w:pPr>
            <w:r w:rsidRPr="00707DC6">
              <w:rPr>
                <w:rFonts w:ascii="Times New Roman" w:hAnsi="Times New Roman" w:cs="Times New Roman"/>
                <w:sz w:val="24"/>
                <w:szCs w:val="24"/>
              </w:rPr>
              <w:t>Pastagens naturais</w:t>
            </w:r>
          </w:p>
        </w:tc>
        <w:tc>
          <w:tcPr>
            <w:tcW w:w="1276" w:type="dxa"/>
            <w:tcBorders>
              <w:top w:val="single" w:sz="4" w:space="0" w:color="auto"/>
              <w:left w:val="single" w:sz="4" w:space="0" w:color="auto"/>
              <w:bottom w:val="single" w:sz="4" w:space="0" w:color="auto"/>
            </w:tcBorders>
          </w:tcPr>
          <w:p w:rsidR="0003664D" w:rsidRPr="00707DC6" w:rsidRDefault="0003664D" w:rsidP="0015615B">
            <w:pPr>
              <w:jc w:val="both"/>
              <w:rPr>
                <w:rFonts w:ascii="Times New Roman" w:hAnsi="Times New Roman" w:cs="Times New Roman"/>
                <w:sz w:val="24"/>
                <w:szCs w:val="24"/>
              </w:rPr>
            </w:pPr>
            <w:r w:rsidRPr="00707DC6">
              <w:rPr>
                <w:rFonts w:ascii="Times New Roman" w:hAnsi="Times New Roman" w:cs="Times New Roman"/>
                <w:sz w:val="24"/>
                <w:szCs w:val="24"/>
              </w:rPr>
              <w:t>Matas e florestas</w:t>
            </w:r>
          </w:p>
        </w:tc>
      </w:tr>
      <w:tr w:rsidR="0003664D" w:rsidRPr="00707DC6" w:rsidTr="00707DC6">
        <w:tc>
          <w:tcPr>
            <w:tcW w:w="1951" w:type="dxa"/>
            <w:tcBorders>
              <w:top w:val="single" w:sz="4" w:space="0" w:color="auto"/>
              <w:bottom w:val="single" w:sz="4" w:space="0" w:color="auto"/>
              <w:right w:val="single" w:sz="4" w:space="0" w:color="auto"/>
            </w:tcBorders>
          </w:tcPr>
          <w:p w:rsidR="0003664D" w:rsidRPr="00707DC6" w:rsidRDefault="0003664D" w:rsidP="0015615B">
            <w:pPr>
              <w:jc w:val="both"/>
              <w:rPr>
                <w:rFonts w:ascii="Times New Roman" w:hAnsi="Times New Roman" w:cs="Times New Roman"/>
                <w:sz w:val="24"/>
                <w:szCs w:val="24"/>
              </w:rPr>
            </w:pPr>
            <w:r w:rsidRPr="00707DC6">
              <w:rPr>
                <w:rFonts w:ascii="Times New Roman" w:hAnsi="Times New Roman" w:cs="Times New Roman"/>
                <w:sz w:val="24"/>
                <w:szCs w:val="24"/>
              </w:rPr>
              <w:t>1.459</w:t>
            </w:r>
          </w:p>
        </w:tc>
        <w:tc>
          <w:tcPr>
            <w:tcW w:w="1559" w:type="dxa"/>
            <w:tcBorders>
              <w:top w:val="single" w:sz="4" w:space="0" w:color="auto"/>
              <w:left w:val="single" w:sz="4" w:space="0" w:color="auto"/>
              <w:bottom w:val="single" w:sz="4" w:space="0" w:color="auto"/>
              <w:right w:val="single" w:sz="4" w:space="0" w:color="auto"/>
            </w:tcBorders>
          </w:tcPr>
          <w:p w:rsidR="0003664D" w:rsidRPr="00707DC6" w:rsidRDefault="0003664D" w:rsidP="0015615B">
            <w:pPr>
              <w:ind w:left="455"/>
              <w:jc w:val="both"/>
              <w:rPr>
                <w:rFonts w:ascii="Times New Roman" w:hAnsi="Times New Roman" w:cs="Times New Roman"/>
                <w:sz w:val="24"/>
                <w:szCs w:val="24"/>
              </w:rPr>
            </w:pPr>
            <w:r w:rsidRPr="00707DC6">
              <w:rPr>
                <w:rFonts w:ascii="Times New Roman" w:hAnsi="Times New Roman" w:cs="Times New Roman"/>
                <w:sz w:val="24"/>
                <w:szCs w:val="24"/>
              </w:rPr>
              <w:t>553</w:t>
            </w:r>
          </w:p>
        </w:tc>
        <w:tc>
          <w:tcPr>
            <w:tcW w:w="1418" w:type="dxa"/>
            <w:tcBorders>
              <w:top w:val="single" w:sz="4" w:space="0" w:color="auto"/>
              <w:left w:val="single" w:sz="4" w:space="0" w:color="auto"/>
              <w:bottom w:val="single" w:sz="4" w:space="0" w:color="auto"/>
              <w:right w:val="single" w:sz="4" w:space="0" w:color="auto"/>
            </w:tcBorders>
          </w:tcPr>
          <w:p w:rsidR="0003664D" w:rsidRPr="00707DC6" w:rsidRDefault="0003664D" w:rsidP="0015615B">
            <w:pPr>
              <w:jc w:val="both"/>
              <w:rPr>
                <w:rFonts w:ascii="Times New Roman" w:hAnsi="Times New Roman" w:cs="Times New Roman"/>
                <w:sz w:val="24"/>
                <w:szCs w:val="24"/>
              </w:rPr>
            </w:pPr>
            <w:r w:rsidRPr="00707DC6">
              <w:rPr>
                <w:rFonts w:ascii="Times New Roman" w:hAnsi="Times New Roman" w:cs="Times New Roman"/>
                <w:sz w:val="24"/>
                <w:szCs w:val="24"/>
              </w:rPr>
              <w:t>10.576</w:t>
            </w:r>
          </w:p>
        </w:tc>
        <w:tc>
          <w:tcPr>
            <w:tcW w:w="1276" w:type="dxa"/>
            <w:tcBorders>
              <w:top w:val="single" w:sz="4" w:space="0" w:color="auto"/>
              <w:left w:val="single" w:sz="4" w:space="0" w:color="auto"/>
              <w:bottom w:val="single" w:sz="4" w:space="0" w:color="auto"/>
              <w:right w:val="single" w:sz="4" w:space="0" w:color="auto"/>
            </w:tcBorders>
          </w:tcPr>
          <w:p w:rsidR="0003664D" w:rsidRPr="00707DC6" w:rsidRDefault="0003664D" w:rsidP="0015615B">
            <w:pPr>
              <w:jc w:val="both"/>
              <w:rPr>
                <w:rFonts w:ascii="Times New Roman" w:hAnsi="Times New Roman" w:cs="Times New Roman"/>
                <w:sz w:val="24"/>
                <w:szCs w:val="24"/>
              </w:rPr>
            </w:pPr>
            <w:r w:rsidRPr="00707DC6">
              <w:rPr>
                <w:rFonts w:ascii="Times New Roman" w:hAnsi="Times New Roman" w:cs="Times New Roman"/>
                <w:sz w:val="24"/>
                <w:szCs w:val="24"/>
              </w:rPr>
              <w:t>36.364</w:t>
            </w:r>
          </w:p>
        </w:tc>
        <w:tc>
          <w:tcPr>
            <w:tcW w:w="1275" w:type="dxa"/>
            <w:tcBorders>
              <w:top w:val="single" w:sz="4" w:space="0" w:color="auto"/>
              <w:left w:val="single" w:sz="4" w:space="0" w:color="auto"/>
              <w:bottom w:val="single" w:sz="4" w:space="0" w:color="auto"/>
            </w:tcBorders>
          </w:tcPr>
          <w:p w:rsidR="0003664D" w:rsidRPr="00707DC6" w:rsidRDefault="0003664D" w:rsidP="0015615B">
            <w:pPr>
              <w:jc w:val="both"/>
              <w:rPr>
                <w:rFonts w:ascii="Times New Roman" w:hAnsi="Times New Roman" w:cs="Times New Roman"/>
                <w:sz w:val="24"/>
                <w:szCs w:val="24"/>
              </w:rPr>
            </w:pPr>
            <w:r w:rsidRPr="00707DC6">
              <w:rPr>
                <w:rFonts w:ascii="Times New Roman" w:hAnsi="Times New Roman" w:cs="Times New Roman"/>
                <w:sz w:val="24"/>
                <w:szCs w:val="24"/>
              </w:rPr>
              <w:t>5.961</w:t>
            </w:r>
          </w:p>
        </w:tc>
        <w:tc>
          <w:tcPr>
            <w:tcW w:w="1276" w:type="dxa"/>
            <w:tcBorders>
              <w:top w:val="single" w:sz="4" w:space="0" w:color="auto"/>
              <w:left w:val="single" w:sz="4" w:space="0" w:color="auto"/>
              <w:bottom w:val="single" w:sz="4" w:space="0" w:color="auto"/>
            </w:tcBorders>
          </w:tcPr>
          <w:p w:rsidR="0003664D" w:rsidRPr="00707DC6" w:rsidRDefault="0003664D" w:rsidP="0015615B">
            <w:pPr>
              <w:jc w:val="both"/>
              <w:rPr>
                <w:rFonts w:ascii="Times New Roman" w:hAnsi="Times New Roman" w:cs="Times New Roman"/>
                <w:sz w:val="24"/>
                <w:szCs w:val="24"/>
              </w:rPr>
            </w:pPr>
            <w:r w:rsidRPr="00707DC6">
              <w:rPr>
                <w:rFonts w:ascii="Times New Roman" w:hAnsi="Times New Roman" w:cs="Times New Roman"/>
                <w:sz w:val="24"/>
                <w:szCs w:val="24"/>
              </w:rPr>
              <w:t>11.623</w:t>
            </w:r>
          </w:p>
        </w:tc>
      </w:tr>
      <w:tr w:rsidR="0003664D" w:rsidRPr="0015615B" w:rsidTr="00707DC6">
        <w:tc>
          <w:tcPr>
            <w:tcW w:w="8755" w:type="dxa"/>
            <w:gridSpan w:val="6"/>
            <w:tcBorders>
              <w:top w:val="single" w:sz="4" w:space="0" w:color="auto"/>
            </w:tcBorders>
          </w:tcPr>
          <w:p w:rsidR="0003664D" w:rsidRPr="0015615B" w:rsidRDefault="0003664D" w:rsidP="0015615B">
            <w:pPr>
              <w:jc w:val="both"/>
              <w:rPr>
                <w:rFonts w:ascii="Times New Roman" w:hAnsi="Times New Roman" w:cs="Times New Roman"/>
                <w:sz w:val="20"/>
                <w:szCs w:val="20"/>
              </w:rPr>
            </w:pPr>
            <w:r w:rsidRPr="0015615B">
              <w:rPr>
                <w:rFonts w:ascii="Times New Roman" w:hAnsi="Times New Roman" w:cs="Times New Roman"/>
                <w:b/>
                <w:sz w:val="20"/>
                <w:szCs w:val="20"/>
              </w:rPr>
              <w:t>Fonte:</w:t>
            </w:r>
            <w:r w:rsidRPr="0015615B">
              <w:rPr>
                <w:rFonts w:ascii="Times New Roman" w:hAnsi="Times New Roman" w:cs="Times New Roman"/>
                <w:sz w:val="20"/>
                <w:szCs w:val="20"/>
              </w:rPr>
              <w:t xml:space="preserve"> Instituto Mauro Borges, IBGE-2006.  </w:t>
            </w:r>
            <w:r w:rsidRPr="0015615B">
              <w:rPr>
                <w:rFonts w:ascii="Times New Roman" w:hAnsi="Times New Roman" w:cs="Times New Roman"/>
                <w:b/>
                <w:sz w:val="20"/>
                <w:szCs w:val="20"/>
              </w:rPr>
              <w:t>Organização:</w:t>
            </w:r>
            <w:r w:rsidR="00484DEA">
              <w:rPr>
                <w:rFonts w:ascii="Times New Roman" w:hAnsi="Times New Roman" w:cs="Times New Roman"/>
                <w:sz w:val="20"/>
                <w:szCs w:val="20"/>
              </w:rPr>
              <w:t xml:space="preserve"> Autor</w:t>
            </w:r>
            <w:r w:rsidRPr="0015615B">
              <w:rPr>
                <w:rFonts w:ascii="Times New Roman" w:hAnsi="Times New Roman" w:cs="Times New Roman"/>
                <w:sz w:val="20"/>
                <w:szCs w:val="20"/>
              </w:rPr>
              <w:t xml:space="preserve">. </w:t>
            </w:r>
          </w:p>
        </w:tc>
      </w:tr>
    </w:tbl>
    <w:p w:rsidR="007B6358" w:rsidRPr="0015615B" w:rsidRDefault="007B6358" w:rsidP="0015615B">
      <w:pPr>
        <w:autoSpaceDE w:val="0"/>
        <w:autoSpaceDN w:val="0"/>
        <w:adjustRightInd w:val="0"/>
        <w:spacing w:after="0" w:line="240" w:lineRule="auto"/>
        <w:ind w:firstLine="709"/>
        <w:jc w:val="both"/>
        <w:rPr>
          <w:rFonts w:ascii="Times New Roman" w:hAnsi="Times New Roman" w:cs="Times New Roman"/>
          <w:sz w:val="23"/>
          <w:szCs w:val="23"/>
        </w:rPr>
      </w:pPr>
      <w:r w:rsidRPr="0015615B">
        <w:rPr>
          <w:rFonts w:ascii="Times New Roman" w:hAnsi="Times New Roman" w:cs="Times New Roman"/>
          <w:sz w:val="23"/>
          <w:szCs w:val="23"/>
        </w:rPr>
        <w:t xml:space="preserve"> </w:t>
      </w:r>
    </w:p>
    <w:p w:rsidR="000920F5" w:rsidRPr="0015615B" w:rsidRDefault="00BC1C3D" w:rsidP="0015615B">
      <w:pPr>
        <w:tabs>
          <w:tab w:val="left" w:pos="930"/>
        </w:tabs>
        <w:spacing w:after="0" w:line="240" w:lineRule="auto"/>
        <w:ind w:firstLine="709"/>
        <w:jc w:val="both"/>
        <w:rPr>
          <w:rFonts w:ascii="Times New Roman" w:hAnsi="Times New Roman" w:cs="Times New Roman"/>
          <w:sz w:val="24"/>
          <w:szCs w:val="24"/>
        </w:rPr>
      </w:pPr>
      <w:r w:rsidRPr="0015615B">
        <w:rPr>
          <w:rFonts w:ascii="Times New Roman" w:hAnsi="Times New Roman" w:cs="Times New Roman"/>
          <w:sz w:val="24"/>
          <w:szCs w:val="24"/>
        </w:rPr>
        <w:t>Neste ínte</w:t>
      </w:r>
      <w:r w:rsidR="00B02FBD" w:rsidRPr="0015615B">
        <w:rPr>
          <w:rFonts w:ascii="Times New Roman" w:hAnsi="Times New Roman" w:cs="Times New Roman"/>
          <w:sz w:val="24"/>
          <w:szCs w:val="24"/>
        </w:rPr>
        <w:t>rim, o IBGE (2006</w:t>
      </w:r>
      <w:r w:rsidR="007B6358" w:rsidRPr="0015615B">
        <w:rPr>
          <w:rFonts w:ascii="Times New Roman" w:hAnsi="Times New Roman" w:cs="Times New Roman"/>
          <w:sz w:val="24"/>
          <w:szCs w:val="24"/>
        </w:rPr>
        <w:t>) considera como estabelecimento todo terreno de área contínua, independente do tamanho ou situação, formado de uma ou mais parcelas subordinado a um único produtor, onde se processa uma exploração agropecuária.</w:t>
      </w:r>
      <w:r w:rsidR="00907105" w:rsidRPr="0015615B">
        <w:rPr>
          <w:rFonts w:ascii="Times New Roman" w:hAnsi="Times New Roman" w:cs="Times New Roman"/>
          <w:sz w:val="24"/>
          <w:szCs w:val="24"/>
        </w:rPr>
        <w:t xml:space="preserve"> Neste sentido</w:t>
      </w:r>
      <w:r w:rsidR="00FF7CA1" w:rsidRPr="0015615B">
        <w:rPr>
          <w:rFonts w:ascii="Times New Roman" w:hAnsi="Times New Roman" w:cs="Times New Roman"/>
          <w:sz w:val="24"/>
          <w:szCs w:val="24"/>
        </w:rPr>
        <w:t>,</w:t>
      </w:r>
      <w:r w:rsidR="007B6358" w:rsidRPr="0015615B">
        <w:rPr>
          <w:rFonts w:ascii="Times New Roman" w:hAnsi="Times New Roman" w:cs="Times New Roman"/>
          <w:sz w:val="24"/>
          <w:szCs w:val="24"/>
        </w:rPr>
        <w:t xml:space="preserve"> este instituto leva em conta a totalidade de áreas sobre o domínio de um único proprietário, o que acarreta na diminuição do número de estabelecimentos e, por conseguinte, não amplia o nú</w:t>
      </w:r>
      <w:r w:rsidR="00FF7CA1" w:rsidRPr="0015615B">
        <w:rPr>
          <w:rFonts w:ascii="Times New Roman" w:hAnsi="Times New Roman" w:cs="Times New Roman"/>
          <w:sz w:val="24"/>
          <w:szCs w:val="24"/>
        </w:rPr>
        <w:t>mero das pequenas propriedades.</w:t>
      </w:r>
      <w:r w:rsidR="000920F5" w:rsidRPr="0015615B">
        <w:rPr>
          <w:rFonts w:ascii="Times New Roman" w:hAnsi="Times New Roman" w:cs="Times New Roman"/>
          <w:sz w:val="24"/>
          <w:szCs w:val="24"/>
        </w:rPr>
        <w:t xml:space="preserve"> </w:t>
      </w:r>
      <w:r w:rsidR="00907105" w:rsidRPr="0015615B">
        <w:rPr>
          <w:rFonts w:ascii="Times New Roman" w:hAnsi="Times New Roman" w:cs="Times New Roman"/>
          <w:sz w:val="24"/>
          <w:szCs w:val="24"/>
        </w:rPr>
        <w:t>Quanto à</w:t>
      </w:r>
      <w:r w:rsidRPr="0015615B">
        <w:rPr>
          <w:rFonts w:ascii="Times New Roman" w:hAnsi="Times New Roman" w:cs="Times New Roman"/>
          <w:sz w:val="24"/>
          <w:szCs w:val="24"/>
        </w:rPr>
        <w:t xml:space="preserve"> utilização da terra, </w:t>
      </w:r>
      <w:r w:rsidR="00FF7CA1" w:rsidRPr="0015615B">
        <w:rPr>
          <w:rFonts w:ascii="Times New Roman" w:hAnsi="Times New Roman" w:cs="Times New Roman"/>
          <w:sz w:val="24"/>
          <w:szCs w:val="24"/>
        </w:rPr>
        <w:t xml:space="preserve">observa-se </w:t>
      </w:r>
      <w:r w:rsidR="001A54BB" w:rsidRPr="0015615B">
        <w:rPr>
          <w:rFonts w:ascii="Times New Roman" w:hAnsi="Times New Roman" w:cs="Times New Roman"/>
          <w:sz w:val="24"/>
          <w:szCs w:val="24"/>
        </w:rPr>
        <w:t>a monocultura</w:t>
      </w:r>
      <w:r w:rsidR="007B6358" w:rsidRPr="0015615B">
        <w:rPr>
          <w:rFonts w:ascii="Times New Roman" w:hAnsi="Times New Roman" w:cs="Times New Roman"/>
          <w:sz w:val="24"/>
          <w:szCs w:val="24"/>
        </w:rPr>
        <w:t xml:space="preserve"> das pastagens plantad</w:t>
      </w:r>
      <w:r w:rsidR="00FF7CA1" w:rsidRPr="0015615B">
        <w:rPr>
          <w:rFonts w:ascii="Times New Roman" w:hAnsi="Times New Roman" w:cs="Times New Roman"/>
          <w:sz w:val="24"/>
          <w:szCs w:val="24"/>
        </w:rPr>
        <w:t>as</w:t>
      </w:r>
      <w:r w:rsidR="007B6358" w:rsidRPr="0015615B">
        <w:rPr>
          <w:rFonts w:ascii="Times New Roman" w:hAnsi="Times New Roman" w:cs="Times New Roman"/>
          <w:sz w:val="24"/>
          <w:szCs w:val="24"/>
        </w:rPr>
        <w:t xml:space="preserve">. </w:t>
      </w:r>
      <w:r w:rsidR="00B02FBD" w:rsidRPr="0015615B">
        <w:rPr>
          <w:rFonts w:ascii="Times New Roman" w:hAnsi="Times New Roman" w:cs="Times New Roman"/>
          <w:sz w:val="24"/>
          <w:szCs w:val="24"/>
        </w:rPr>
        <w:t>Entretanto, segundo o IBGE (2006</w:t>
      </w:r>
      <w:r w:rsidR="002243F3" w:rsidRPr="0015615B">
        <w:rPr>
          <w:rFonts w:ascii="Times New Roman" w:hAnsi="Times New Roman" w:cs="Times New Roman"/>
          <w:sz w:val="24"/>
          <w:szCs w:val="24"/>
        </w:rPr>
        <w:t>), 4.295 hectares delas encontram-se degradada</w:t>
      </w:r>
      <w:r w:rsidR="00FF7CA1" w:rsidRPr="0015615B">
        <w:rPr>
          <w:rFonts w:ascii="Times New Roman" w:hAnsi="Times New Roman" w:cs="Times New Roman"/>
          <w:sz w:val="24"/>
          <w:szCs w:val="24"/>
        </w:rPr>
        <w:t>s, devido a</w:t>
      </w:r>
      <w:r w:rsidR="002A72D8" w:rsidRPr="0015615B">
        <w:rPr>
          <w:rFonts w:ascii="Times New Roman" w:hAnsi="Times New Roman" w:cs="Times New Roman"/>
          <w:sz w:val="24"/>
          <w:szCs w:val="24"/>
        </w:rPr>
        <w:t>o</w:t>
      </w:r>
      <w:r w:rsidR="00FF7CA1" w:rsidRPr="0015615B">
        <w:rPr>
          <w:rFonts w:ascii="Times New Roman" w:hAnsi="Times New Roman" w:cs="Times New Roman"/>
          <w:sz w:val="24"/>
          <w:szCs w:val="24"/>
        </w:rPr>
        <w:t xml:space="preserve"> manejo inadequado e </w:t>
      </w:r>
      <w:r w:rsidR="002A72D8" w:rsidRPr="0015615B">
        <w:rPr>
          <w:rFonts w:ascii="Times New Roman" w:hAnsi="Times New Roman" w:cs="Times New Roman"/>
          <w:sz w:val="24"/>
          <w:szCs w:val="24"/>
        </w:rPr>
        <w:t xml:space="preserve">a </w:t>
      </w:r>
      <w:r w:rsidR="00FF7CA1" w:rsidRPr="0015615B">
        <w:rPr>
          <w:rFonts w:ascii="Times New Roman" w:hAnsi="Times New Roman" w:cs="Times New Roman"/>
          <w:sz w:val="24"/>
          <w:szCs w:val="24"/>
        </w:rPr>
        <w:t>ausência</w:t>
      </w:r>
      <w:r w:rsidR="002243F3" w:rsidRPr="0015615B">
        <w:rPr>
          <w:rFonts w:ascii="Times New Roman" w:hAnsi="Times New Roman" w:cs="Times New Roman"/>
          <w:sz w:val="24"/>
          <w:szCs w:val="24"/>
        </w:rPr>
        <w:t xml:space="preserve"> de conservaç</w:t>
      </w:r>
      <w:r w:rsidR="00FF7CA1" w:rsidRPr="0015615B">
        <w:rPr>
          <w:rFonts w:ascii="Times New Roman" w:hAnsi="Times New Roman" w:cs="Times New Roman"/>
          <w:sz w:val="24"/>
          <w:szCs w:val="24"/>
        </w:rPr>
        <w:t>ão.</w:t>
      </w:r>
    </w:p>
    <w:p w:rsidR="00EF2529" w:rsidRPr="0015615B" w:rsidRDefault="000920F5" w:rsidP="00EF2529">
      <w:pPr>
        <w:tabs>
          <w:tab w:val="left" w:pos="930"/>
        </w:tabs>
        <w:spacing w:after="0" w:line="240" w:lineRule="auto"/>
        <w:ind w:firstLine="709"/>
        <w:jc w:val="both"/>
      </w:pPr>
      <w:r w:rsidRPr="0015615B">
        <w:rPr>
          <w:rFonts w:ascii="Times New Roman" w:hAnsi="Times New Roman" w:cs="Times New Roman"/>
          <w:sz w:val="24"/>
          <w:szCs w:val="24"/>
        </w:rPr>
        <w:t xml:space="preserve"> Já as pastagens naturais são diminutas</w:t>
      </w:r>
      <w:r w:rsidR="002243F3" w:rsidRPr="0015615B">
        <w:rPr>
          <w:rFonts w:ascii="Times New Roman" w:hAnsi="Times New Roman" w:cs="Times New Roman"/>
          <w:sz w:val="24"/>
          <w:szCs w:val="24"/>
        </w:rPr>
        <w:t>.</w:t>
      </w:r>
      <w:r w:rsidRPr="0015615B">
        <w:rPr>
          <w:rFonts w:ascii="Times New Roman" w:hAnsi="Times New Roman" w:cs="Times New Roman"/>
          <w:sz w:val="24"/>
          <w:szCs w:val="24"/>
        </w:rPr>
        <w:t xml:space="preserve"> Quanto às matas e florestas o</w:t>
      </w:r>
      <w:r w:rsidR="00D9169B" w:rsidRPr="0015615B">
        <w:rPr>
          <w:rFonts w:ascii="Times New Roman" w:hAnsi="Times New Roman" w:cs="Times New Roman"/>
          <w:sz w:val="24"/>
          <w:szCs w:val="24"/>
        </w:rPr>
        <w:t xml:space="preserve"> IBGE (2015</w:t>
      </w:r>
      <w:r w:rsidRPr="0015615B">
        <w:rPr>
          <w:rFonts w:ascii="Times New Roman" w:hAnsi="Times New Roman" w:cs="Times New Roman"/>
          <w:sz w:val="24"/>
          <w:szCs w:val="24"/>
        </w:rPr>
        <w:t>) destaca que</w:t>
      </w:r>
      <w:r w:rsidR="009E36FF" w:rsidRPr="0015615B">
        <w:rPr>
          <w:rFonts w:ascii="Times New Roman" w:hAnsi="Times New Roman" w:cs="Times New Roman"/>
          <w:sz w:val="24"/>
          <w:szCs w:val="24"/>
        </w:rPr>
        <w:t xml:space="preserve"> o plantio de florestas de </w:t>
      </w:r>
      <w:r w:rsidR="00EC0553" w:rsidRPr="0015615B">
        <w:rPr>
          <w:rFonts w:ascii="Times New Roman" w:hAnsi="Times New Roman" w:cs="Times New Roman"/>
          <w:sz w:val="24"/>
          <w:szCs w:val="24"/>
        </w:rPr>
        <w:t>essências</w:t>
      </w:r>
      <w:r w:rsidR="009E36FF" w:rsidRPr="0015615B">
        <w:rPr>
          <w:rFonts w:ascii="Times New Roman" w:hAnsi="Times New Roman" w:cs="Times New Roman"/>
          <w:sz w:val="24"/>
          <w:szCs w:val="24"/>
        </w:rPr>
        <w:t xml:space="preserve"> </w:t>
      </w:r>
      <w:r w:rsidR="00D16194" w:rsidRPr="0015615B">
        <w:rPr>
          <w:rFonts w:ascii="Times New Roman" w:hAnsi="Times New Roman" w:cs="Times New Roman"/>
          <w:sz w:val="24"/>
          <w:szCs w:val="24"/>
        </w:rPr>
        <w:t xml:space="preserve">florestais </w:t>
      </w:r>
      <w:r w:rsidR="009E36FF" w:rsidRPr="0015615B">
        <w:rPr>
          <w:rFonts w:ascii="Times New Roman" w:hAnsi="Times New Roman" w:cs="Times New Roman"/>
          <w:sz w:val="24"/>
          <w:szCs w:val="24"/>
        </w:rPr>
        <w:t>acarretou na produção de 120 ton</w:t>
      </w:r>
      <w:r w:rsidR="00573389" w:rsidRPr="0015615B">
        <w:rPr>
          <w:rFonts w:ascii="Times New Roman" w:hAnsi="Times New Roman" w:cs="Times New Roman"/>
          <w:sz w:val="24"/>
          <w:szCs w:val="24"/>
        </w:rPr>
        <w:t>eladas de carvão vegetal</w:t>
      </w:r>
      <w:r w:rsidR="009E36FF" w:rsidRPr="0015615B">
        <w:rPr>
          <w:rFonts w:ascii="Times New Roman" w:hAnsi="Times New Roman" w:cs="Times New Roman"/>
          <w:sz w:val="24"/>
          <w:szCs w:val="24"/>
        </w:rPr>
        <w:t xml:space="preserve"> e 165.000 metros cúbicos de madeira</w:t>
      </w:r>
      <w:r w:rsidR="00FF7CA1" w:rsidRPr="0015615B">
        <w:rPr>
          <w:rFonts w:ascii="Times New Roman" w:hAnsi="Times New Roman" w:cs="Times New Roman"/>
          <w:sz w:val="24"/>
          <w:szCs w:val="24"/>
        </w:rPr>
        <w:t xml:space="preserve"> provenientes do</w:t>
      </w:r>
      <w:r w:rsidR="00573389" w:rsidRPr="0015615B">
        <w:rPr>
          <w:rFonts w:ascii="Times New Roman" w:hAnsi="Times New Roman" w:cs="Times New Roman"/>
          <w:sz w:val="24"/>
          <w:szCs w:val="24"/>
        </w:rPr>
        <w:t xml:space="preserve"> eucalipto</w:t>
      </w:r>
      <w:r w:rsidR="009E36FF" w:rsidRPr="0015615B">
        <w:rPr>
          <w:rFonts w:ascii="Times New Roman" w:hAnsi="Times New Roman" w:cs="Times New Roman"/>
          <w:sz w:val="24"/>
          <w:szCs w:val="24"/>
        </w:rPr>
        <w:t>, o que co</w:t>
      </w:r>
      <w:r w:rsidR="00EC0553" w:rsidRPr="0015615B">
        <w:rPr>
          <w:rFonts w:ascii="Times New Roman" w:hAnsi="Times New Roman" w:cs="Times New Roman"/>
          <w:sz w:val="24"/>
          <w:szCs w:val="24"/>
        </w:rPr>
        <w:t>rrespondeu a</w:t>
      </w:r>
      <w:r w:rsidR="009E36FF" w:rsidRPr="0015615B">
        <w:rPr>
          <w:rFonts w:ascii="Times New Roman" w:hAnsi="Times New Roman" w:cs="Times New Roman"/>
          <w:sz w:val="24"/>
          <w:szCs w:val="24"/>
        </w:rPr>
        <w:t xml:space="preserve"> </w:t>
      </w:r>
      <w:r w:rsidR="00EC0553" w:rsidRPr="0015615B">
        <w:rPr>
          <w:rFonts w:ascii="Times New Roman" w:hAnsi="Times New Roman" w:cs="Times New Roman"/>
          <w:sz w:val="24"/>
          <w:szCs w:val="24"/>
        </w:rPr>
        <w:t xml:space="preserve">R$ </w:t>
      </w:r>
      <w:r w:rsidR="009E36FF" w:rsidRPr="0015615B">
        <w:rPr>
          <w:rFonts w:ascii="Times New Roman" w:hAnsi="Times New Roman" w:cs="Times New Roman"/>
          <w:sz w:val="24"/>
          <w:szCs w:val="24"/>
        </w:rPr>
        <w:t>306.600</w:t>
      </w:r>
      <w:r w:rsidR="00EC0553" w:rsidRPr="0015615B">
        <w:rPr>
          <w:rFonts w:ascii="Times New Roman" w:hAnsi="Times New Roman" w:cs="Times New Roman"/>
          <w:sz w:val="24"/>
          <w:szCs w:val="24"/>
        </w:rPr>
        <w:t>. Não obstante, é represent</w:t>
      </w:r>
      <w:r w:rsidR="00FF7CA1" w:rsidRPr="0015615B">
        <w:rPr>
          <w:rFonts w:ascii="Times New Roman" w:hAnsi="Times New Roman" w:cs="Times New Roman"/>
          <w:sz w:val="24"/>
          <w:szCs w:val="24"/>
        </w:rPr>
        <w:t>ativo o uso do solo</w:t>
      </w:r>
      <w:r w:rsidR="00EC0553" w:rsidRPr="0015615B">
        <w:rPr>
          <w:rFonts w:ascii="Times New Roman" w:hAnsi="Times New Roman" w:cs="Times New Roman"/>
          <w:sz w:val="24"/>
          <w:szCs w:val="24"/>
        </w:rPr>
        <w:t xml:space="preserve"> pelas lavouras temporárias. No </w:t>
      </w:r>
      <w:r w:rsidR="00FF7CA1" w:rsidRPr="0015615B">
        <w:rPr>
          <w:rFonts w:ascii="Times New Roman" w:hAnsi="Times New Roman" w:cs="Times New Roman"/>
          <w:sz w:val="24"/>
          <w:szCs w:val="24"/>
        </w:rPr>
        <w:t>Gráfico 1 se observa</w:t>
      </w:r>
      <w:r w:rsidR="00EC0553" w:rsidRPr="0015615B">
        <w:rPr>
          <w:rFonts w:ascii="Times New Roman" w:hAnsi="Times New Roman" w:cs="Times New Roman"/>
          <w:sz w:val="24"/>
          <w:szCs w:val="24"/>
        </w:rPr>
        <w:t xml:space="preserve"> </w:t>
      </w:r>
      <w:r w:rsidR="00156D94" w:rsidRPr="0015615B">
        <w:rPr>
          <w:rFonts w:ascii="Times New Roman" w:hAnsi="Times New Roman" w:cs="Times New Roman"/>
          <w:sz w:val="24"/>
          <w:szCs w:val="24"/>
        </w:rPr>
        <w:t xml:space="preserve">algumas das </w:t>
      </w:r>
      <w:r w:rsidR="00EC0553" w:rsidRPr="0015615B">
        <w:rPr>
          <w:rFonts w:ascii="Times New Roman" w:hAnsi="Times New Roman" w:cs="Times New Roman"/>
          <w:sz w:val="24"/>
          <w:szCs w:val="24"/>
        </w:rPr>
        <w:t>culturas agrícolas cultivad</w:t>
      </w:r>
      <w:r w:rsidR="00143046" w:rsidRPr="0015615B">
        <w:rPr>
          <w:rFonts w:ascii="Times New Roman" w:hAnsi="Times New Roman" w:cs="Times New Roman"/>
          <w:sz w:val="24"/>
          <w:szCs w:val="24"/>
        </w:rPr>
        <w:t>as em Itapuranga. Nele é notório o predomínio</w:t>
      </w:r>
      <w:r w:rsidR="00EC0553" w:rsidRPr="0015615B">
        <w:rPr>
          <w:rFonts w:ascii="Times New Roman" w:hAnsi="Times New Roman" w:cs="Times New Roman"/>
          <w:sz w:val="24"/>
          <w:szCs w:val="24"/>
        </w:rPr>
        <w:t xml:space="preserve"> da cana</w:t>
      </w:r>
      <w:r w:rsidR="001A54BB" w:rsidRPr="0015615B">
        <w:rPr>
          <w:rFonts w:ascii="Times New Roman" w:hAnsi="Times New Roman" w:cs="Times New Roman"/>
          <w:sz w:val="24"/>
          <w:szCs w:val="24"/>
        </w:rPr>
        <w:t xml:space="preserve"> no que se refere </w:t>
      </w:r>
      <w:r w:rsidR="00FF7CA1" w:rsidRPr="0015615B">
        <w:rPr>
          <w:rFonts w:ascii="Times New Roman" w:hAnsi="Times New Roman" w:cs="Times New Roman"/>
          <w:sz w:val="24"/>
          <w:szCs w:val="24"/>
        </w:rPr>
        <w:t>à</w:t>
      </w:r>
      <w:r w:rsidR="001A54BB" w:rsidRPr="0015615B">
        <w:rPr>
          <w:rFonts w:ascii="Times New Roman" w:hAnsi="Times New Roman" w:cs="Times New Roman"/>
          <w:sz w:val="24"/>
          <w:szCs w:val="24"/>
        </w:rPr>
        <w:t xml:space="preserve"> lavoura temporária</w:t>
      </w:r>
      <w:r w:rsidR="00EC0553" w:rsidRPr="0015615B">
        <w:rPr>
          <w:rFonts w:ascii="Times New Roman" w:hAnsi="Times New Roman" w:cs="Times New Roman"/>
          <w:sz w:val="24"/>
          <w:szCs w:val="24"/>
        </w:rPr>
        <w:t xml:space="preserve">, com uma produção ascendente de 2000 </w:t>
      </w:r>
      <w:r w:rsidR="008826A7" w:rsidRPr="0015615B">
        <w:rPr>
          <w:rFonts w:ascii="Times New Roman" w:hAnsi="Times New Roman" w:cs="Times New Roman"/>
          <w:sz w:val="24"/>
          <w:szCs w:val="24"/>
        </w:rPr>
        <w:t xml:space="preserve">a 2008, sendo </w:t>
      </w:r>
      <w:r w:rsidR="004A285E">
        <w:rPr>
          <w:rFonts w:ascii="Times New Roman" w:hAnsi="Times New Roman" w:cs="Times New Roman"/>
          <w:sz w:val="24"/>
          <w:szCs w:val="24"/>
        </w:rPr>
        <w:t xml:space="preserve">que </w:t>
      </w:r>
      <w:r w:rsidR="008826A7" w:rsidRPr="0015615B">
        <w:rPr>
          <w:rFonts w:ascii="Times New Roman" w:hAnsi="Times New Roman" w:cs="Times New Roman"/>
          <w:sz w:val="24"/>
          <w:szCs w:val="24"/>
        </w:rPr>
        <w:t xml:space="preserve">para 2009 não há dados disponíveis e </w:t>
      </w:r>
      <w:r w:rsidR="00143046" w:rsidRPr="0015615B">
        <w:rPr>
          <w:rFonts w:ascii="Times New Roman" w:hAnsi="Times New Roman" w:cs="Times New Roman"/>
          <w:sz w:val="24"/>
          <w:szCs w:val="24"/>
        </w:rPr>
        <w:t>entre 2010 e 2013</w:t>
      </w:r>
      <w:r w:rsidR="00EC0553" w:rsidRPr="0015615B">
        <w:rPr>
          <w:rFonts w:ascii="Times New Roman" w:hAnsi="Times New Roman" w:cs="Times New Roman"/>
          <w:sz w:val="24"/>
          <w:szCs w:val="24"/>
        </w:rPr>
        <w:t xml:space="preserve"> sofre</w:t>
      </w:r>
      <w:r w:rsidR="00E515B0" w:rsidRPr="0015615B">
        <w:rPr>
          <w:rFonts w:ascii="Times New Roman" w:hAnsi="Times New Roman" w:cs="Times New Roman"/>
          <w:sz w:val="24"/>
          <w:szCs w:val="24"/>
        </w:rPr>
        <w:t>u variações</w:t>
      </w:r>
      <w:r w:rsidR="00B02FBD" w:rsidRPr="0015615B">
        <w:rPr>
          <w:rFonts w:ascii="Times New Roman" w:hAnsi="Times New Roman" w:cs="Times New Roman"/>
          <w:sz w:val="24"/>
          <w:szCs w:val="24"/>
        </w:rPr>
        <w:t>, tanto para mais quanto</w:t>
      </w:r>
      <w:r w:rsidR="00D16194" w:rsidRPr="0015615B">
        <w:rPr>
          <w:rFonts w:ascii="Times New Roman" w:hAnsi="Times New Roman" w:cs="Times New Roman"/>
          <w:sz w:val="24"/>
          <w:szCs w:val="24"/>
        </w:rPr>
        <w:t xml:space="preserve"> para menos</w:t>
      </w:r>
      <w:r w:rsidR="00EC0553" w:rsidRPr="0015615B">
        <w:rPr>
          <w:rFonts w:ascii="Times New Roman" w:hAnsi="Times New Roman" w:cs="Times New Roman"/>
          <w:sz w:val="24"/>
          <w:szCs w:val="24"/>
        </w:rPr>
        <w:t>. Des</w:t>
      </w:r>
      <w:r w:rsidR="00143046" w:rsidRPr="0015615B">
        <w:rPr>
          <w:rFonts w:ascii="Times New Roman" w:hAnsi="Times New Roman" w:cs="Times New Roman"/>
          <w:sz w:val="24"/>
          <w:szCs w:val="24"/>
        </w:rPr>
        <w:t>se modo, a cana saiu</w:t>
      </w:r>
      <w:r w:rsidR="00EC0553" w:rsidRPr="0015615B">
        <w:rPr>
          <w:rFonts w:ascii="Times New Roman" w:hAnsi="Times New Roman" w:cs="Times New Roman"/>
          <w:sz w:val="24"/>
          <w:szCs w:val="24"/>
        </w:rPr>
        <w:t xml:space="preserve"> de 800 toneladas em 200</w:t>
      </w:r>
      <w:r w:rsidR="00B02FBD" w:rsidRPr="0015615B">
        <w:rPr>
          <w:rFonts w:ascii="Times New Roman" w:hAnsi="Times New Roman" w:cs="Times New Roman"/>
          <w:sz w:val="24"/>
          <w:szCs w:val="24"/>
        </w:rPr>
        <w:t>0 para 885.000 toneladas em 2008, caindo para 463.592 toneladas em 2013</w:t>
      </w:r>
      <w:r w:rsidR="00EC0553" w:rsidRPr="0015615B">
        <w:rPr>
          <w:rFonts w:ascii="Times New Roman" w:hAnsi="Times New Roman" w:cs="Times New Roman"/>
          <w:sz w:val="24"/>
          <w:szCs w:val="24"/>
        </w:rPr>
        <w:t>.</w:t>
      </w:r>
      <w:r w:rsidR="009379F4" w:rsidRPr="0015615B">
        <w:t xml:space="preserve"> </w:t>
      </w:r>
    </w:p>
    <w:tbl>
      <w:tblPr>
        <w:tblW w:w="0" w:type="auto"/>
        <w:jc w:val="center"/>
        <w:tblInd w:w="1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944"/>
      </w:tblGrid>
      <w:tr w:rsidR="00060C92" w:rsidRPr="0015615B" w:rsidTr="001F267F">
        <w:trPr>
          <w:trHeight w:val="3630"/>
          <w:jc w:val="center"/>
        </w:trPr>
        <w:tc>
          <w:tcPr>
            <w:tcW w:w="6380" w:type="dxa"/>
          </w:tcPr>
          <w:p w:rsidR="00060C92" w:rsidRPr="0015615B" w:rsidRDefault="007622DE" w:rsidP="0015615B">
            <w:pPr>
              <w:spacing w:after="0" w:line="240" w:lineRule="auto"/>
              <w:jc w:val="both"/>
              <w:rPr>
                <w:rFonts w:ascii="Times New Roman" w:hAnsi="Times New Roman" w:cs="Times New Roman"/>
                <w:b/>
                <w:sz w:val="24"/>
                <w:szCs w:val="24"/>
              </w:rPr>
            </w:pPr>
            <w:r w:rsidRPr="0015615B">
              <w:rPr>
                <w:rFonts w:ascii="Times New Roman" w:hAnsi="Times New Roman" w:cs="Times New Roman"/>
                <w:b/>
                <w:noProof/>
                <w:sz w:val="24"/>
                <w:szCs w:val="24"/>
              </w:rPr>
              <w:lastRenderedPageBreak/>
              <w:drawing>
                <wp:inline distT="0" distB="0" distL="0" distR="0">
                  <wp:extent cx="4320000" cy="2876550"/>
                  <wp:effectExtent l="0" t="0" r="0" b="0"/>
                  <wp:docPr id="4" name="Image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7" cstate="print"/>
                          <a:srcRect/>
                          <a:stretch>
                            <a:fillRect/>
                          </a:stretch>
                        </pic:blipFill>
                        <pic:spPr bwMode="auto">
                          <a:xfrm>
                            <a:off x="0" y="0"/>
                            <a:ext cx="4320000" cy="2876550"/>
                          </a:xfrm>
                          <a:prstGeom prst="rect">
                            <a:avLst/>
                          </a:prstGeom>
                          <a:noFill/>
                          <a:ln w="9525">
                            <a:noFill/>
                            <a:miter lim="800000"/>
                            <a:headEnd/>
                            <a:tailEnd/>
                          </a:ln>
                        </pic:spPr>
                      </pic:pic>
                    </a:graphicData>
                  </a:graphic>
                </wp:inline>
              </w:drawing>
            </w:r>
          </w:p>
        </w:tc>
      </w:tr>
      <w:tr w:rsidR="00060C92" w:rsidRPr="0015615B" w:rsidTr="001F267F">
        <w:trPr>
          <w:trHeight w:val="330"/>
          <w:jc w:val="center"/>
        </w:trPr>
        <w:tc>
          <w:tcPr>
            <w:tcW w:w="6380" w:type="dxa"/>
          </w:tcPr>
          <w:p w:rsidR="00060C92" w:rsidRPr="0015615B" w:rsidRDefault="00060C92" w:rsidP="0015615B">
            <w:pPr>
              <w:spacing w:after="0" w:line="240" w:lineRule="auto"/>
              <w:jc w:val="both"/>
              <w:rPr>
                <w:rFonts w:ascii="Times New Roman" w:hAnsi="Times New Roman" w:cs="Times New Roman"/>
                <w:sz w:val="24"/>
                <w:szCs w:val="24"/>
              </w:rPr>
            </w:pPr>
            <w:r w:rsidRPr="0015615B">
              <w:rPr>
                <w:rFonts w:ascii="Times New Roman" w:hAnsi="Times New Roman" w:cs="Times New Roman"/>
                <w:b/>
                <w:sz w:val="24"/>
                <w:szCs w:val="24"/>
              </w:rPr>
              <w:t xml:space="preserve">Gráfico </w:t>
            </w:r>
            <w:proofErr w:type="gramStart"/>
            <w:r w:rsidRPr="0015615B">
              <w:rPr>
                <w:rFonts w:ascii="Times New Roman" w:hAnsi="Times New Roman" w:cs="Times New Roman"/>
                <w:b/>
                <w:sz w:val="24"/>
                <w:szCs w:val="24"/>
              </w:rPr>
              <w:t>1</w:t>
            </w:r>
            <w:proofErr w:type="gramEnd"/>
            <w:r w:rsidRPr="0015615B">
              <w:rPr>
                <w:rFonts w:ascii="Times New Roman" w:hAnsi="Times New Roman" w:cs="Times New Roman"/>
                <w:b/>
                <w:sz w:val="24"/>
                <w:szCs w:val="24"/>
              </w:rPr>
              <w:t xml:space="preserve"> –</w:t>
            </w:r>
            <w:r w:rsidR="00C3545B">
              <w:rPr>
                <w:rFonts w:ascii="Times New Roman" w:hAnsi="Times New Roman" w:cs="Times New Roman"/>
                <w:sz w:val="24"/>
                <w:szCs w:val="24"/>
              </w:rPr>
              <w:t xml:space="preserve"> Estado de Goiás – município de Itapuranga – produção a</w:t>
            </w:r>
            <w:r w:rsidRPr="0015615B">
              <w:rPr>
                <w:rFonts w:ascii="Times New Roman" w:hAnsi="Times New Roman" w:cs="Times New Roman"/>
                <w:sz w:val="24"/>
                <w:szCs w:val="24"/>
              </w:rPr>
              <w:t>grícola</w:t>
            </w:r>
            <w:r w:rsidR="00C3545B">
              <w:rPr>
                <w:rFonts w:ascii="Times New Roman" w:hAnsi="Times New Roman" w:cs="Times New Roman"/>
                <w:sz w:val="24"/>
                <w:szCs w:val="24"/>
              </w:rPr>
              <w:t xml:space="preserve"> em toneladas de diferentes culturas a</w:t>
            </w:r>
            <w:r w:rsidR="00A62E4E" w:rsidRPr="0015615B">
              <w:rPr>
                <w:rFonts w:ascii="Times New Roman" w:hAnsi="Times New Roman" w:cs="Times New Roman"/>
                <w:sz w:val="24"/>
                <w:szCs w:val="24"/>
              </w:rPr>
              <w:t>grícolas (</w:t>
            </w:r>
            <w:r w:rsidRPr="0015615B">
              <w:rPr>
                <w:rFonts w:ascii="Times New Roman" w:hAnsi="Times New Roman" w:cs="Times New Roman"/>
                <w:sz w:val="24"/>
                <w:szCs w:val="24"/>
              </w:rPr>
              <w:t>2000 a 2013</w:t>
            </w:r>
            <w:r w:rsidR="00A62E4E" w:rsidRPr="0015615B">
              <w:rPr>
                <w:rFonts w:ascii="Times New Roman" w:hAnsi="Times New Roman" w:cs="Times New Roman"/>
                <w:sz w:val="24"/>
                <w:szCs w:val="24"/>
              </w:rPr>
              <w:t>)</w:t>
            </w:r>
            <w:r w:rsidRPr="0015615B">
              <w:rPr>
                <w:rFonts w:ascii="Times New Roman" w:hAnsi="Times New Roman" w:cs="Times New Roman"/>
                <w:sz w:val="24"/>
                <w:szCs w:val="24"/>
              </w:rPr>
              <w:t xml:space="preserve">. </w:t>
            </w:r>
            <w:r w:rsidRPr="0015615B">
              <w:rPr>
                <w:rFonts w:ascii="Times New Roman" w:hAnsi="Times New Roman" w:cs="Times New Roman"/>
                <w:b/>
                <w:sz w:val="20"/>
                <w:szCs w:val="20"/>
              </w:rPr>
              <w:t>Fonte:</w:t>
            </w:r>
            <w:r w:rsidR="00D9169B" w:rsidRPr="0015615B">
              <w:rPr>
                <w:rFonts w:ascii="Times New Roman" w:hAnsi="Times New Roman" w:cs="Times New Roman"/>
                <w:sz w:val="20"/>
                <w:szCs w:val="20"/>
              </w:rPr>
              <w:t xml:space="preserve"> IMB</w:t>
            </w:r>
            <w:r w:rsidRPr="0015615B">
              <w:rPr>
                <w:rFonts w:ascii="Times New Roman" w:hAnsi="Times New Roman" w:cs="Times New Roman"/>
                <w:sz w:val="20"/>
                <w:szCs w:val="20"/>
              </w:rPr>
              <w:t xml:space="preserve">-2015.  </w:t>
            </w:r>
            <w:r w:rsidRPr="0015615B">
              <w:rPr>
                <w:rFonts w:ascii="Times New Roman" w:hAnsi="Times New Roman" w:cs="Times New Roman"/>
                <w:b/>
                <w:sz w:val="20"/>
                <w:szCs w:val="20"/>
              </w:rPr>
              <w:t>Elaboração:</w:t>
            </w:r>
            <w:r w:rsidR="00484DEA">
              <w:rPr>
                <w:rFonts w:ascii="Times New Roman" w:hAnsi="Times New Roman" w:cs="Times New Roman"/>
                <w:sz w:val="20"/>
                <w:szCs w:val="20"/>
              </w:rPr>
              <w:t xml:space="preserve"> Autor</w:t>
            </w:r>
            <w:r w:rsidRPr="0015615B">
              <w:rPr>
                <w:rFonts w:ascii="Times New Roman" w:hAnsi="Times New Roman" w:cs="Times New Roman"/>
                <w:sz w:val="20"/>
                <w:szCs w:val="20"/>
              </w:rPr>
              <w:t>.</w:t>
            </w:r>
          </w:p>
        </w:tc>
      </w:tr>
    </w:tbl>
    <w:p w:rsidR="00682BEA" w:rsidRPr="0015615B" w:rsidRDefault="008D5C22" w:rsidP="009379F4">
      <w:pPr>
        <w:pStyle w:val="NormalWeb"/>
        <w:spacing w:before="0" w:beforeAutospacing="0" w:after="0" w:afterAutospacing="0"/>
        <w:jc w:val="both"/>
      </w:pPr>
      <w:r w:rsidRPr="0015615B">
        <w:t xml:space="preserve"> </w:t>
      </w:r>
    </w:p>
    <w:p w:rsidR="004A285E" w:rsidRPr="001F267F" w:rsidRDefault="005E5A95" w:rsidP="004A285E">
      <w:pPr>
        <w:pStyle w:val="NormalWeb"/>
        <w:spacing w:before="0" w:beforeAutospacing="0" w:after="0" w:afterAutospacing="0"/>
        <w:jc w:val="both"/>
      </w:pPr>
      <w:r w:rsidRPr="0015615B">
        <w:tab/>
      </w:r>
      <w:r w:rsidR="004A285E" w:rsidRPr="0015615B">
        <w:t xml:space="preserve">A resposta para o predomínio desta cultura está na presença da empresa do setor </w:t>
      </w:r>
      <w:proofErr w:type="spellStart"/>
      <w:r w:rsidR="004A285E" w:rsidRPr="0015615B">
        <w:t>sucroenergético</w:t>
      </w:r>
      <w:proofErr w:type="spellEnd"/>
      <w:r w:rsidR="004A285E" w:rsidRPr="0015615B">
        <w:t xml:space="preserve"> Vale Verde Empreendimentos Agrícolas, </w:t>
      </w:r>
      <w:proofErr w:type="spellStart"/>
      <w:r w:rsidR="004A285E" w:rsidRPr="0015615B">
        <w:t>territorializada</w:t>
      </w:r>
      <w:proofErr w:type="spellEnd"/>
      <w:r w:rsidR="004A285E" w:rsidRPr="0015615B">
        <w:t xml:space="preserve"> desde 2005 em </w:t>
      </w:r>
      <w:proofErr w:type="spellStart"/>
      <w:r w:rsidR="004A285E" w:rsidRPr="0015615B">
        <w:t>Itapuranga</w:t>
      </w:r>
      <w:proofErr w:type="spellEnd"/>
      <w:r w:rsidR="004A285E" w:rsidRPr="0015615B">
        <w:t xml:space="preserve">, que adquiriu as instalações da empresa PITE S/A. Segundo o Grupo Farias (2015) detentor da empresa, a sua capacidade produtiva é de 1,3 milhões de toneladas de cana por safra e 103 mil m³ de etanol. </w:t>
      </w:r>
      <w:proofErr w:type="gramStart"/>
      <w:r w:rsidR="004A285E" w:rsidRPr="0015615B">
        <w:t>O Grupo Farias</w:t>
      </w:r>
      <w:proofErr w:type="gramEnd"/>
      <w:r w:rsidR="004A285E" w:rsidRPr="0015615B">
        <w:t xml:space="preserve"> tem atuação nos setores </w:t>
      </w:r>
      <w:proofErr w:type="spellStart"/>
      <w:r w:rsidR="004A285E" w:rsidRPr="0015615B">
        <w:t>sucroenergético</w:t>
      </w:r>
      <w:proofErr w:type="spellEnd"/>
      <w:r w:rsidR="004A285E" w:rsidRPr="0015615B">
        <w:t xml:space="preserve">, agropecuário, fruticultor, logístico e de desenvolvimento imobiliário. Segundo as informações fornecidas no sítio do grupo, conta com seis unidades produtivas de </w:t>
      </w:r>
      <w:proofErr w:type="spellStart"/>
      <w:r w:rsidR="004A285E" w:rsidRPr="0015615B">
        <w:t>agrocombustíveis</w:t>
      </w:r>
      <w:proofErr w:type="spellEnd"/>
      <w:r w:rsidR="004A285E" w:rsidRPr="0015615B">
        <w:t>, localizadas em quatro estados brasileiros (Goiás, Pernambuco, Rio Grande do Norte e Acre).</w:t>
      </w:r>
    </w:p>
    <w:p w:rsidR="00FB216A" w:rsidRDefault="004A285E" w:rsidP="0015615B">
      <w:pPr>
        <w:pStyle w:val="NormalWeb"/>
        <w:spacing w:before="0" w:beforeAutospacing="0" w:after="0" w:afterAutospacing="0"/>
        <w:jc w:val="both"/>
      </w:pPr>
      <w:r>
        <w:rPr>
          <w:rFonts w:eastAsiaTheme="minorHAnsi"/>
          <w:b/>
          <w:color w:val="auto"/>
          <w:lang w:eastAsia="en-US"/>
        </w:rPr>
        <w:tab/>
      </w:r>
      <w:r w:rsidRPr="0015615B">
        <w:t xml:space="preserve">O Estado, por meio do Plano Nacional de </w:t>
      </w:r>
      <w:proofErr w:type="spellStart"/>
      <w:r w:rsidRPr="0015615B">
        <w:t>Agroenergia</w:t>
      </w:r>
      <w:proofErr w:type="spellEnd"/>
      <w:r w:rsidRPr="0015615B">
        <w:t xml:space="preserve"> (</w:t>
      </w:r>
      <w:proofErr w:type="spellStart"/>
      <w:r w:rsidRPr="0015615B">
        <w:t>PNA</w:t>
      </w:r>
      <w:proofErr w:type="spellEnd"/>
      <w:r w:rsidRPr="0015615B">
        <w:t>), foi fundamental no crescimento da Vale Verde. Segundo o Relatório do PAC (2010), a empresa recebeu entre 2007 e 2010 o valor de R$ 143,2 milhões do governo federal, como parte das estratégias estabelecidas para o crescimento do setor de agrocombustíveis. Esse aporte financeiro foi significativo para a monopolização da produção de lavoura temporária, com a produção em 20 hectares de cana em 2000 saltando para 7.239 hectares em 2013. Como declara Teixeira (2013) o Estado sustenta o agronegócio no Brasil, com políticas de crédito, além de prorrogação, repactuação e perdão de dívidas, entre outras medidas. Desta maneira, no Gráfico 1 se nota a consequência desta política pública setorial, com a diminuição de culturas típicas da produção camponesa, como o a</w:t>
      </w:r>
      <w:r>
        <w:t>rroz e o feijão. Assim o arroz c</w:t>
      </w:r>
      <w:r w:rsidRPr="0015615B">
        <w:t xml:space="preserve">aiu de 3.080 toneladas em 2000 para 720 toneladas em 2013, enquanto o feijão obteve 480 toneladas em 2000 e </w:t>
      </w:r>
      <w:r>
        <w:t xml:space="preserve">somente </w:t>
      </w:r>
      <w:r w:rsidRPr="0015615B">
        <w:t xml:space="preserve">28 toneladas em 2013. Quanto à área, o primeiro ocupava 1.400 hectares em 2000 e 300 hectares em 2013, já o feijão ocupava 800 hectares em 2000 e 50 hectares em 2013. </w:t>
      </w:r>
    </w:p>
    <w:p w:rsidR="00E515B0" w:rsidRPr="0015615B" w:rsidRDefault="00FB216A" w:rsidP="0015615B">
      <w:pPr>
        <w:pStyle w:val="NormalWeb"/>
        <w:spacing w:before="0" w:beforeAutospacing="0" w:after="0" w:afterAutospacing="0"/>
        <w:jc w:val="both"/>
      </w:pPr>
      <w:r>
        <w:tab/>
      </w:r>
      <w:r w:rsidR="00682BEA" w:rsidRPr="0015615B">
        <w:t xml:space="preserve">Almeida </w:t>
      </w:r>
      <w:r w:rsidR="009D43AF" w:rsidRPr="0015615B">
        <w:t xml:space="preserve">&amp; </w:t>
      </w:r>
      <w:r w:rsidR="00143046" w:rsidRPr="0015615B">
        <w:t xml:space="preserve">Machado (2012) </w:t>
      </w:r>
      <w:r w:rsidR="004A285E">
        <w:t>contribuem no entendimento dess</w:t>
      </w:r>
      <w:r w:rsidR="00156D94" w:rsidRPr="0015615B">
        <w:t>a questão</w:t>
      </w:r>
      <w:r w:rsidR="009D43AF" w:rsidRPr="0015615B">
        <w:t>. Segundo eles,</w:t>
      </w:r>
      <w:r w:rsidR="00682BEA" w:rsidRPr="0015615B">
        <w:t xml:space="preserve"> apesar da maioria das propriedades </w:t>
      </w:r>
      <w:r w:rsidR="00156D94" w:rsidRPr="0015615B">
        <w:t xml:space="preserve">em Itapuranga </w:t>
      </w:r>
      <w:r w:rsidR="00682BEA" w:rsidRPr="0015615B">
        <w:t xml:space="preserve">serem camponesas, </w:t>
      </w:r>
      <w:r w:rsidR="005E5A95" w:rsidRPr="0015615B">
        <w:t xml:space="preserve">de um total de setenta famílias </w:t>
      </w:r>
      <w:r w:rsidR="009D43AF" w:rsidRPr="0015615B">
        <w:t>e</w:t>
      </w:r>
      <w:r w:rsidR="002A72D8" w:rsidRPr="0015615B">
        <w:t>ntrevistas, vinte e duas dessas famílias</w:t>
      </w:r>
      <w:r w:rsidR="009D43AF" w:rsidRPr="0015615B">
        <w:t xml:space="preserve">, </w:t>
      </w:r>
      <w:r w:rsidR="002A72D8" w:rsidRPr="0015615B">
        <w:t>ou</w:t>
      </w:r>
      <w:r w:rsidR="009D43AF" w:rsidRPr="0015615B">
        <w:t xml:space="preserve"> 31,4%</w:t>
      </w:r>
      <w:r w:rsidR="002A72D8" w:rsidRPr="0015615B">
        <w:t xml:space="preserve"> delas</w:t>
      </w:r>
      <w:r w:rsidR="005E5A95" w:rsidRPr="0015615B">
        <w:t xml:space="preserve"> não tinham</w:t>
      </w:r>
      <w:r w:rsidR="00682BEA" w:rsidRPr="0015615B">
        <w:t xml:space="preserve"> acesso ao Programa Nacional de Apoio a Agricultura Familiar (PRONAF)</w:t>
      </w:r>
      <w:r w:rsidR="00C62D2C" w:rsidRPr="0015615B">
        <w:t>. Das demais famílias que receberam financiamento, os valores</w:t>
      </w:r>
      <w:r w:rsidR="006947A6" w:rsidRPr="0015615B">
        <w:t xml:space="preserve"> liberados ficavam</w:t>
      </w:r>
      <w:r w:rsidR="005E5A95" w:rsidRPr="0015615B">
        <w:t xml:space="preserve"> entre R$ 2.000 e R$ 12.50</w:t>
      </w:r>
      <w:r w:rsidR="002A72D8" w:rsidRPr="0015615B">
        <w:t>0</w:t>
      </w:r>
      <w:r w:rsidR="006947A6" w:rsidRPr="0015615B">
        <w:t>, sendo que 28,8% consideravam</w:t>
      </w:r>
      <w:r w:rsidR="005E5A95" w:rsidRPr="0015615B">
        <w:t xml:space="preserve"> insuficiente</w:t>
      </w:r>
      <w:r w:rsidR="006947A6" w:rsidRPr="0015615B">
        <w:t xml:space="preserve"> o valor financiado, 50% tinham</w:t>
      </w:r>
      <w:r w:rsidR="005E5A95" w:rsidRPr="0015615B">
        <w:t xml:space="preserve"> dificuldades para obtê-lo e 39,6% enc</w:t>
      </w:r>
      <w:r w:rsidR="006947A6" w:rsidRPr="0015615B">
        <w:t>ontrav</w:t>
      </w:r>
      <w:r w:rsidR="005E5A95" w:rsidRPr="0015615B">
        <w:t>am dificuldades par</w:t>
      </w:r>
      <w:r w:rsidR="006947A6" w:rsidRPr="0015615B">
        <w:t>a liquidá-lo. Além d</w:t>
      </w:r>
      <w:r w:rsidR="00C62D2C" w:rsidRPr="0015615B">
        <w:t>o mais, 66,7%</w:t>
      </w:r>
      <w:r w:rsidR="006947A6" w:rsidRPr="0015615B">
        <w:t xml:space="preserve"> acreditavam</w:t>
      </w:r>
      <w:r w:rsidR="005E5A95" w:rsidRPr="0015615B">
        <w:t xml:space="preserve"> que </w:t>
      </w:r>
      <w:r w:rsidR="006947A6" w:rsidRPr="0015615B">
        <w:t xml:space="preserve">o </w:t>
      </w:r>
      <w:r w:rsidR="006947A6" w:rsidRPr="0015615B">
        <w:lastRenderedPageBreak/>
        <w:t>progra</w:t>
      </w:r>
      <w:r w:rsidR="009D43AF" w:rsidRPr="0015615B">
        <w:t xml:space="preserve">ma precisava </w:t>
      </w:r>
      <w:proofErr w:type="gramStart"/>
      <w:r w:rsidR="009D43AF" w:rsidRPr="0015615B">
        <w:t>melhorar,</w:t>
      </w:r>
      <w:proofErr w:type="gramEnd"/>
      <w:r w:rsidR="009D43AF" w:rsidRPr="0015615B">
        <w:t xml:space="preserve"> </w:t>
      </w:r>
      <w:r w:rsidR="006947A6" w:rsidRPr="0015615B">
        <w:t>64,6% viram poucas melhorias em sua</w:t>
      </w:r>
      <w:r w:rsidR="002A72D8" w:rsidRPr="0015615B">
        <w:t>s</w:t>
      </w:r>
      <w:r w:rsidR="006947A6" w:rsidRPr="0015615B">
        <w:t xml:space="preserve"> vid</w:t>
      </w:r>
      <w:r w:rsidR="00C62D2C" w:rsidRPr="0015615B">
        <w:t>a</w:t>
      </w:r>
      <w:r w:rsidR="002A72D8" w:rsidRPr="0015615B">
        <w:t>s</w:t>
      </w:r>
      <w:r w:rsidR="00C62D2C" w:rsidRPr="0015615B">
        <w:t xml:space="preserve"> após o </w:t>
      </w:r>
      <w:r w:rsidR="009D43AF" w:rsidRPr="0015615B">
        <w:t>acesso ao PRONAF, enquanto 52,6% dos atendidos</w:t>
      </w:r>
      <w:r w:rsidR="006947A6" w:rsidRPr="0015615B">
        <w:t xml:space="preserve"> não tinha</w:t>
      </w:r>
      <w:r w:rsidR="004E60DF" w:rsidRPr="0015615B">
        <w:t xml:space="preserve">m acesso à assistência técnica. </w:t>
      </w:r>
    </w:p>
    <w:p w:rsidR="004E60DF" w:rsidRPr="0015615B" w:rsidRDefault="006947A6" w:rsidP="004E3BC6">
      <w:pPr>
        <w:pStyle w:val="NormalWeb"/>
        <w:spacing w:before="0" w:beforeAutospacing="0" w:after="0" w:afterAutospacing="0"/>
        <w:jc w:val="both"/>
      </w:pPr>
      <w:r w:rsidRPr="0015615B">
        <w:tab/>
        <w:t>Como declara Delgado (2013), no pac</w:t>
      </w:r>
      <w:r w:rsidR="004E60DF" w:rsidRPr="0015615B">
        <w:t>to de poder</w:t>
      </w:r>
      <w:r w:rsidR="004A285E">
        <w:t xml:space="preserve"> de economia política</w:t>
      </w:r>
      <w:r w:rsidRPr="0015615B">
        <w:t xml:space="preserve"> do agronegócio há uma ampliação dos financiamentos para as</w:t>
      </w:r>
      <w:r w:rsidRPr="0015615B">
        <w:rPr>
          <w:i/>
        </w:rPr>
        <w:t xml:space="preserve"> commodities</w:t>
      </w:r>
      <w:r w:rsidR="004E60DF" w:rsidRPr="0015615B">
        <w:t>. O</w:t>
      </w:r>
      <w:r w:rsidR="00B814D9" w:rsidRPr="0015615B">
        <w:t>s espaços de reprodução camponesa são monopolizados e sua atividade produtiva sofre com políticas públicas precárias, iso</w:t>
      </w:r>
      <w:r w:rsidR="003F5ED6">
        <w:t>ladas e benéficas ao setor mencionado</w:t>
      </w:r>
      <w:r w:rsidR="004E60DF" w:rsidRPr="0015615B">
        <w:t>, o que evidencia que não há políticas territoriais sólidas</w:t>
      </w:r>
      <w:r w:rsidR="00B814D9" w:rsidRPr="0015615B">
        <w:t>. Portanto</w:t>
      </w:r>
      <w:r w:rsidRPr="0015615B">
        <w:t>, como declara</w:t>
      </w:r>
      <w:r w:rsidR="00C62D2C" w:rsidRPr="0015615B">
        <w:t>m</w:t>
      </w:r>
      <w:r w:rsidRPr="0015615B">
        <w:t xml:space="preserve"> Fernandes &amp; </w:t>
      </w:r>
      <w:proofErr w:type="spellStart"/>
      <w:r w:rsidRPr="0015615B">
        <w:t>W</w:t>
      </w:r>
      <w:r w:rsidR="00B814D9" w:rsidRPr="0015615B">
        <w:t>elch</w:t>
      </w:r>
      <w:proofErr w:type="spellEnd"/>
      <w:r w:rsidR="00B814D9" w:rsidRPr="0015615B">
        <w:t xml:space="preserve"> (2008)</w:t>
      </w:r>
      <w:r w:rsidR="00A75C28" w:rsidRPr="0015615B">
        <w:t xml:space="preserve"> neste processo o</w:t>
      </w:r>
      <w:r w:rsidR="00D16194" w:rsidRPr="0015615B">
        <w:t xml:space="preserve"> campe</w:t>
      </w:r>
      <w:r w:rsidR="00A75C28" w:rsidRPr="0015615B">
        <w:t>sinato</w:t>
      </w:r>
      <w:r w:rsidR="00C62D2C" w:rsidRPr="0015615B">
        <w:t xml:space="preserve"> assume</w:t>
      </w:r>
      <w:r w:rsidR="00D16194" w:rsidRPr="0015615B">
        <w:t xml:space="preserve"> posição de subalterni</w:t>
      </w:r>
      <w:r w:rsidR="00A75C28" w:rsidRPr="0015615B">
        <w:t>dade</w:t>
      </w:r>
      <w:r w:rsidR="00B814D9" w:rsidRPr="0015615B">
        <w:t>.</w:t>
      </w:r>
      <w:r w:rsidR="00D16194" w:rsidRPr="0015615B">
        <w:t xml:space="preserve"> </w:t>
      </w:r>
      <w:r w:rsidR="004E60DF" w:rsidRPr="0015615B">
        <w:t xml:space="preserve">A tabela 2 reafirma a </w:t>
      </w:r>
      <w:r w:rsidR="00A75C28" w:rsidRPr="0015615B">
        <w:t>“asfixia” da produção camponesa na últi</w:t>
      </w:r>
      <w:r w:rsidR="00B814D9" w:rsidRPr="0015615B">
        <w:t>ma década. O tomate de mesa caiu</w:t>
      </w:r>
      <w:r w:rsidR="00A75C28" w:rsidRPr="0015615B">
        <w:t xml:space="preserve"> da produção de 750 toneladas em 2001 para 120 toneladas em 2013, a mandioca de 4.500 toneladas em 2000 para 375 to</w:t>
      </w:r>
      <w:r w:rsidR="00B814D9" w:rsidRPr="0015615B">
        <w:t>neladas em 2013, enquanto somente</w:t>
      </w:r>
      <w:r w:rsidR="00A75C28" w:rsidRPr="0015615B">
        <w:t xml:space="preserve"> a produção de guabiroba passou por crescimento, saindo de 1.500 toneladas</w:t>
      </w:r>
      <w:r w:rsidR="00C62D2C" w:rsidRPr="0015615B">
        <w:t xml:space="preserve"> de palmito</w:t>
      </w:r>
      <w:r w:rsidR="00A75C28" w:rsidRPr="0015615B">
        <w:t xml:space="preserve"> em 2000 para 3.475 em 2013.</w:t>
      </w:r>
      <w:r w:rsidR="004E60DF" w:rsidRPr="0015615B">
        <w:t xml:space="preserve"> </w:t>
      </w:r>
    </w:p>
    <w:p w:rsidR="00A75C28" w:rsidRPr="0015615B" w:rsidRDefault="00A75C28" w:rsidP="0015615B">
      <w:pPr>
        <w:pStyle w:val="NormalWeb"/>
        <w:spacing w:before="0" w:beforeAutospacing="0" w:after="0" w:afterAutospacing="0"/>
        <w:jc w:val="both"/>
      </w:pPr>
    </w:p>
    <w:tbl>
      <w:tblPr>
        <w:tblStyle w:val="SombreamentoClaro-nfase4"/>
        <w:tblW w:w="8768" w:type="dxa"/>
        <w:jc w:val="center"/>
        <w:tblInd w:w="-262" w:type="dxa"/>
        <w:tblLayout w:type="fixed"/>
        <w:tblLook w:val="0600"/>
      </w:tblPr>
      <w:tblGrid>
        <w:gridCol w:w="1255"/>
        <w:gridCol w:w="1276"/>
        <w:gridCol w:w="1417"/>
        <w:gridCol w:w="1418"/>
        <w:gridCol w:w="1134"/>
        <w:gridCol w:w="1134"/>
        <w:gridCol w:w="1134"/>
      </w:tblGrid>
      <w:tr w:rsidR="00574DDD" w:rsidRPr="0015615B" w:rsidTr="00707DC6">
        <w:trPr>
          <w:trHeight w:val="287"/>
          <w:jc w:val="center"/>
        </w:trPr>
        <w:tc>
          <w:tcPr>
            <w:tcW w:w="8768" w:type="dxa"/>
            <w:gridSpan w:val="7"/>
            <w:tcBorders>
              <w:bottom w:val="single" w:sz="4" w:space="0" w:color="auto"/>
            </w:tcBorders>
          </w:tcPr>
          <w:p w:rsidR="00574DDD" w:rsidRPr="0015615B" w:rsidRDefault="00574DDD" w:rsidP="0015615B">
            <w:pPr>
              <w:jc w:val="both"/>
              <w:rPr>
                <w:rFonts w:ascii="Times New Roman" w:hAnsi="Times New Roman" w:cs="Times New Roman"/>
                <w:color w:val="auto"/>
                <w:sz w:val="24"/>
                <w:szCs w:val="24"/>
              </w:rPr>
            </w:pPr>
            <w:r w:rsidRPr="0015615B">
              <w:rPr>
                <w:rFonts w:ascii="Times New Roman" w:hAnsi="Times New Roman" w:cs="Times New Roman"/>
                <w:b/>
                <w:color w:val="auto"/>
                <w:sz w:val="24"/>
                <w:szCs w:val="24"/>
              </w:rPr>
              <w:t>Tabela 2</w:t>
            </w:r>
            <w:r w:rsidRPr="0015615B">
              <w:rPr>
                <w:rFonts w:ascii="Times New Roman" w:hAnsi="Times New Roman" w:cs="Times New Roman"/>
                <w:color w:val="auto"/>
                <w:sz w:val="24"/>
                <w:szCs w:val="24"/>
              </w:rPr>
              <w:t xml:space="preserve"> - Estado de </w:t>
            </w:r>
            <w:r w:rsidR="00C3545B">
              <w:rPr>
                <w:rFonts w:ascii="Times New Roman" w:hAnsi="Times New Roman" w:cs="Times New Roman"/>
                <w:color w:val="auto"/>
                <w:sz w:val="24"/>
                <w:szCs w:val="24"/>
              </w:rPr>
              <w:t>Goiás – município de Itapuranga – p</w:t>
            </w:r>
            <w:r w:rsidRPr="0015615B">
              <w:rPr>
                <w:rFonts w:ascii="Times New Roman" w:hAnsi="Times New Roman" w:cs="Times New Roman"/>
                <w:color w:val="auto"/>
                <w:sz w:val="24"/>
                <w:szCs w:val="24"/>
              </w:rPr>
              <w:t>rodução vegetal (2000-2013).</w:t>
            </w:r>
          </w:p>
        </w:tc>
      </w:tr>
      <w:tr w:rsidR="00574DDD" w:rsidRPr="0015615B" w:rsidTr="00707DC6">
        <w:trPr>
          <w:trHeight w:val="527"/>
          <w:jc w:val="center"/>
        </w:trPr>
        <w:tc>
          <w:tcPr>
            <w:tcW w:w="1255" w:type="dxa"/>
            <w:tcBorders>
              <w:top w:val="single" w:sz="4" w:space="0" w:color="auto"/>
              <w:bottom w:val="single" w:sz="4" w:space="0" w:color="auto"/>
              <w:right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Períodos</w:t>
            </w:r>
          </w:p>
        </w:tc>
        <w:tc>
          <w:tcPr>
            <w:tcW w:w="1276" w:type="dxa"/>
            <w:tcBorders>
              <w:top w:val="single" w:sz="4" w:space="0" w:color="auto"/>
              <w:left w:val="single" w:sz="4" w:space="0" w:color="auto"/>
              <w:bottom w:val="single" w:sz="4" w:space="0" w:color="auto"/>
              <w:right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Produção de tomate, (T.).</w:t>
            </w:r>
          </w:p>
        </w:tc>
        <w:tc>
          <w:tcPr>
            <w:tcW w:w="1417" w:type="dxa"/>
            <w:tcBorders>
              <w:top w:val="single" w:sz="4" w:space="0" w:color="auto"/>
              <w:left w:val="single" w:sz="4" w:space="0" w:color="auto"/>
              <w:bottom w:val="single" w:sz="4" w:space="0" w:color="auto"/>
              <w:right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Produção de palmito, (T).</w:t>
            </w:r>
          </w:p>
        </w:tc>
        <w:tc>
          <w:tcPr>
            <w:tcW w:w="1418" w:type="dxa"/>
            <w:tcBorders>
              <w:top w:val="single" w:sz="4" w:space="0" w:color="auto"/>
              <w:left w:val="single" w:sz="4" w:space="0" w:color="auto"/>
              <w:bottom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Produção de mandioca, (T.).</w:t>
            </w:r>
          </w:p>
        </w:tc>
        <w:tc>
          <w:tcPr>
            <w:tcW w:w="1134" w:type="dxa"/>
            <w:tcBorders>
              <w:top w:val="single" w:sz="4" w:space="0" w:color="auto"/>
              <w:left w:val="single" w:sz="4" w:space="0" w:color="auto"/>
              <w:bottom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Produção de soja, (T.).</w:t>
            </w:r>
          </w:p>
        </w:tc>
        <w:tc>
          <w:tcPr>
            <w:tcW w:w="1134" w:type="dxa"/>
            <w:tcBorders>
              <w:top w:val="single" w:sz="4" w:space="0" w:color="auto"/>
              <w:left w:val="single" w:sz="4" w:space="0" w:color="auto"/>
              <w:bottom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Produção de sorgo (T.)</w:t>
            </w:r>
          </w:p>
        </w:tc>
        <w:tc>
          <w:tcPr>
            <w:tcW w:w="1134" w:type="dxa"/>
            <w:tcBorders>
              <w:top w:val="single" w:sz="4" w:space="0" w:color="auto"/>
              <w:left w:val="single" w:sz="4" w:space="0" w:color="auto"/>
              <w:bottom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Produção de café (T.)</w:t>
            </w:r>
          </w:p>
        </w:tc>
      </w:tr>
      <w:tr w:rsidR="00574DDD" w:rsidRPr="0015615B" w:rsidTr="00707DC6">
        <w:trPr>
          <w:trHeight w:val="240"/>
          <w:jc w:val="center"/>
        </w:trPr>
        <w:tc>
          <w:tcPr>
            <w:tcW w:w="1255" w:type="dxa"/>
            <w:tcBorders>
              <w:top w:val="single" w:sz="4" w:space="0" w:color="auto"/>
              <w:bottom w:val="single" w:sz="4" w:space="0" w:color="auto"/>
              <w:right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2000</w:t>
            </w:r>
          </w:p>
        </w:tc>
        <w:tc>
          <w:tcPr>
            <w:tcW w:w="1276" w:type="dxa"/>
            <w:tcBorders>
              <w:top w:val="single" w:sz="4" w:space="0" w:color="auto"/>
              <w:left w:val="single" w:sz="4" w:space="0" w:color="auto"/>
              <w:bottom w:val="single" w:sz="4" w:space="0" w:color="auto"/>
              <w:right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1.500</w:t>
            </w:r>
          </w:p>
        </w:tc>
        <w:tc>
          <w:tcPr>
            <w:tcW w:w="1418" w:type="dxa"/>
            <w:tcBorders>
              <w:top w:val="single" w:sz="4" w:space="0" w:color="auto"/>
              <w:left w:val="single" w:sz="4" w:space="0" w:color="auto"/>
              <w:bottom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4.500</w:t>
            </w:r>
          </w:p>
        </w:tc>
        <w:tc>
          <w:tcPr>
            <w:tcW w:w="1134" w:type="dxa"/>
            <w:tcBorders>
              <w:top w:val="single" w:sz="4" w:space="0" w:color="auto"/>
              <w:left w:val="single" w:sz="4" w:space="0" w:color="auto"/>
              <w:bottom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220</w:t>
            </w:r>
          </w:p>
        </w:tc>
        <w:tc>
          <w:tcPr>
            <w:tcW w:w="1134" w:type="dxa"/>
            <w:tcBorders>
              <w:top w:val="single" w:sz="4" w:space="0" w:color="auto"/>
              <w:left w:val="single" w:sz="4" w:space="0" w:color="auto"/>
              <w:bottom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w:t>
            </w:r>
          </w:p>
        </w:tc>
        <w:tc>
          <w:tcPr>
            <w:tcW w:w="1134" w:type="dxa"/>
            <w:tcBorders>
              <w:top w:val="single" w:sz="4" w:space="0" w:color="auto"/>
              <w:left w:val="single" w:sz="4" w:space="0" w:color="auto"/>
              <w:bottom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w:t>
            </w:r>
          </w:p>
        </w:tc>
      </w:tr>
      <w:tr w:rsidR="00574DDD" w:rsidRPr="0015615B" w:rsidTr="00707DC6">
        <w:trPr>
          <w:trHeight w:val="180"/>
          <w:jc w:val="center"/>
        </w:trPr>
        <w:tc>
          <w:tcPr>
            <w:tcW w:w="1255" w:type="dxa"/>
            <w:tcBorders>
              <w:top w:val="single" w:sz="4" w:space="0" w:color="auto"/>
              <w:bottom w:val="single" w:sz="4" w:space="0" w:color="auto"/>
              <w:right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2001</w:t>
            </w:r>
          </w:p>
        </w:tc>
        <w:tc>
          <w:tcPr>
            <w:tcW w:w="1276" w:type="dxa"/>
            <w:tcBorders>
              <w:top w:val="single" w:sz="4" w:space="0" w:color="auto"/>
              <w:left w:val="single" w:sz="4" w:space="0" w:color="auto"/>
              <w:bottom w:val="single" w:sz="4" w:space="0" w:color="auto"/>
              <w:right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750</w:t>
            </w:r>
          </w:p>
        </w:tc>
        <w:tc>
          <w:tcPr>
            <w:tcW w:w="1417" w:type="dxa"/>
            <w:tcBorders>
              <w:top w:val="single" w:sz="4" w:space="0" w:color="auto"/>
              <w:left w:val="single" w:sz="4" w:space="0" w:color="auto"/>
              <w:bottom w:val="single" w:sz="4" w:space="0" w:color="auto"/>
              <w:right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1.500</w:t>
            </w:r>
          </w:p>
        </w:tc>
        <w:tc>
          <w:tcPr>
            <w:tcW w:w="1418" w:type="dxa"/>
            <w:tcBorders>
              <w:top w:val="single" w:sz="4" w:space="0" w:color="auto"/>
              <w:left w:val="single" w:sz="4" w:space="0" w:color="auto"/>
              <w:bottom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3.600</w:t>
            </w:r>
          </w:p>
        </w:tc>
        <w:tc>
          <w:tcPr>
            <w:tcW w:w="1134" w:type="dxa"/>
            <w:tcBorders>
              <w:top w:val="single" w:sz="4" w:space="0" w:color="auto"/>
              <w:left w:val="single" w:sz="4" w:space="0" w:color="auto"/>
              <w:bottom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w:t>
            </w:r>
          </w:p>
        </w:tc>
        <w:tc>
          <w:tcPr>
            <w:tcW w:w="1134" w:type="dxa"/>
            <w:tcBorders>
              <w:top w:val="single" w:sz="4" w:space="0" w:color="auto"/>
              <w:left w:val="single" w:sz="4" w:space="0" w:color="auto"/>
              <w:bottom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w:t>
            </w:r>
          </w:p>
        </w:tc>
        <w:tc>
          <w:tcPr>
            <w:tcW w:w="1134" w:type="dxa"/>
            <w:tcBorders>
              <w:top w:val="single" w:sz="4" w:space="0" w:color="auto"/>
              <w:left w:val="single" w:sz="4" w:space="0" w:color="auto"/>
              <w:bottom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405</w:t>
            </w:r>
          </w:p>
        </w:tc>
      </w:tr>
      <w:tr w:rsidR="00574DDD" w:rsidRPr="0015615B" w:rsidTr="00707DC6">
        <w:trPr>
          <w:trHeight w:val="225"/>
          <w:jc w:val="center"/>
        </w:trPr>
        <w:tc>
          <w:tcPr>
            <w:tcW w:w="1255" w:type="dxa"/>
            <w:tcBorders>
              <w:top w:val="single" w:sz="4" w:space="0" w:color="auto"/>
              <w:bottom w:val="single" w:sz="4" w:space="0" w:color="auto"/>
              <w:right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2002</w:t>
            </w:r>
          </w:p>
        </w:tc>
        <w:tc>
          <w:tcPr>
            <w:tcW w:w="1276" w:type="dxa"/>
            <w:tcBorders>
              <w:top w:val="single" w:sz="4" w:space="0" w:color="auto"/>
              <w:left w:val="single" w:sz="4" w:space="0" w:color="auto"/>
              <w:bottom w:val="single" w:sz="4" w:space="0" w:color="auto"/>
              <w:right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750</w:t>
            </w:r>
          </w:p>
        </w:tc>
        <w:tc>
          <w:tcPr>
            <w:tcW w:w="1417" w:type="dxa"/>
            <w:tcBorders>
              <w:top w:val="single" w:sz="4" w:space="0" w:color="auto"/>
              <w:left w:val="single" w:sz="4" w:space="0" w:color="auto"/>
              <w:bottom w:val="single" w:sz="4" w:space="0" w:color="auto"/>
              <w:right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1.500</w:t>
            </w:r>
          </w:p>
        </w:tc>
        <w:tc>
          <w:tcPr>
            <w:tcW w:w="1418" w:type="dxa"/>
            <w:tcBorders>
              <w:top w:val="single" w:sz="4" w:space="0" w:color="auto"/>
              <w:left w:val="single" w:sz="4" w:space="0" w:color="auto"/>
              <w:bottom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3.600</w:t>
            </w:r>
          </w:p>
        </w:tc>
        <w:tc>
          <w:tcPr>
            <w:tcW w:w="1134" w:type="dxa"/>
            <w:tcBorders>
              <w:top w:val="single" w:sz="4" w:space="0" w:color="auto"/>
              <w:left w:val="single" w:sz="4" w:space="0" w:color="auto"/>
              <w:bottom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4.500</w:t>
            </w:r>
          </w:p>
        </w:tc>
        <w:tc>
          <w:tcPr>
            <w:tcW w:w="1134" w:type="dxa"/>
            <w:tcBorders>
              <w:top w:val="single" w:sz="4" w:space="0" w:color="auto"/>
              <w:left w:val="single" w:sz="4" w:space="0" w:color="auto"/>
              <w:bottom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w:t>
            </w:r>
          </w:p>
        </w:tc>
        <w:tc>
          <w:tcPr>
            <w:tcW w:w="1134" w:type="dxa"/>
            <w:tcBorders>
              <w:top w:val="single" w:sz="4" w:space="0" w:color="auto"/>
              <w:left w:val="single" w:sz="4" w:space="0" w:color="auto"/>
              <w:bottom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405</w:t>
            </w:r>
          </w:p>
        </w:tc>
      </w:tr>
      <w:tr w:rsidR="00574DDD" w:rsidRPr="0015615B" w:rsidTr="00707DC6">
        <w:trPr>
          <w:trHeight w:val="165"/>
          <w:jc w:val="center"/>
        </w:trPr>
        <w:tc>
          <w:tcPr>
            <w:tcW w:w="1255" w:type="dxa"/>
            <w:tcBorders>
              <w:top w:val="single" w:sz="4" w:space="0" w:color="auto"/>
              <w:bottom w:val="single" w:sz="4" w:space="0" w:color="auto"/>
              <w:right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2003</w:t>
            </w:r>
          </w:p>
        </w:tc>
        <w:tc>
          <w:tcPr>
            <w:tcW w:w="1276" w:type="dxa"/>
            <w:tcBorders>
              <w:top w:val="single" w:sz="4" w:space="0" w:color="auto"/>
              <w:left w:val="single" w:sz="4" w:space="0" w:color="auto"/>
              <w:bottom w:val="single" w:sz="4" w:space="0" w:color="auto"/>
              <w:right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1.200</w:t>
            </w:r>
          </w:p>
        </w:tc>
        <w:tc>
          <w:tcPr>
            <w:tcW w:w="1417" w:type="dxa"/>
            <w:tcBorders>
              <w:top w:val="single" w:sz="4" w:space="0" w:color="auto"/>
              <w:left w:val="single" w:sz="4" w:space="0" w:color="auto"/>
              <w:bottom w:val="single" w:sz="4" w:space="0" w:color="auto"/>
              <w:right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1.500</w:t>
            </w:r>
          </w:p>
        </w:tc>
        <w:tc>
          <w:tcPr>
            <w:tcW w:w="1418" w:type="dxa"/>
            <w:tcBorders>
              <w:top w:val="single" w:sz="4" w:space="0" w:color="auto"/>
              <w:left w:val="single" w:sz="4" w:space="0" w:color="auto"/>
              <w:bottom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3.600</w:t>
            </w:r>
          </w:p>
        </w:tc>
        <w:tc>
          <w:tcPr>
            <w:tcW w:w="1134" w:type="dxa"/>
            <w:tcBorders>
              <w:top w:val="single" w:sz="4" w:space="0" w:color="auto"/>
              <w:left w:val="single" w:sz="4" w:space="0" w:color="auto"/>
              <w:bottom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480</w:t>
            </w:r>
          </w:p>
        </w:tc>
        <w:tc>
          <w:tcPr>
            <w:tcW w:w="1134" w:type="dxa"/>
            <w:tcBorders>
              <w:top w:val="single" w:sz="4" w:space="0" w:color="auto"/>
              <w:left w:val="single" w:sz="4" w:space="0" w:color="auto"/>
              <w:bottom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w:t>
            </w:r>
          </w:p>
        </w:tc>
        <w:tc>
          <w:tcPr>
            <w:tcW w:w="1134" w:type="dxa"/>
            <w:tcBorders>
              <w:top w:val="single" w:sz="4" w:space="0" w:color="auto"/>
              <w:left w:val="single" w:sz="4" w:space="0" w:color="auto"/>
              <w:bottom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48</w:t>
            </w:r>
          </w:p>
        </w:tc>
      </w:tr>
      <w:tr w:rsidR="00574DDD" w:rsidRPr="0015615B" w:rsidTr="00707DC6">
        <w:trPr>
          <w:trHeight w:val="135"/>
          <w:jc w:val="center"/>
        </w:trPr>
        <w:tc>
          <w:tcPr>
            <w:tcW w:w="1255" w:type="dxa"/>
            <w:tcBorders>
              <w:top w:val="single" w:sz="4" w:space="0" w:color="auto"/>
              <w:bottom w:val="single" w:sz="4" w:space="0" w:color="auto"/>
              <w:right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2004</w:t>
            </w:r>
          </w:p>
        </w:tc>
        <w:tc>
          <w:tcPr>
            <w:tcW w:w="1276" w:type="dxa"/>
            <w:tcBorders>
              <w:top w:val="single" w:sz="4" w:space="0" w:color="auto"/>
              <w:left w:val="single" w:sz="4" w:space="0" w:color="auto"/>
              <w:bottom w:val="single" w:sz="4" w:space="0" w:color="auto"/>
              <w:right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1.200</w:t>
            </w:r>
          </w:p>
        </w:tc>
        <w:tc>
          <w:tcPr>
            <w:tcW w:w="1417" w:type="dxa"/>
            <w:tcBorders>
              <w:top w:val="single" w:sz="4" w:space="0" w:color="auto"/>
              <w:left w:val="single" w:sz="4" w:space="0" w:color="auto"/>
              <w:bottom w:val="single" w:sz="4" w:space="0" w:color="auto"/>
              <w:right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750</w:t>
            </w:r>
          </w:p>
        </w:tc>
        <w:tc>
          <w:tcPr>
            <w:tcW w:w="1418" w:type="dxa"/>
            <w:tcBorders>
              <w:top w:val="single" w:sz="4" w:space="0" w:color="auto"/>
              <w:left w:val="single" w:sz="4" w:space="0" w:color="auto"/>
              <w:bottom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1.280</w:t>
            </w:r>
          </w:p>
        </w:tc>
        <w:tc>
          <w:tcPr>
            <w:tcW w:w="1134" w:type="dxa"/>
            <w:tcBorders>
              <w:top w:val="single" w:sz="4" w:space="0" w:color="auto"/>
              <w:left w:val="single" w:sz="4" w:space="0" w:color="auto"/>
              <w:bottom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600</w:t>
            </w:r>
          </w:p>
        </w:tc>
        <w:tc>
          <w:tcPr>
            <w:tcW w:w="1134" w:type="dxa"/>
            <w:tcBorders>
              <w:top w:val="single" w:sz="4" w:space="0" w:color="auto"/>
              <w:left w:val="single" w:sz="4" w:space="0" w:color="auto"/>
              <w:bottom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108</w:t>
            </w:r>
          </w:p>
        </w:tc>
        <w:tc>
          <w:tcPr>
            <w:tcW w:w="1134" w:type="dxa"/>
            <w:tcBorders>
              <w:top w:val="single" w:sz="4" w:space="0" w:color="auto"/>
              <w:left w:val="single" w:sz="4" w:space="0" w:color="auto"/>
              <w:bottom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175</w:t>
            </w:r>
          </w:p>
        </w:tc>
      </w:tr>
      <w:tr w:rsidR="00574DDD" w:rsidRPr="0015615B" w:rsidTr="00707DC6">
        <w:trPr>
          <w:trHeight w:val="126"/>
          <w:jc w:val="center"/>
        </w:trPr>
        <w:tc>
          <w:tcPr>
            <w:tcW w:w="1255" w:type="dxa"/>
            <w:tcBorders>
              <w:top w:val="single" w:sz="4" w:space="0" w:color="auto"/>
              <w:bottom w:val="single" w:sz="4" w:space="0" w:color="auto"/>
              <w:right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2005</w:t>
            </w:r>
          </w:p>
        </w:tc>
        <w:tc>
          <w:tcPr>
            <w:tcW w:w="1276" w:type="dxa"/>
            <w:tcBorders>
              <w:top w:val="single" w:sz="4" w:space="0" w:color="auto"/>
              <w:left w:val="single" w:sz="4" w:space="0" w:color="auto"/>
              <w:bottom w:val="single" w:sz="4" w:space="0" w:color="auto"/>
              <w:right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750</w:t>
            </w:r>
          </w:p>
        </w:tc>
        <w:tc>
          <w:tcPr>
            <w:tcW w:w="1417" w:type="dxa"/>
            <w:tcBorders>
              <w:top w:val="single" w:sz="4" w:space="0" w:color="auto"/>
              <w:left w:val="single" w:sz="4" w:space="0" w:color="auto"/>
              <w:bottom w:val="single" w:sz="4" w:space="0" w:color="auto"/>
              <w:right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750</w:t>
            </w:r>
          </w:p>
        </w:tc>
        <w:tc>
          <w:tcPr>
            <w:tcW w:w="1418" w:type="dxa"/>
            <w:tcBorders>
              <w:top w:val="single" w:sz="4" w:space="0" w:color="auto"/>
              <w:left w:val="single" w:sz="4" w:space="0" w:color="auto"/>
              <w:bottom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1.600</w:t>
            </w:r>
          </w:p>
        </w:tc>
        <w:tc>
          <w:tcPr>
            <w:tcW w:w="1134" w:type="dxa"/>
            <w:tcBorders>
              <w:top w:val="single" w:sz="4" w:space="0" w:color="auto"/>
              <w:left w:val="single" w:sz="4" w:space="0" w:color="auto"/>
              <w:bottom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300</w:t>
            </w:r>
          </w:p>
        </w:tc>
        <w:tc>
          <w:tcPr>
            <w:tcW w:w="1134" w:type="dxa"/>
            <w:tcBorders>
              <w:top w:val="single" w:sz="4" w:space="0" w:color="auto"/>
              <w:left w:val="single" w:sz="4" w:space="0" w:color="auto"/>
              <w:bottom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w:t>
            </w:r>
          </w:p>
        </w:tc>
        <w:tc>
          <w:tcPr>
            <w:tcW w:w="1134" w:type="dxa"/>
            <w:tcBorders>
              <w:top w:val="single" w:sz="4" w:space="0" w:color="auto"/>
              <w:left w:val="single" w:sz="4" w:space="0" w:color="auto"/>
              <w:bottom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175</w:t>
            </w:r>
          </w:p>
        </w:tc>
      </w:tr>
      <w:tr w:rsidR="00574DDD" w:rsidRPr="0015615B" w:rsidTr="00707DC6">
        <w:trPr>
          <w:trHeight w:val="126"/>
          <w:jc w:val="center"/>
        </w:trPr>
        <w:tc>
          <w:tcPr>
            <w:tcW w:w="1255" w:type="dxa"/>
            <w:tcBorders>
              <w:top w:val="single" w:sz="4" w:space="0" w:color="auto"/>
              <w:bottom w:val="single" w:sz="4" w:space="0" w:color="auto"/>
              <w:right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2006</w:t>
            </w:r>
          </w:p>
        </w:tc>
        <w:tc>
          <w:tcPr>
            <w:tcW w:w="1276" w:type="dxa"/>
            <w:tcBorders>
              <w:top w:val="single" w:sz="4" w:space="0" w:color="auto"/>
              <w:left w:val="single" w:sz="4" w:space="0" w:color="auto"/>
              <w:bottom w:val="single" w:sz="4" w:space="0" w:color="auto"/>
              <w:right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875</w:t>
            </w:r>
          </w:p>
        </w:tc>
        <w:tc>
          <w:tcPr>
            <w:tcW w:w="1417" w:type="dxa"/>
            <w:tcBorders>
              <w:top w:val="single" w:sz="4" w:space="0" w:color="auto"/>
              <w:left w:val="single" w:sz="4" w:space="0" w:color="auto"/>
              <w:bottom w:val="single" w:sz="4" w:space="0" w:color="auto"/>
              <w:right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1.350</w:t>
            </w:r>
          </w:p>
        </w:tc>
        <w:tc>
          <w:tcPr>
            <w:tcW w:w="1418" w:type="dxa"/>
            <w:tcBorders>
              <w:top w:val="single" w:sz="4" w:space="0" w:color="auto"/>
              <w:left w:val="single" w:sz="4" w:space="0" w:color="auto"/>
              <w:bottom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1.000</w:t>
            </w:r>
          </w:p>
        </w:tc>
        <w:tc>
          <w:tcPr>
            <w:tcW w:w="1134" w:type="dxa"/>
            <w:tcBorders>
              <w:top w:val="single" w:sz="4" w:space="0" w:color="auto"/>
              <w:left w:val="single" w:sz="4" w:space="0" w:color="auto"/>
              <w:bottom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w:t>
            </w:r>
          </w:p>
        </w:tc>
        <w:tc>
          <w:tcPr>
            <w:tcW w:w="1134" w:type="dxa"/>
            <w:tcBorders>
              <w:top w:val="single" w:sz="4" w:space="0" w:color="auto"/>
              <w:left w:val="single" w:sz="4" w:space="0" w:color="auto"/>
              <w:bottom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w:t>
            </w:r>
          </w:p>
        </w:tc>
        <w:tc>
          <w:tcPr>
            <w:tcW w:w="1134" w:type="dxa"/>
            <w:tcBorders>
              <w:top w:val="single" w:sz="4" w:space="0" w:color="auto"/>
              <w:left w:val="single" w:sz="4" w:space="0" w:color="auto"/>
              <w:bottom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200</w:t>
            </w:r>
          </w:p>
        </w:tc>
      </w:tr>
      <w:tr w:rsidR="00574DDD" w:rsidRPr="0015615B" w:rsidTr="00707DC6">
        <w:trPr>
          <w:trHeight w:val="111"/>
          <w:jc w:val="center"/>
        </w:trPr>
        <w:tc>
          <w:tcPr>
            <w:tcW w:w="1255" w:type="dxa"/>
            <w:tcBorders>
              <w:top w:val="single" w:sz="4" w:space="0" w:color="auto"/>
              <w:bottom w:val="single" w:sz="4" w:space="0" w:color="auto"/>
              <w:right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2007</w:t>
            </w:r>
          </w:p>
        </w:tc>
        <w:tc>
          <w:tcPr>
            <w:tcW w:w="1276" w:type="dxa"/>
            <w:tcBorders>
              <w:top w:val="single" w:sz="4" w:space="0" w:color="auto"/>
              <w:left w:val="single" w:sz="4" w:space="0" w:color="auto"/>
              <w:bottom w:val="single" w:sz="4" w:space="0" w:color="auto"/>
              <w:right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420</w:t>
            </w:r>
          </w:p>
        </w:tc>
        <w:tc>
          <w:tcPr>
            <w:tcW w:w="1417" w:type="dxa"/>
            <w:tcBorders>
              <w:top w:val="single" w:sz="4" w:space="0" w:color="auto"/>
              <w:left w:val="single" w:sz="4" w:space="0" w:color="auto"/>
              <w:bottom w:val="single" w:sz="4" w:space="0" w:color="auto"/>
              <w:right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1.950</w:t>
            </w:r>
          </w:p>
        </w:tc>
        <w:tc>
          <w:tcPr>
            <w:tcW w:w="1418" w:type="dxa"/>
            <w:tcBorders>
              <w:top w:val="single" w:sz="4" w:space="0" w:color="auto"/>
              <w:left w:val="single" w:sz="4" w:space="0" w:color="auto"/>
              <w:bottom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4.300</w:t>
            </w:r>
          </w:p>
        </w:tc>
        <w:tc>
          <w:tcPr>
            <w:tcW w:w="1134" w:type="dxa"/>
            <w:tcBorders>
              <w:top w:val="single" w:sz="4" w:space="0" w:color="auto"/>
              <w:left w:val="single" w:sz="4" w:space="0" w:color="auto"/>
              <w:bottom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w:t>
            </w:r>
          </w:p>
        </w:tc>
        <w:tc>
          <w:tcPr>
            <w:tcW w:w="1134" w:type="dxa"/>
            <w:tcBorders>
              <w:top w:val="single" w:sz="4" w:space="0" w:color="auto"/>
              <w:left w:val="single" w:sz="4" w:space="0" w:color="auto"/>
              <w:bottom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w:t>
            </w:r>
          </w:p>
        </w:tc>
        <w:tc>
          <w:tcPr>
            <w:tcW w:w="1134" w:type="dxa"/>
            <w:tcBorders>
              <w:top w:val="single" w:sz="4" w:space="0" w:color="auto"/>
              <w:left w:val="single" w:sz="4" w:space="0" w:color="auto"/>
              <w:bottom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200</w:t>
            </w:r>
          </w:p>
        </w:tc>
      </w:tr>
      <w:tr w:rsidR="00574DDD" w:rsidRPr="0015615B" w:rsidTr="00707DC6">
        <w:trPr>
          <w:trHeight w:val="81"/>
          <w:jc w:val="center"/>
        </w:trPr>
        <w:tc>
          <w:tcPr>
            <w:tcW w:w="1255" w:type="dxa"/>
            <w:tcBorders>
              <w:top w:val="single" w:sz="4" w:space="0" w:color="auto"/>
              <w:bottom w:val="single" w:sz="4" w:space="0" w:color="auto"/>
              <w:right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2008</w:t>
            </w:r>
          </w:p>
        </w:tc>
        <w:tc>
          <w:tcPr>
            <w:tcW w:w="1276" w:type="dxa"/>
            <w:tcBorders>
              <w:top w:val="single" w:sz="4" w:space="0" w:color="auto"/>
              <w:left w:val="single" w:sz="4" w:space="0" w:color="auto"/>
              <w:bottom w:val="single" w:sz="4" w:space="0" w:color="auto"/>
              <w:right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3.600</w:t>
            </w:r>
          </w:p>
        </w:tc>
        <w:tc>
          <w:tcPr>
            <w:tcW w:w="1418" w:type="dxa"/>
            <w:tcBorders>
              <w:top w:val="single" w:sz="4" w:space="0" w:color="auto"/>
              <w:left w:val="single" w:sz="4" w:space="0" w:color="auto"/>
              <w:bottom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750</w:t>
            </w:r>
          </w:p>
        </w:tc>
        <w:tc>
          <w:tcPr>
            <w:tcW w:w="1134" w:type="dxa"/>
            <w:tcBorders>
              <w:top w:val="single" w:sz="4" w:space="0" w:color="auto"/>
              <w:left w:val="single" w:sz="4" w:space="0" w:color="auto"/>
              <w:bottom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w:t>
            </w:r>
          </w:p>
        </w:tc>
        <w:tc>
          <w:tcPr>
            <w:tcW w:w="1134" w:type="dxa"/>
            <w:tcBorders>
              <w:top w:val="single" w:sz="4" w:space="0" w:color="auto"/>
              <w:left w:val="single" w:sz="4" w:space="0" w:color="auto"/>
              <w:bottom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15</w:t>
            </w:r>
          </w:p>
        </w:tc>
        <w:tc>
          <w:tcPr>
            <w:tcW w:w="1134" w:type="dxa"/>
            <w:tcBorders>
              <w:top w:val="single" w:sz="4" w:space="0" w:color="auto"/>
              <w:left w:val="single" w:sz="4" w:space="0" w:color="auto"/>
              <w:bottom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w:t>
            </w:r>
          </w:p>
        </w:tc>
      </w:tr>
      <w:tr w:rsidR="00574DDD" w:rsidRPr="0015615B" w:rsidTr="00707DC6">
        <w:trPr>
          <w:trHeight w:val="165"/>
          <w:jc w:val="center"/>
        </w:trPr>
        <w:tc>
          <w:tcPr>
            <w:tcW w:w="1255" w:type="dxa"/>
            <w:tcBorders>
              <w:top w:val="single" w:sz="4" w:space="0" w:color="auto"/>
              <w:bottom w:val="single" w:sz="4" w:space="0" w:color="auto"/>
              <w:right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2009</w:t>
            </w:r>
          </w:p>
        </w:tc>
        <w:tc>
          <w:tcPr>
            <w:tcW w:w="1276" w:type="dxa"/>
            <w:tcBorders>
              <w:top w:val="single" w:sz="4" w:space="0" w:color="auto"/>
              <w:left w:val="single" w:sz="4" w:space="0" w:color="auto"/>
              <w:bottom w:val="single" w:sz="4" w:space="0" w:color="auto"/>
              <w:right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600</w:t>
            </w:r>
          </w:p>
        </w:tc>
        <w:tc>
          <w:tcPr>
            <w:tcW w:w="1417" w:type="dxa"/>
            <w:tcBorders>
              <w:top w:val="single" w:sz="4" w:space="0" w:color="auto"/>
              <w:left w:val="single" w:sz="4" w:space="0" w:color="auto"/>
              <w:bottom w:val="single" w:sz="4" w:space="0" w:color="auto"/>
              <w:right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3.600</w:t>
            </w:r>
          </w:p>
        </w:tc>
        <w:tc>
          <w:tcPr>
            <w:tcW w:w="1418" w:type="dxa"/>
            <w:tcBorders>
              <w:top w:val="single" w:sz="4" w:space="0" w:color="auto"/>
              <w:left w:val="single" w:sz="4" w:space="0" w:color="auto"/>
              <w:bottom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750</w:t>
            </w:r>
          </w:p>
        </w:tc>
        <w:tc>
          <w:tcPr>
            <w:tcW w:w="1134" w:type="dxa"/>
            <w:tcBorders>
              <w:top w:val="single" w:sz="4" w:space="0" w:color="auto"/>
              <w:left w:val="single" w:sz="4" w:space="0" w:color="auto"/>
              <w:bottom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w:t>
            </w:r>
          </w:p>
        </w:tc>
        <w:tc>
          <w:tcPr>
            <w:tcW w:w="1134" w:type="dxa"/>
            <w:tcBorders>
              <w:top w:val="single" w:sz="4" w:space="0" w:color="auto"/>
              <w:left w:val="single" w:sz="4" w:space="0" w:color="auto"/>
              <w:bottom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w:t>
            </w:r>
          </w:p>
        </w:tc>
        <w:tc>
          <w:tcPr>
            <w:tcW w:w="1134" w:type="dxa"/>
            <w:tcBorders>
              <w:top w:val="single" w:sz="4" w:space="0" w:color="auto"/>
              <w:left w:val="single" w:sz="4" w:space="0" w:color="auto"/>
              <w:bottom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w:t>
            </w:r>
          </w:p>
        </w:tc>
      </w:tr>
      <w:tr w:rsidR="00574DDD" w:rsidRPr="0015615B" w:rsidTr="00707DC6">
        <w:trPr>
          <w:trHeight w:val="126"/>
          <w:jc w:val="center"/>
        </w:trPr>
        <w:tc>
          <w:tcPr>
            <w:tcW w:w="1255" w:type="dxa"/>
            <w:tcBorders>
              <w:top w:val="single" w:sz="4" w:space="0" w:color="auto"/>
              <w:bottom w:val="single" w:sz="4" w:space="0" w:color="auto"/>
              <w:right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2010</w:t>
            </w:r>
          </w:p>
        </w:tc>
        <w:tc>
          <w:tcPr>
            <w:tcW w:w="1276" w:type="dxa"/>
            <w:tcBorders>
              <w:top w:val="single" w:sz="4" w:space="0" w:color="auto"/>
              <w:left w:val="single" w:sz="4" w:space="0" w:color="auto"/>
              <w:bottom w:val="single" w:sz="4" w:space="0" w:color="auto"/>
              <w:right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2.600</w:t>
            </w:r>
          </w:p>
        </w:tc>
        <w:tc>
          <w:tcPr>
            <w:tcW w:w="1418" w:type="dxa"/>
            <w:tcBorders>
              <w:top w:val="single" w:sz="4" w:space="0" w:color="auto"/>
              <w:left w:val="single" w:sz="4" w:space="0" w:color="auto"/>
              <w:bottom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1.500</w:t>
            </w:r>
          </w:p>
        </w:tc>
        <w:tc>
          <w:tcPr>
            <w:tcW w:w="1134" w:type="dxa"/>
            <w:tcBorders>
              <w:top w:val="single" w:sz="4" w:space="0" w:color="auto"/>
              <w:left w:val="single" w:sz="4" w:space="0" w:color="auto"/>
              <w:bottom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w:t>
            </w:r>
          </w:p>
        </w:tc>
        <w:tc>
          <w:tcPr>
            <w:tcW w:w="1134" w:type="dxa"/>
            <w:tcBorders>
              <w:top w:val="single" w:sz="4" w:space="0" w:color="auto"/>
              <w:left w:val="single" w:sz="4" w:space="0" w:color="auto"/>
              <w:bottom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w:t>
            </w:r>
          </w:p>
        </w:tc>
        <w:tc>
          <w:tcPr>
            <w:tcW w:w="1134" w:type="dxa"/>
            <w:tcBorders>
              <w:top w:val="single" w:sz="4" w:space="0" w:color="auto"/>
              <w:left w:val="single" w:sz="4" w:space="0" w:color="auto"/>
              <w:bottom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w:t>
            </w:r>
          </w:p>
        </w:tc>
      </w:tr>
      <w:tr w:rsidR="00574DDD" w:rsidRPr="0015615B" w:rsidTr="00707DC6">
        <w:trPr>
          <w:trHeight w:val="135"/>
          <w:jc w:val="center"/>
        </w:trPr>
        <w:tc>
          <w:tcPr>
            <w:tcW w:w="1255" w:type="dxa"/>
            <w:tcBorders>
              <w:top w:val="single" w:sz="4" w:space="0" w:color="auto"/>
              <w:bottom w:val="single" w:sz="4" w:space="0" w:color="auto"/>
              <w:right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2011</w:t>
            </w:r>
          </w:p>
        </w:tc>
        <w:tc>
          <w:tcPr>
            <w:tcW w:w="1276" w:type="dxa"/>
            <w:tcBorders>
              <w:top w:val="single" w:sz="4" w:space="0" w:color="auto"/>
              <w:left w:val="single" w:sz="4" w:space="0" w:color="auto"/>
              <w:bottom w:val="single" w:sz="4" w:space="0" w:color="auto"/>
              <w:right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w:t>
            </w:r>
          </w:p>
        </w:tc>
        <w:tc>
          <w:tcPr>
            <w:tcW w:w="1418" w:type="dxa"/>
            <w:tcBorders>
              <w:top w:val="single" w:sz="4" w:space="0" w:color="auto"/>
              <w:left w:val="single" w:sz="4" w:space="0" w:color="auto"/>
              <w:bottom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w:t>
            </w:r>
          </w:p>
        </w:tc>
        <w:tc>
          <w:tcPr>
            <w:tcW w:w="1134" w:type="dxa"/>
            <w:tcBorders>
              <w:top w:val="single" w:sz="4" w:space="0" w:color="auto"/>
              <w:left w:val="single" w:sz="4" w:space="0" w:color="auto"/>
              <w:bottom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w:t>
            </w:r>
          </w:p>
        </w:tc>
        <w:tc>
          <w:tcPr>
            <w:tcW w:w="1134" w:type="dxa"/>
            <w:tcBorders>
              <w:top w:val="single" w:sz="4" w:space="0" w:color="auto"/>
              <w:left w:val="single" w:sz="4" w:space="0" w:color="auto"/>
              <w:bottom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w:t>
            </w:r>
          </w:p>
        </w:tc>
        <w:tc>
          <w:tcPr>
            <w:tcW w:w="1134" w:type="dxa"/>
            <w:tcBorders>
              <w:top w:val="single" w:sz="4" w:space="0" w:color="auto"/>
              <w:left w:val="single" w:sz="4" w:space="0" w:color="auto"/>
              <w:bottom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w:t>
            </w:r>
          </w:p>
        </w:tc>
      </w:tr>
      <w:tr w:rsidR="00574DDD" w:rsidRPr="0015615B" w:rsidTr="00707DC6">
        <w:trPr>
          <w:trHeight w:val="120"/>
          <w:jc w:val="center"/>
        </w:trPr>
        <w:tc>
          <w:tcPr>
            <w:tcW w:w="1255" w:type="dxa"/>
            <w:tcBorders>
              <w:top w:val="single" w:sz="4" w:space="0" w:color="auto"/>
              <w:bottom w:val="single" w:sz="4" w:space="0" w:color="auto"/>
              <w:right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2012</w:t>
            </w:r>
          </w:p>
        </w:tc>
        <w:tc>
          <w:tcPr>
            <w:tcW w:w="1276" w:type="dxa"/>
            <w:tcBorders>
              <w:top w:val="single" w:sz="4" w:space="0" w:color="auto"/>
              <w:left w:val="single" w:sz="4" w:space="0" w:color="auto"/>
              <w:bottom w:val="single" w:sz="4" w:space="0" w:color="auto"/>
              <w:right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w:t>
            </w:r>
          </w:p>
        </w:tc>
        <w:tc>
          <w:tcPr>
            <w:tcW w:w="1418" w:type="dxa"/>
            <w:tcBorders>
              <w:top w:val="single" w:sz="4" w:space="0" w:color="auto"/>
              <w:left w:val="single" w:sz="4" w:space="0" w:color="auto"/>
              <w:bottom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w:t>
            </w:r>
          </w:p>
        </w:tc>
        <w:tc>
          <w:tcPr>
            <w:tcW w:w="1134" w:type="dxa"/>
            <w:tcBorders>
              <w:top w:val="single" w:sz="4" w:space="0" w:color="auto"/>
              <w:left w:val="single" w:sz="4" w:space="0" w:color="auto"/>
              <w:bottom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w:t>
            </w:r>
          </w:p>
        </w:tc>
        <w:tc>
          <w:tcPr>
            <w:tcW w:w="1134" w:type="dxa"/>
            <w:tcBorders>
              <w:top w:val="single" w:sz="4" w:space="0" w:color="auto"/>
              <w:left w:val="single" w:sz="4" w:space="0" w:color="auto"/>
              <w:bottom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w:t>
            </w:r>
          </w:p>
        </w:tc>
        <w:tc>
          <w:tcPr>
            <w:tcW w:w="1134" w:type="dxa"/>
            <w:tcBorders>
              <w:top w:val="single" w:sz="4" w:space="0" w:color="auto"/>
              <w:left w:val="single" w:sz="4" w:space="0" w:color="auto"/>
              <w:bottom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w:t>
            </w:r>
          </w:p>
        </w:tc>
      </w:tr>
      <w:tr w:rsidR="00574DDD" w:rsidRPr="0015615B" w:rsidTr="00707DC6">
        <w:trPr>
          <w:trHeight w:val="141"/>
          <w:jc w:val="center"/>
        </w:trPr>
        <w:tc>
          <w:tcPr>
            <w:tcW w:w="1255" w:type="dxa"/>
            <w:tcBorders>
              <w:top w:val="single" w:sz="4" w:space="0" w:color="auto"/>
              <w:bottom w:val="single" w:sz="4" w:space="0" w:color="auto"/>
              <w:right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2013</w:t>
            </w:r>
          </w:p>
        </w:tc>
        <w:tc>
          <w:tcPr>
            <w:tcW w:w="1276" w:type="dxa"/>
            <w:tcBorders>
              <w:top w:val="single" w:sz="4" w:space="0" w:color="auto"/>
              <w:left w:val="single" w:sz="4" w:space="0" w:color="auto"/>
              <w:bottom w:val="single" w:sz="4" w:space="0" w:color="auto"/>
              <w:right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120</w:t>
            </w:r>
          </w:p>
        </w:tc>
        <w:tc>
          <w:tcPr>
            <w:tcW w:w="1417" w:type="dxa"/>
            <w:tcBorders>
              <w:top w:val="single" w:sz="4" w:space="0" w:color="auto"/>
              <w:left w:val="single" w:sz="4" w:space="0" w:color="auto"/>
              <w:bottom w:val="single" w:sz="4" w:space="0" w:color="auto"/>
              <w:right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3.475</w:t>
            </w:r>
          </w:p>
        </w:tc>
        <w:tc>
          <w:tcPr>
            <w:tcW w:w="1418" w:type="dxa"/>
            <w:tcBorders>
              <w:top w:val="single" w:sz="4" w:space="0" w:color="auto"/>
              <w:left w:val="single" w:sz="4" w:space="0" w:color="auto"/>
              <w:bottom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375</w:t>
            </w:r>
          </w:p>
        </w:tc>
        <w:tc>
          <w:tcPr>
            <w:tcW w:w="1134" w:type="dxa"/>
            <w:tcBorders>
              <w:top w:val="single" w:sz="4" w:space="0" w:color="auto"/>
              <w:left w:val="single" w:sz="4" w:space="0" w:color="auto"/>
              <w:bottom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w:t>
            </w:r>
          </w:p>
        </w:tc>
        <w:tc>
          <w:tcPr>
            <w:tcW w:w="1134" w:type="dxa"/>
            <w:tcBorders>
              <w:top w:val="single" w:sz="4" w:space="0" w:color="auto"/>
              <w:left w:val="single" w:sz="4" w:space="0" w:color="auto"/>
              <w:bottom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w:t>
            </w:r>
          </w:p>
        </w:tc>
        <w:tc>
          <w:tcPr>
            <w:tcW w:w="1134" w:type="dxa"/>
            <w:tcBorders>
              <w:top w:val="single" w:sz="4" w:space="0" w:color="auto"/>
              <w:left w:val="single" w:sz="4" w:space="0" w:color="auto"/>
              <w:bottom w:val="single" w:sz="4" w:space="0" w:color="auto"/>
            </w:tcBorders>
          </w:tcPr>
          <w:p w:rsidR="00574DDD" w:rsidRPr="00707DC6" w:rsidRDefault="00574DD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w:t>
            </w:r>
          </w:p>
        </w:tc>
      </w:tr>
      <w:tr w:rsidR="00574DDD" w:rsidRPr="0015615B" w:rsidTr="00707D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nfStyle w:val="000000100000"/>
          <w:trHeight w:val="240"/>
          <w:jc w:val="center"/>
        </w:trPr>
        <w:tc>
          <w:tcPr>
            <w:cnfStyle w:val="000010000000"/>
            <w:tcW w:w="8768" w:type="dxa"/>
            <w:gridSpan w:val="7"/>
            <w:tcBorders>
              <w:bottom w:val="single" w:sz="4" w:space="0" w:color="auto"/>
            </w:tcBorders>
            <w:shd w:val="clear" w:color="auto" w:fill="FFFFFF" w:themeFill="background1"/>
          </w:tcPr>
          <w:p w:rsidR="00574DDD" w:rsidRPr="0015615B" w:rsidRDefault="00574DDD" w:rsidP="0015615B">
            <w:pPr>
              <w:jc w:val="both"/>
              <w:rPr>
                <w:rFonts w:ascii="Times New Roman" w:hAnsi="Times New Roman" w:cs="Times New Roman"/>
                <w:color w:val="auto"/>
                <w:sz w:val="20"/>
                <w:szCs w:val="20"/>
              </w:rPr>
            </w:pPr>
            <w:r w:rsidRPr="0015615B">
              <w:rPr>
                <w:rFonts w:ascii="Times New Roman" w:hAnsi="Times New Roman" w:cs="Times New Roman"/>
                <w:b/>
                <w:color w:val="auto"/>
                <w:sz w:val="20"/>
                <w:szCs w:val="20"/>
              </w:rPr>
              <w:t>Fonte:</w:t>
            </w:r>
            <w:r w:rsidR="00D9169B" w:rsidRPr="0015615B">
              <w:rPr>
                <w:rFonts w:ascii="Times New Roman" w:hAnsi="Times New Roman" w:cs="Times New Roman"/>
                <w:color w:val="auto"/>
                <w:sz w:val="20"/>
                <w:szCs w:val="20"/>
              </w:rPr>
              <w:t xml:space="preserve"> Instituto Mauro Borges/</w:t>
            </w:r>
            <w:r w:rsidRPr="0015615B">
              <w:rPr>
                <w:rFonts w:ascii="Times New Roman" w:hAnsi="Times New Roman" w:cs="Times New Roman"/>
                <w:color w:val="auto"/>
                <w:sz w:val="20"/>
                <w:szCs w:val="20"/>
              </w:rPr>
              <w:t xml:space="preserve">IBGE-2015.   </w:t>
            </w:r>
            <w:r w:rsidRPr="0015615B">
              <w:rPr>
                <w:rFonts w:ascii="Times New Roman" w:hAnsi="Times New Roman" w:cs="Times New Roman"/>
                <w:b/>
                <w:color w:val="auto"/>
                <w:sz w:val="20"/>
                <w:szCs w:val="20"/>
              </w:rPr>
              <w:t xml:space="preserve">  Organização:</w:t>
            </w:r>
            <w:r w:rsidRPr="0015615B">
              <w:rPr>
                <w:rFonts w:ascii="Times New Roman" w:hAnsi="Times New Roman" w:cs="Times New Roman"/>
                <w:color w:val="auto"/>
                <w:sz w:val="20"/>
                <w:szCs w:val="20"/>
              </w:rPr>
              <w:t xml:space="preserve"> </w:t>
            </w:r>
            <w:r w:rsidR="00484DEA">
              <w:rPr>
                <w:rFonts w:ascii="Times New Roman" w:hAnsi="Times New Roman" w:cs="Times New Roman"/>
                <w:color w:val="auto"/>
                <w:sz w:val="20"/>
                <w:szCs w:val="20"/>
              </w:rPr>
              <w:t>Autor.</w:t>
            </w:r>
          </w:p>
        </w:tc>
      </w:tr>
    </w:tbl>
    <w:p w:rsidR="00574DDD" w:rsidRPr="0015615B" w:rsidRDefault="00574DDD" w:rsidP="0015615B">
      <w:pPr>
        <w:tabs>
          <w:tab w:val="left" w:pos="900"/>
        </w:tabs>
        <w:spacing w:after="0" w:line="240" w:lineRule="auto"/>
        <w:jc w:val="both"/>
        <w:rPr>
          <w:rFonts w:ascii="Times New Roman" w:hAnsi="Times New Roman" w:cs="Times New Roman"/>
          <w:sz w:val="24"/>
          <w:szCs w:val="24"/>
        </w:rPr>
      </w:pPr>
    </w:p>
    <w:p w:rsidR="00707DC6" w:rsidRPr="0015615B" w:rsidRDefault="00C62D2C" w:rsidP="00707DC6">
      <w:pPr>
        <w:pStyle w:val="NormalWeb"/>
        <w:spacing w:before="0" w:beforeAutospacing="0" w:after="0" w:afterAutospacing="0"/>
        <w:jc w:val="both"/>
      </w:pPr>
      <w:r w:rsidRPr="0015615B">
        <w:tab/>
      </w:r>
      <w:r w:rsidR="00707DC6" w:rsidRPr="0015615B">
        <w:t xml:space="preserve">Já a produção de sorgo, soja e café foram diminutas, o que reforça o domínio territorial ditado pela monocultura da cana. Isto se torna também evidente quando se analisa a produção das lavouras permanentes de fruticultura. No Gráfico 2 se evidencia a diminuição significativa da produção de maracujá, que obtinha 150.000 toneladas em 2000 e apenas 1.620 toneladas em 2013. Já o mamão passou por períodos de crescimento e queda, saiu de 30 toneladas de produção em 2000, atingiu 1.900 toneladas em 2007 e a partir de então caiu para 300 toneladas em 2013. O cultivo de abacaxi também sofreu quedas nos últimos anos, com a produção de 250 toneladas em 2000 para 200 toneladas em 2012. Já a produção de banana e melancia tem obtido aumento de produção, a primeira passou de 120 toneladas no início da década de 2000 para 960 toneladas em 2012, enquanto a segunda detinha 1.200 toneladas em 2000 e alcançou 16.000 toneladas em 2013. </w:t>
      </w:r>
    </w:p>
    <w:p w:rsidR="004E3BC6" w:rsidRPr="0015615B" w:rsidRDefault="00707DC6" w:rsidP="001561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62D2C" w:rsidRPr="0015615B">
        <w:rPr>
          <w:rFonts w:ascii="Times New Roman" w:hAnsi="Times New Roman" w:cs="Times New Roman"/>
          <w:sz w:val="24"/>
          <w:szCs w:val="24"/>
        </w:rPr>
        <w:t>Entretanto, o fato é que se for somado à área ocupada com as principais culturas temporárias discutidas, assim como aquela territorializada com as culturas p</w:t>
      </w:r>
      <w:r w:rsidR="004E60DF" w:rsidRPr="0015615B">
        <w:rPr>
          <w:rFonts w:ascii="Times New Roman" w:hAnsi="Times New Roman" w:cs="Times New Roman"/>
          <w:sz w:val="24"/>
          <w:szCs w:val="24"/>
        </w:rPr>
        <w:t>ermanentes analisadas, se obtém</w:t>
      </w:r>
      <w:r w:rsidR="00C62D2C" w:rsidRPr="0015615B">
        <w:rPr>
          <w:rFonts w:ascii="Times New Roman" w:hAnsi="Times New Roman" w:cs="Times New Roman"/>
          <w:sz w:val="24"/>
          <w:szCs w:val="24"/>
        </w:rPr>
        <w:t xml:space="preserve"> para o ano de 2013 o valor de 1.928 hectares de produção, enquanto para a cana-de-açúcar este número corresponde a 7.239 hectares. Isto demonstra o uso e apropriação do espaço pela produção agrícola do agronegócio, vinculado às </w:t>
      </w:r>
      <w:r w:rsidR="00C62D2C" w:rsidRPr="0015615B">
        <w:rPr>
          <w:rFonts w:ascii="Times New Roman" w:hAnsi="Times New Roman" w:cs="Times New Roman"/>
          <w:i/>
          <w:sz w:val="24"/>
          <w:szCs w:val="24"/>
        </w:rPr>
        <w:t>commodities</w:t>
      </w:r>
      <w:r w:rsidR="004E60DF" w:rsidRPr="0015615B">
        <w:rPr>
          <w:rFonts w:ascii="Times New Roman" w:hAnsi="Times New Roman" w:cs="Times New Roman"/>
          <w:i/>
          <w:sz w:val="24"/>
          <w:szCs w:val="24"/>
        </w:rPr>
        <w:t xml:space="preserve"> </w:t>
      </w:r>
      <w:r w:rsidR="004E60DF" w:rsidRPr="0015615B">
        <w:rPr>
          <w:rFonts w:ascii="Times New Roman" w:hAnsi="Times New Roman" w:cs="Times New Roman"/>
          <w:sz w:val="24"/>
          <w:szCs w:val="24"/>
        </w:rPr>
        <w:t>de produção de agroenergia</w:t>
      </w:r>
      <w:r w:rsidR="00C62D2C" w:rsidRPr="0015615B">
        <w:rPr>
          <w:rFonts w:ascii="Times New Roman" w:hAnsi="Times New Roman" w:cs="Times New Roman"/>
          <w:sz w:val="24"/>
          <w:szCs w:val="24"/>
        </w:rPr>
        <w:t xml:space="preserve">. Ou seja, a expansão da monocultura da cana no município se </w:t>
      </w:r>
      <w:r w:rsidR="00C62D2C" w:rsidRPr="0015615B">
        <w:rPr>
          <w:rFonts w:ascii="Times New Roman" w:hAnsi="Times New Roman" w:cs="Times New Roman"/>
          <w:sz w:val="24"/>
          <w:szCs w:val="24"/>
        </w:rPr>
        <w:lastRenderedPageBreak/>
        <w:t>materializou pela monopolização do território campon</w:t>
      </w:r>
      <w:r w:rsidR="004E60DF" w:rsidRPr="0015615B">
        <w:rPr>
          <w:rFonts w:ascii="Times New Roman" w:hAnsi="Times New Roman" w:cs="Times New Roman"/>
          <w:sz w:val="24"/>
          <w:szCs w:val="24"/>
        </w:rPr>
        <w:t>ês, com a expansão dos</w:t>
      </w:r>
      <w:r w:rsidR="00C62D2C" w:rsidRPr="0015615B">
        <w:rPr>
          <w:rFonts w:ascii="Times New Roman" w:hAnsi="Times New Roman" w:cs="Times New Roman"/>
          <w:sz w:val="24"/>
          <w:szCs w:val="24"/>
        </w:rPr>
        <w:t xml:space="preserve"> arrendamento</w:t>
      </w:r>
      <w:r w:rsidR="004E60DF" w:rsidRPr="0015615B">
        <w:rPr>
          <w:rFonts w:ascii="Times New Roman" w:hAnsi="Times New Roman" w:cs="Times New Roman"/>
          <w:sz w:val="24"/>
          <w:szCs w:val="24"/>
        </w:rPr>
        <w:t>s de propriedades</w:t>
      </w:r>
      <w:r w:rsidR="00C62D2C" w:rsidRPr="0015615B">
        <w:rPr>
          <w:rFonts w:ascii="Times New Roman" w:hAnsi="Times New Roman" w:cs="Times New Roman"/>
          <w:sz w:val="24"/>
          <w:szCs w:val="24"/>
        </w:rPr>
        <w:t xml:space="preserve"> de famílias policultoras. Em busca do lucro a Vale Verde não se territorializou, pois seu interesse foi explorar o solo no máximo de sua capacidade.</w:t>
      </w:r>
    </w:p>
    <w:tbl>
      <w:tblPr>
        <w:tblpPr w:leftFromText="141" w:rightFromText="141" w:vertAnchor="text" w:horzAnchor="margin" w:tblpXSpec="center" w:tblpY="3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874"/>
      </w:tblGrid>
      <w:tr w:rsidR="00BA18DE" w:rsidRPr="0015615B" w:rsidTr="003B0D3F">
        <w:trPr>
          <w:trHeight w:val="810"/>
        </w:trPr>
        <w:tc>
          <w:tcPr>
            <w:tcW w:w="6874" w:type="dxa"/>
          </w:tcPr>
          <w:p w:rsidR="00BA18DE" w:rsidRPr="0015615B" w:rsidRDefault="00BA18DE" w:rsidP="003B0D3F">
            <w:pPr>
              <w:spacing w:after="0" w:line="240" w:lineRule="auto"/>
              <w:jc w:val="center"/>
              <w:rPr>
                <w:rFonts w:ascii="Times New Roman" w:hAnsi="Times New Roman" w:cs="Times New Roman"/>
                <w:b/>
                <w:sz w:val="24"/>
                <w:szCs w:val="24"/>
              </w:rPr>
            </w:pPr>
            <w:r w:rsidRPr="0015615B">
              <w:rPr>
                <w:rFonts w:ascii="Times New Roman" w:hAnsi="Times New Roman" w:cs="Times New Roman"/>
                <w:b/>
                <w:noProof/>
                <w:sz w:val="24"/>
                <w:szCs w:val="24"/>
              </w:rPr>
              <w:drawing>
                <wp:inline distT="0" distB="0" distL="0" distR="0">
                  <wp:extent cx="4320000" cy="2876550"/>
                  <wp:effectExtent l="0" t="0" r="0" b="0"/>
                  <wp:docPr id="1" name="Imagem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spect="1" noChangeArrowheads="1"/>
                          </pic:cNvPicPr>
                        </pic:nvPicPr>
                        <pic:blipFill>
                          <a:blip r:embed="rId8" cstate="print"/>
                          <a:srcRect/>
                          <a:stretch>
                            <a:fillRect/>
                          </a:stretch>
                        </pic:blipFill>
                        <pic:spPr bwMode="auto">
                          <a:xfrm>
                            <a:off x="0" y="0"/>
                            <a:ext cx="4320000" cy="2876550"/>
                          </a:xfrm>
                          <a:prstGeom prst="rect">
                            <a:avLst/>
                          </a:prstGeom>
                          <a:noFill/>
                          <a:ln w="9525">
                            <a:noFill/>
                            <a:miter lim="800000"/>
                            <a:headEnd/>
                            <a:tailEnd/>
                          </a:ln>
                        </pic:spPr>
                      </pic:pic>
                    </a:graphicData>
                  </a:graphic>
                </wp:inline>
              </w:drawing>
            </w:r>
          </w:p>
        </w:tc>
      </w:tr>
      <w:tr w:rsidR="00BA18DE" w:rsidRPr="0015615B" w:rsidTr="003B0D3F">
        <w:trPr>
          <w:trHeight w:val="210"/>
        </w:trPr>
        <w:tc>
          <w:tcPr>
            <w:tcW w:w="6874" w:type="dxa"/>
          </w:tcPr>
          <w:p w:rsidR="00BA18DE" w:rsidRPr="0015615B" w:rsidRDefault="00BA18DE" w:rsidP="0015615B">
            <w:pPr>
              <w:spacing w:after="0" w:line="240" w:lineRule="auto"/>
              <w:jc w:val="both"/>
              <w:rPr>
                <w:rFonts w:ascii="Times New Roman" w:hAnsi="Times New Roman" w:cs="Times New Roman"/>
                <w:sz w:val="24"/>
                <w:szCs w:val="24"/>
              </w:rPr>
            </w:pPr>
            <w:r w:rsidRPr="0015615B">
              <w:rPr>
                <w:rFonts w:ascii="Times New Roman" w:hAnsi="Times New Roman" w:cs="Times New Roman"/>
                <w:b/>
                <w:sz w:val="24"/>
                <w:szCs w:val="24"/>
              </w:rPr>
              <w:t xml:space="preserve">Gráfico </w:t>
            </w:r>
            <w:proofErr w:type="gramStart"/>
            <w:r w:rsidRPr="0015615B">
              <w:rPr>
                <w:rFonts w:ascii="Times New Roman" w:hAnsi="Times New Roman" w:cs="Times New Roman"/>
                <w:b/>
                <w:sz w:val="24"/>
                <w:szCs w:val="24"/>
              </w:rPr>
              <w:t>2</w:t>
            </w:r>
            <w:proofErr w:type="gramEnd"/>
            <w:r w:rsidRPr="0015615B">
              <w:rPr>
                <w:rFonts w:ascii="Times New Roman" w:hAnsi="Times New Roman" w:cs="Times New Roman"/>
                <w:b/>
                <w:sz w:val="24"/>
                <w:szCs w:val="24"/>
              </w:rPr>
              <w:t xml:space="preserve"> – </w:t>
            </w:r>
            <w:r w:rsidR="00C3545B">
              <w:rPr>
                <w:rFonts w:ascii="Times New Roman" w:hAnsi="Times New Roman" w:cs="Times New Roman"/>
                <w:sz w:val="24"/>
                <w:szCs w:val="24"/>
              </w:rPr>
              <w:t>Estado de Goiás – município de Itapuranga – p</w:t>
            </w:r>
            <w:r w:rsidRPr="0015615B">
              <w:rPr>
                <w:rFonts w:ascii="Times New Roman" w:hAnsi="Times New Roman" w:cs="Times New Roman"/>
                <w:sz w:val="24"/>
                <w:szCs w:val="24"/>
              </w:rPr>
              <w:t>rodu</w:t>
            </w:r>
            <w:r w:rsidR="00C3545B">
              <w:rPr>
                <w:rFonts w:ascii="Times New Roman" w:hAnsi="Times New Roman" w:cs="Times New Roman"/>
                <w:sz w:val="24"/>
                <w:szCs w:val="24"/>
              </w:rPr>
              <w:t>ção de frutas  em t</w:t>
            </w:r>
            <w:r w:rsidRPr="0015615B">
              <w:rPr>
                <w:rFonts w:ascii="Times New Roman" w:hAnsi="Times New Roman" w:cs="Times New Roman"/>
                <w:sz w:val="24"/>
                <w:szCs w:val="24"/>
              </w:rPr>
              <w:t xml:space="preserve">oneladas, de 2000 a 2013. </w:t>
            </w:r>
            <w:r w:rsidRPr="0015615B">
              <w:rPr>
                <w:rFonts w:ascii="Times New Roman" w:hAnsi="Times New Roman" w:cs="Times New Roman"/>
                <w:b/>
                <w:sz w:val="20"/>
                <w:szCs w:val="20"/>
              </w:rPr>
              <w:t>Fonte:</w:t>
            </w:r>
            <w:r w:rsidR="00D9169B" w:rsidRPr="0015615B">
              <w:rPr>
                <w:rFonts w:ascii="Times New Roman" w:hAnsi="Times New Roman" w:cs="Times New Roman"/>
                <w:sz w:val="20"/>
                <w:szCs w:val="20"/>
              </w:rPr>
              <w:t xml:space="preserve"> IMB</w:t>
            </w:r>
            <w:r w:rsidRPr="0015615B">
              <w:rPr>
                <w:rFonts w:ascii="Times New Roman" w:hAnsi="Times New Roman" w:cs="Times New Roman"/>
                <w:sz w:val="20"/>
                <w:szCs w:val="20"/>
              </w:rPr>
              <w:t xml:space="preserve">-2015.  </w:t>
            </w:r>
            <w:r w:rsidRPr="0015615B">
              <w:rPr>
                <w:rFonts w:ascii="Times New Roman" w:hAnsi="Times New Roman" w:cs="Times New Roman"/>
                <w:b/>
                <w:sz w:val="20"/>
                <w:szCs w:val="20"/>
              </w:rPr>
              <w:t>Elaboração:</w:t>
            </w:r>
            <w:r w:rsidR="00484DEA">
              <w:rPr>
                <w:rFonts w:ascii="Times New Roman" w:hAnsi="Times New Roman" w:cs="Times New Roman"/>
                <w:sz w:val="20"/>
                <w:szCs w:val="20"/>
              </w:rPr>
              <w:t xml:space="preserve"> Autor</w:t>
            </w:r>
            <w:r w:rsidRPr="0015615B">
              <w:rPr>
                <w:rFonts w:ascii="Times New Roman" w:hAnsi="Times New Roman" w:cs="Times New Roman"/>
                <w:sz w:val="20"/>
                <w:szCs w:val="20"/>
              </w:rPr>
              <w:t>.</w:t>
            </w:r>
          </w:p>
        </w:tc>
      </w:tr>
    </w:tbl>
    <w:p w:rsidR="004E3BC6" w:rsidRDefault="004E3BC6" w:rsidP="0015615B">
      <w:pPr>
        <w:spacing w:after="0" w:line="240" w:lineRule="auto"/>
        <w:jc w:val="both"/>
        <w:rPr>
          <w:rFonts w:ascii="Times New Roman" w:hAnsi="Times New Roman" w:cs="Times New Roman"/>
          <w:sz w:val="24"/>
          <w:szCs w:val="24"/>
        </w:rPr>
      </w:pPr>
    </w:p>
    <w:p w:rsidR="004E3BC6" w:rsidRDefault="004E3BC6" w:rsidP="0015615B">
      <w:pPr>
        <w:spacing w:after="0" w:line="240" w:lineRule="auto"/>
        <w:jc w:val="both"/>
        <w:rPr>
          <w:rFonts w:ascii="Times New Roman" w:hAnsi="Times New Roman" w:cs="Times New Roman"/>
          <w:sz w:val="24"/>
          <w:szCs w:val="24"/>
        </w:rPr>
      </w:pPr>
    </w:p>
    <w:p w:rsidR="004E3BC6" w:rsidRDefault="004E3BC6" w:rsidP="0015615B">
      <w:pPr>
        <w:spacing w:after="0" w:line="240" w:lineRule="auto"/>
        <w:jc w:val="both"/>
        <w:rPr>
          <w:rFonts w:ascii="Times New Roman" w:hAnsi="Times New Roman" w:cs="Times New Roman"/>
          <w:sz w:val="24"/>
          <w:szCs w:val="24"/>
        </w:rPr>
      </w:pPr>
    </w:p>
    <w:p w:rsidR="004E3BC6" w:rsidRDefault="004E3BC6" w:rsidP="0015615B">
      <w:pPr>
        <w:spacing w:after="0" w:line="240" w:lineRule="auto"/>
        <w:jc w:val="both"/>
        <w:rPr>
          <w:rFonts w:ascii="Times New Roman" w:hAnsi="Times New Roman" w:cs="Times New Roman"/>
          <w:sz w:val="24"/>
          <w:szCs w:val="24"/>
        </w:rPr>
      </w:pPr>
    </w:p>
    <w:p w:rsidR="004E3BC6" w:rsidRDefault="004E3BC6" w:rsidP="0015615B">
      <w:pPr>
        <w:spacing w:after="0" w:line="240" w:lineRule="auto"/>
        <w:jc w:val="both"/>
        <w:rPr>
          <w:rFonts w:ascii="Times New Roman" w:hAnsi="Times New Roman" w:cs="Times New Roman"/>
          <w:sz w:val="24"/>
          <w:szCs w:val="24"/>
        </w:rPr>
      </w:pPr>
    </w:p>
    <w:p w:rsidR="004E3BC6" w:rsidRDefault="004E3BC6" w:rsidP="0015615B">
      <w:pPr>
        <w:spacing w:after="0" w:line="240" w:lineRule="auto"/>
        <w:jc w:val="both"/>
        <w:rPr>
          <w:rFonts w:ascii="Times New Roman" w:hAnsi="Times New Roman" w:cs="Times New Roman"/>
          <w:sz w:val="24"/>
          <w:szCs w:val="24"/>
        </w:rPr>
      </w:pPr>
    </w:p>
    <w:p w:rsidR="004E3BC6" w:rsidRDefault="004E3BC6" w:rsidP="0015615B">
      <w:pPr>
        <w:spacing w:after="0" w:line="240" w:lineRule="auto"/>
        <w:jc w:val="both"/>
        <w:rPr>
          <w:rFonts w:ascii="Times New Roman" w:hAnsi="Times New Roman" w:cs="Times New Roman"/>
          <w:sz w:val="24"/>
          <w:szCs w:val="24"/>
        </w:rPr>
      </w:pPr>
    </w:p>
    <w:p w:rsidR="004E3BC6" w:rsidRDefault="004E3BC6" w:rsidP="0015615B">
      <w:pPr>
        <w:spacing w:after="0" w:line="240" w:lineRule="auto"/>
        <w:jc w:val="both"/>
        <w:rPr>
          <w:rFonts w:ascii="Times New Roman" w:hAnsi="Times New Roman" w:cs="Times New Roman"/>
          <w:sz w:val="24"/>
          <w:szCs w:val="24"/>
        </w:rPr>
      </w:pPr>
    </w:p>
    <w:p w:rsidR="004E3BC6" w:rsidRDefault="004E3BC6" w:rsidP="0015615B">
      <w:pPr>
        <w:spacing w:after="0" w:line="240" w:lineRule="auto"/>
        <w:jc w:val="both"/>
        <w:rPr>
          <w:rFonts w:ascii="Times New Roman" w:hAnsi="Times New Roman" w:cs="Times New Roman"/>
          <w:sz w:val="24"/>
          <w:szCs w:val="24"/>
        </w:rPr>
      </w:pPr>
    </w:p>
    <w:p w:rsidR="004E3BC6" w:rsidRDefault="004E3BC6" w:rsidP="0015615B">
      <w:pPr>
        <w:spacing w:after="0" w:line="240" w:lineRule="auto"/>
        <w:jc w:val="both"/>
        <w:rPr>
          <w:rFonts w:ascii="Times New Roman" w:hAnsi="Times New Roman" w:cs="Times New Roman"/>
          <w:sz w:val="24"/>
          <w:szCs w:val="24"/>
        </w:rPr>
      </w:pPr>
    </w:p>
    <w:p w:rsidR="004E3BC6" w:rsidRDefault="004E3BC6" w:rsidP="0015615B">
      <w:pPr>
        <w:spacing w:after="0" w:line="240" w:lineRule="auto"/>
        <w:jc w:val="both"/>
        <w:rPr>
          <w:rFonts w:ascii="Times New Roman" w:hAnsi="Times New Roman" w:cs="Times New Roman"/>
          <w:sz w:val="24"/>
          <w:szCs w:val="24"/>
        </w:rPr>
      </w:pPr>
    </w:p>
    <w:p w:rsidR="004E3BC6" w:rsidRDefault="004E3BC6" w:rsidP="0015615B">
      <w:pPr>
        <w:spacing w:after="0" w:line="240" w:lineRule="auto"/>
        <w:jc w:val="both"/>
        <w:rPr>
          <w:rFonts w:ascii="Times New Roman" w:hAnsi="Times New Roman" w:cs="Times New Roman"/>
          <w:sz w:val="24"/>
          <w:szCs w:val="24"/>
        </w:rPr>
      </w:pPr>
    </w:p>
    <w:p w:rsidR="004E3BC6" w:rsidRDefault="004E3BC6" w:rsidP="0015615B">
      <w:pPr>
        <w:spacing w:after="0" w:line="240" w:lineRule="auto"/>
        <w:jc w:val="both"/>
        <w:rPr>
          <w:rFonts w:ascii="Times New Roman" w:hAnsi="Times New Roman" w:cs="Times New Roman"/>
          <w:sz w:val="24"/>
          <w:szCs w:val="24"/>
        </w:rPr>
      </w:pPr>
    </w:p>
    <w:p w:rsidR="004E3BC6" w:rsidRDefault="004E3BC6" w:rsidP="0015615B">
      <w:pPr>
        <w:spacing w:after="0" w:line="240" w:lineRule="auto"/>
        <w:jc w:val="both"/>
        <w:rPr>
          <w:rFonts w:ascii="Times New Roman" w:hAnsi="Times New Roman" w:cs="Times New Roman"/>
          <w:sz w:val="24"/>
          <w:szCs w:val="24"/>
        </w:rPr>
      </w:pPr>
    </w:p>
    <w:p w:rsidR="004E3BC6" w:rsidRDefault="004E3BC6" w:rsidP="0015615B">
      <w:pPr>
        <w:spacing w:after="0" w:line="240" w:lineRule="auto"/>
        <w:jc w:val="both"/>
        <w:rPr>
          <w:rFonts w:ascii="Times New Roman" w:hAnsi="Times New Roman" w:cs="Times New Roman"/>
          <w:sz w:val="24"/>
          <w:szCs w:val="24"/>
        </w:rPr>
      </w:pPr>
    </w:p>
    <w:p w:rsidR="004E3BC6" w:rsidRDefault="004E3BC6" w:rsidP="0015615B">
      <w:pPr>
        <w:spacing w:after="0" w:line="240" w:lineRule="auto"/>
        <w:jc w:val="both"/>
        <w:rPr>
          <w:rFonts w:ascii="Times New Roman" w:hAnsi="Times New Roman" w:cs="Times New Roman"/>
          <w:sz w:val="24"/>
          <w:szCs w:val="24"/>
        </w:rPr>
      </w:pPr>
    </w:p>
    <w:p w:rsidR="004E3BC6" w:rsidRDefault="004E3BC6" w:rsidP="0015615B">
      <w:pPr>
        <w:spacing w:after="0" w:line="240" w:lineRule="auto"/>
        <w:jc w:val="both"/>
        <w:rPr>
          <w:rFonts w:ascii="Times New Roman" w:hAnsi="Times New Roman" w:cs="Times New Roman"/>
          <w:sz w:val="24"/>
          <w:szCs w:val="24"/>
        </w:rPr>
      </w:pPr>
    </w:p>
    <w:p w:rsidR="0015615B" w:rsidRPr="0015615B" w:rsidRDefault="0015615B" w:rsidP="0015615B">
      <w:pPr>
        <w:spacing w:after="0" w:line="240" w:lineRule="auto"/>
        <w:jc w:val="both"/>
        <w:rPr>
          <w:rFonts w:ascii="Times New Roman" w:hAnsi="Times New Roman" w:cs="Times New Roman"/>
          <w:sz w:val="24"/>
          <w:szCs w:val="24"/>
        </w:rPr>
      </w:pPr>
    </w:p>
    <w:p w:rsidR="004E3BC6" w:rsidRDefault="008844BA" w:rsidP="0015615B">
      <w:pPr>
        <w:spacing w:after="0" w:line="240" w:lineRule="auto"/>
        <w:jc w:val="both"/>
        <w:rPr>
          <w:rFonts w:ascii="Times New Roman" w:hAnsi="Times New Roman" w:cs="Times New Roman"/>
          <w:sz w:val="24"/>
          <w:szCs w:val="24"/>
        </w:rPr>
      </w:pPr>
      <w:r w:rsidRPr="0015615B">
        <w:rPr>
          <w:rFonts w:ascii="Times New Roman" w:hAnsi="Times New Roman" w:cs="Times New Roman"/>
          <w:sz w:val="24"/>
          <w:szCs w:val="24"/>
        </w:rPr>
        <w:tab/>
      </w:r>
    </w:p>
    <w:p w:rsidR="004E3BC6" w:rsidRDefault="004E3BC6" w:rsidP="004E3BC6">
      <w:pPr>
        <w:spacing w:after="0" w:line="240" w:lineRule="auto"/>
        <w:ind w:firstLine="709"/>
        <w:jc w:val="both"/>
        <w:rPr>
          <w:rFonts w:ascii="Times New Roman" w:hAnsi="Times New Roman" w:cs="Times New Roman"/>
          <w:sz w:val="24"/>
          <w:szCs w:val="24"/>
        </w:rPr>
      </w:pPr>
    </w:p>
    <w:p w:rsidR="003B0D3F" w:rsidRDefault="003B0D3F" w:rsidP="004E3BC6">
      <w:pPr>
        <w:spacing w:after="0" w:line="240" w:lineRule="auto"/>
        <w:ind w:firstLine="709"/>
        <w:jc w:val="both"/>
        <w:rPr>
          <w:rFonts w:ascii="Times New Roman" w:hAnsi="Times New Roman" w:cs="Times New Roman"/>
          <w:sz w:val="24"/>
          <w:szCs w:val="24"/>
        </w:rPr>
      </w:pPr>
    </w:p>
    <w:p w:rsidR="003B0D3F" w:rsidRDefault="003B0D3F" w:rsidP="004E3BC6">
      <w:pPr>
        <w:spacing w:after="0" w:line="240" w:lineRule="auto"/>
        <w:ind w:firstLine="709"/>
        <w:jc w:val="both"/>
        <w:rPr>
          <w:rFonts w:ascii="Times New Roman" w:hAnsi="Times New Roman" w:cs="Times New Roman"/>
          <w:sz w:val="24"/>
          <w:szCs w:val="24"/>
        </w:rPr>
      </w:pPr>
    </w:p>
    <w:p w:rsidR="003F5ED6" w:rsidRDefault="003F5ED6" w:rsidP="003F5E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5615B">
        <w:rPr>
          <w:rFonts w:ascii="Times New Roman" w:hAnsi="Times New Roman" w:cs="Times New Roman"/>
          <w:sz w:val="24"/>
          <w:szCs w:val="24"/>
        </w:rPr>
        <w:t>Com isso, o dono do imóvel, após retomá-lo terá de reconstruir toda a infraestrutura e logística necessária à produção. Como declara Santos (1996), o capital nômade se preocupa com sua reprodução ampliada, com isso desorganiza os territórios. Teixeira (2013) acrescenta que a escolha do Estado pela sustentação política e econômica do agronegócio, acarreta na negação da soberania alimentar. Importam-se alimentos básicos, o que provoca aumentos nos seus preços no mercado interno e com a eliminação das barreiras alfandegárias, se lança os produtores locais na seara competitiva do mercado internacional. Mas o campesin</w:t>
      </w:r>
      <w:r>
        <w:rPr>
          <w:rFonts w:ascii="Times New Roman" w:hAnsi="Times New Roman" w:cs="Times New Roman"/>
          <w:sz w:val="24"/>
          <w:szCs w:val="24"/>
        </w:rPr>
        <w:t>ato itapuranguense é resistente,</w:t>
      </w:r>
      <w:r w:rsidRPr="0015615B">
        <w:rPr>
          <w:rFonts w:ascii="Times New Roman" w:hAnsi="Times New Roman" w:cs="Times New Roman"/>
          <w:sz w:val="24"/>
          <w:szCs w:val="24"/>
        </w:rPr>
        <w:t xml:space="preserve"> na entrevista com o antigo presidente do STRI, o </w:t>
      </w:r>
      <w:r>
        <w:rPr>
          <w:rFonts w:ascii="Times New Roman" w:hAnsi="Times New Roman" w:cs="Times New Roman"/>
          <w:sz w:val="24"/>
          <w:szCs w:val="24"/>
        </w:rPr>
        <w:t>senhor Geraldo, foi relatado ess</w:t>
      </w:r>
      <w:r w:rsidRPr="0015615B">
        <w:rPr>
          <w:rFonts w:ascii="Times New Roman" w:hAnsi="Times New Roman" w:cs="Times New Roman"/>
          <w:sz w:val="24"/>
          <w:szCs w:val="24"/>
        </w:rPr>
        <w:t xml:space="preserve">a característica. Segundo ele, o início da luta em </w:t>
      </w:r>
      <w:proofErr w:type="spellStart"/>
      <w:r w:rsidRPr="0015615B">
        <w:rPr>
          <w:rFonts w:ascii="Times New Roman" w:hAnsi="Times New Roman" w:cs="Times New Roman"/>
          <w:sz w:val="24"/>
          <w:szCs w:val="24"/>
        </w:rPr>
        <w:t>Itapuranga</w:t>
      </w:r>
      <w:proofErr w:type="spellEnd"/>
      <w:r w:rsidRPr="0015615B">
        <w:rPr>
          <w:rFonts w:ascii="Times New Roman" w:hAnsi="Times New Roman" w:cs="Times New Roman"/>
          <w:sz w:val="24"/>
          <w:szCs w:val="24"/>
        </w:rPr>
        <w:t xml:space="preserve"> ocorreu no final de 1950, com a formação da Associação dos Camponeses, dirigida por Claudio Mendes, que recebia apoio do Partido Comunista (PC), por meio de Gregório Bezerra. </w:t>
      </w:r>
    </w:p>
    <w:p w:rsidR="003F5ED6" w:rsidRDefault="003F5ED6" w:rsidP="003F5E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5615B">
        <w:rPr>
          <w:rFonts w:ascii="Times New Roman" w:hAnsi="Times New Roman" w:cs="Times New Roman"/>
          <w:sz w:val="24"/>
          <w:szCs w:val="24"/>
        </w:rPr>
        <w:t>Com a extinção dessa associação, ocorre a formação das Comunidades Eclesiais de Base (</w:t>
      </w:r>
      <w:proofErr w:type="spellStart"/>
      <w:r w:rsidRPr="0015615B">
        <w:rPr>
          <w:rFonts w:ascii="Times New Roman" w:hAnsi="Times New Roman" w:cs="Times New Roman"/>
          <w:sz w:val="24"/>
          <w:szCs w:val="24"/>
        </w:rPr>
        <w:t>CEBs</w:t>
      </w:r>
      <w:proofErr w:type="spellEnd"/>
      <w:r w:rsidRPr="0015615B">
        <w:rPr>
          <w:rFonts w:ascii="Times New Roman" w:hAnsi="Times New Roman" w:cs="Times New Roman"/>
          <w:sz w:val="24"/>
          <w:szCs w:val="24"/>
        </w:rPr>
        <w:t>), no final da década de 1960. Nelas o padre Marciano e o padre Ivo, ligados a diocese de Goiás, dirigida por Dom Tomaz</w:t>
      </w:r>
      <w:r>
        <w:rPr>
          <w:rFonts w:ascii="Times New Roman" w:hAnsi="Times New Roman" w:cs="Times New Roman"/>
          <w:sz w:val="24"/>
          <w:szCs w:val="24"/>
        </w:rPr>
        <w:t xml:space="preserve"> Balduíno</w:t>
      </w:r>
      <w:r w:rsidRPr="0015615B">
        <w:rPr>
          <w:rFonts w:ascii="Times New Roman" w:hAnsi="Times New Roman" w:cs="Times New Roman"/>
          <w:sz w:val="24"/>
          <w:szCs w:val="24"/>
        </w:rPr>
        <w:t>, realizavam a formação dos fieis seguindo os princípios da Teologia da Libertação. O que desperta a reação da elite local, que invade a paróquia e expulsa os dois frades. No entanto, o senhor Geraldo menciona que o ocorrido ativa a unidade dos pobres, a</w:t>
      </w:r>
      <w:r>
        <w:rPr>
          <w:rFonts w:ascii="Times New Roman" w:hAnsi="Times New Roman" w:cs="Times New Roman"/>
          <w:sz w:val="24"/>
          <w:szCs w:val="24"/>
        </w:rPr>
        <w:t>rticulada por Dom Tomaz</w:t>
      </w:r>
      <w:r w:rsidRPr="0015615B">
        <w:rPr>
          <w:rFonts w:ascii="Times New Roman" w:hAnsi="Times New Roman" w:cs="Times New Roman"/>
          <w:sz w:val="24"/>
          <w:szCs w:val="24"/>
        </w:rPr>
        <w:t>, que decide retomar os sindicatos da diocese sob o controle dos latifundiários, já que a Federação dos Trabalhadores da Agricultura do Estado de Goiás (</w:t>
      </w:r>
      <w:proofErr w:type="spellStart"/>
      <w:r w:rsidRPr="0015615B">
        <w:rPr>
          <w:rFonts w:ascii="Times New Roman" w:hAnsi="Times New Roman" w:cs="Times New Roman"/>
          <w:sz w:val="24"/>
          <w:szCs w:val="24"/>
        </w:rPr>
        <w:t>FETAEG</w:t>
      </w:r>
      <w:proofErr w:type="spellEnd"/>
      <w:r w:rsidRPr="0015615B">
        <w:rPr>
          <w:rFonts w:ascii="Times New Roman" w:hAnsi="Times New Roman" w:cs="Times New Roman"/>
          <w:sz w:val="24"/>
          <w:szCs w:val="24"/>
        </w:rPr>
        <w:t>) em 1970 era dirigida por um latifundiário. Com isso, com o apoio da igreja conseguem ocupar a direção e passam a defender os trabalhadores rurais em suas demandas.</w:t>
      </w:r>
    </w:p>
    <w:p w:rsidR="00FC2586" w:rsidRDefault="00F15DCC" w:rsidP="003F5ED6">
      <w:pPr>
        <w:spacing w:after="0" w:line="240" w:lineRule="auto"/>
        <w:ind w:firstLine="709"/>
        <w:jc w:val="both"/>
        <w:rPr>
          <w:rFonts w:ascii="Times New Roman" w:hAnsi="Times New Roman" w:cs="Times New Roman"/>
          <w:sz w:val="24"/>
          <w:szCs w:val="24"/>
        </w:rPr>
      </w:pPr>
      <w:r w:rsidRPr="0015615B">
        <w:rPr>
          <w:rFonts w:ascii="Times New Roman" w:hAnsi="Times New Roman" w:cs="Times New Roman"/>
          <w:sz w:val="24"/>
          <w:szCs w:val="24"/>
        </w:rPr>
        <w:t>N</w:t>
      </w:r>
      <w:r w:rsidR="0004472B" w:rsidRPr="0015615B">
        <w:rPr>
          <w:rFonts w:ascii="Times New Roman" w:hAnsi="Times New Roman" w:cs="Times New Roman"/>
          <w:sz w:val="24"/>
          <w:szCs w:val="24"/>
        </w:rPr>
        <w:t>a entrevista com o p</w:t>
      </w:r>
      <w:r w:rsidRPr="0015615B">
        <w:rPr>
          <w:rFonts w:ascii="Times New Roman" w:hAnsi="Times New Roman" w:cs="Times New Roman"/>
          <w:sz w:val="24"/>
          <w:szCs w:val="24"/>
        </w:rPr>
        <w:t>residente da COOPERAF</w:t>
      </w:r>
      <w:r w:rsidR="00C13108" w:rsidRPr="0015615B">
        <w:rPr>
          <w:rFonts w:ascii="Times New Roman" w:hAnsi="Times New Roman" w:cs="Times New Roman"/>
          <w:sz w:val="24"/>
          <w:szCs w:val="24"/>
        </w:rPr>
        <w:t>I</w:t>
      </w:r>
      <w:r w:rsidRPr="0015615B">
        <w:rPr>
          <w:rFonts w:ascii="Times New Roman" w:hAnsi="Times New Roman" w:cs="Times New Roman"/>
          <w:sz w:val="24"/>
          <w:szCs w:val="24"/>
        </w:rPr>
        <w:t>, o senhor Gilmar, ele</w:t>
      </w:r>
      <w:r w:rsidR="00CF3C71" w:rsidRPr="0015615B">
        <w:rPr>
          <w:rFonts w:ascii="Times New Roman" w:hAnsi="Times New Roman" w:cs="Times New Roman"/>
          <w:sz w:val="24"/>
          <w:szCs w:val="24"/>
        </w:rPr>
        <w:t xml:space="preserve"> destacou que o SRTI</w:t>
      </w:r>
      <w:r w:rsidR="0004472B" w:rsidRPr="0015615B">
        <w:rPr>
          <w:rFonts w:ascii="Times New Roman" w:hAnsi="Times New Roman" w:cs="Times New Roman"/>
          <w:sz w:val="24"/>
          <w:szCs w:val="24"/>
        </w:rPr>
        <w:t xml:space="preserve"> foi f</w:t>
      </w:r>
      <w:r w:rsidR="00CF3C71" w:rsidRPr="0015615B">
        <w:rPr>
          <w:rFonts w:ascii="Times New Roman" w:hAnsi="Times New Roman" w:cs="Times New Roman"/>
          <w:sz w:val="24"/>
          <w:szCs w:val="24"/>
        </w:rPr>
        <w:t>undamental para tomar a direção</w:t>
      </w:r>
      <w:r w:rsidR="00220715" w:rsidRPr="0015615B">
        <w:rPr>
          <w:rFonts w:ascii="Times New Roman" w:hAnsi="Times New Roman" w:cs="Times New Roman"/>
          <w:sz w:val="24"/>
          <w:szCs w:val="24"/>
        </w:rPr>
        <w:t xml:space="preserve"> do Hospital do Funrural em 1978, que se tornou a Associação Popular de Saúde.</w:t>
      </w:r>
      <w:r w:rsidRPr="0015615B">
        <w:rPr>
          <w:rFonts w:ascii="Times New Roman" w:hAnsi="Times New Roman" w:cs="Times New Roman"/>
          <w:sz w:val="24"/>
          <w:szCs w:val="24"/>
        </w:rPr>
        <w:t xml:space="preserve"> </w:t>
      </w:r>
      <w:r w:rsidR="00220715" w:rsidRPr="0015615B">
        <w:rPr>
          <w:rFonts w:ascii="Times New Roman" w:hAnsi="Times New Roman" w:cs="Times New Roman"/>
          <w:sz w:val="24"/>
          <w:szCs w:val="24"/>
        </w:rPr>
        <w:t>Além</w:t>
      </w:r>
      <w:r w:rsidRPr="0015615B">
        <w:rPr>
          <w:rFonts w:ascii="Times New Roman" w:hAnsi="Times New Roman" w:cs="Times New Roman"/>
          <w:sz w:val="24"/>
          <w:szCs w:val="24"/>
        </w:rPr>
        <w:t xml:space="preserve"> disso, possibilitou a formação de</w:t>
      </w:r>
      <w:r w:rsidR="0004472B" w:rsidRPr="0015615B">
        <w:rPr>
          <w:rFonts w:ascii="Times New Roman" w:hAnsi="Times New Roman" w:cs="Times New Roman"/>
          <w:sz w:val="24"/>
          <w:szCs w:val="24"/>
        </w:rPr>
        <w:t xml:space="preserve"> outras organizações, como a Sociedade da Vaca, que visava realizar a compra coletiva de carne bovina, devido ao </w:t>
      </w:r>
      <w:r w:rsidR="0004472B" w:rsidRPr="0015615B">
        <w:rPr>
          <w:rFonts w:ascii="Times New Roman" w:hAnsi="Times New Roman" w:cs="Times New Roman"/>
          <w:sz w:val="24"/>
          <w:szCs w:val="24"/>
        </w:rPr>
        <w:lastRenderedPageBreak/>
        <w:t>preço elevado no comercio varejista.</w:t>
      </w:r>
      <w:r w:rsidRPr="0015615B">
        <w:rPr>
          <w:rFonts w:ascii="Times New Roman" w:hAnsi="Times New Roman" w:cs="Times New Roman"/>
          <w:sz w:val="24"/>
          <w:szCs w:val="24"/>
        </w:rPr>
        <w:t xml:space="preserve"> Além da Associação da Semente e do Adubo</w:t>
      </w:r>
      <w:r w:rsidR="003F5ED6">
        <w:rPr>
          <w:rFonts w:ascii="Times New Roman" w:hAnsi="Times New Roman" w:cs="Times New Roman"/>
          <w:sz w:val="24"/>
          <w:szCs w:val="24"/>
        </w:rPr>
        <w:t>, formada com vistas à aquisição coletiva de insumos</w:t>
      </w:r>
      <w:r w:rsidRPr="0015615B">
        <w:rPr>
          <w:rFonts w:ascii="Times New Roman" w:hAnsi="Times New Roman" w:cs="Times New Roman"/>
          <w:sz w:val="24"/>
          <w:szCs w:val="24"/>
        </w:rPr>
        <w:t>.</w:t>
      </w:r>
      <w:r w:rsidR="0004472B" w:rsidRPr="0015615B">
        <w:rPr>
          <w:rFonts w:ascii="Times New Roman" w:hAnsi="Times New Roman" w:cs="Times New Roman"/>
          <w:sz w:val="24"/>
          <w:szCs w:val="24"/>
        </w:rPr>
        <w:t xml:space="preserve"> </w:t>
      </w:r>
      <w:r w:rsidR="00FC2586" w:rsidRPr="0015615B">
        <w:rPr>
          <w:rFonts w:ascii="Times New Roman" w:hAnsi="Times New Roman" w:cs="Times New Roman"/>
          <w:sz w:val="24"/>
          <w:szCs w:val="24"/>
        </w:rPr>
        <w:t>O senh</w:t>
      </w:r>
      <w:r w:rsidR="003F5ED6">
        <w:rPr>
          <w:rFonts w:ascii="Times New Roman" w:hAnsi="Times New Roman" w:cs="Times New Roman"/>
          <w:sz w:val="24"/>
          <w:szCs w:val="24"/>
        </w:rPr>
        <w:t>or Geraldo destacou além dess</w:t>
      </w:r>
      <w:r w:rsidR="0042392D" w:rsidRPr="0015615B">
        <w:rPr>
          <w:rFonts w:ascii="Times New Roman" w:hAnsi="Times New Roman" w:cs="Times New Roman"/>
          <w:sz w:val="24"/>
          <w:szCs w:val="24"/>
        </w:rPr>
        <w:t>as, a</w:t>
      </w:r>
      <w:r w:rsidR="00FC2586" w:rsidRPr="0015615B">
        <w:rPr>
          <w:rFonts w:ascii="Times New Roman" w:hAnsi="Times New Roman" w:cs="Times New Roman"/>
          <w:sz w:val="24"/>
          <w:szCs w:val="24"/>
        </w:rPr>
        <w:t xml:space="preserve"> lut</w:t>
      </w:r>
      <w:r w:rsidR="0042392D" w:rsidRPr="0015615B">
        <w:rPr>
          <w:rFonts w:ascii="Times New Roman" w:hAnsi="Times New Roman" w:cs="Times New Roman"/>
          <w:sz w:val="24"/>
          <w:szCs w:val="24"/>
        </w:rPr>
        <w:t>a</w:t>
      </w:r>
      <w:r w:rsidR="00CF3C71" w:rsidRPr="0015615B">
        <w:rPr>
          <w:rFonts w:ascii="Times New Roman" w:hAnsi="Times New Roman" w:cs="Times New Roman"/>
          <w:sz w:val="24"/>
          <w:szCs w:val="24"/>
        </w:rPr>
        <w:t xml:space="preserve"> do STRI</w:t>
      </w:r>
      <w:r w:rsidR="0042392D" w:rsidRPr="0015615B">
        <w:rPr>
          <w:rFonts w:ascii="Times New Roman" w:hAnsi="Times New Roman" w:cs="Times New Roman"/>
          <w:sz w:val="24"/>
          <w:szCs w:val="24"/>
        </w:rPr>
        <w:t>,</w:t>
      </w:r>
      <w:r w:rsidRPr="0015615B">
        <w:rPr>
          <w:rFonts w:ascii="Times New Roman" w:hAnsi="Times New Roman" w:cs="Times New Roman"/>
          <w:sz w:val="24"/>
          <w:szCs w:val="24"/>
        </w:rPr>
        <w:t xml:space="preserve"> apoiado pela igreja e por jornalista</w:t>
      </w:r>
      <w:r w:rsidR="0042392D" w:rsidRPr="0015615B">
        <w:rPr>
          <w:rFonts w:ascii="Times New Roman" w:hAnsi="Times New Roman" w:cs="Times New Roman"/>
          <w:sz w:val="24"/>
          <w:szCs w:val="24"/>
        </w:rPr>
        <w:t>s do Jornal Diário da Manhã</w:t>
      </w:r>
      <w:r w:rsidRPr="0015615B">
        <w:rPr>
          <w:rFonts w:ascii="Times New Roman" w:hAnsi="Times New Roman" w:cs="Times New Roman"/>
          <w:sz w:val="24"/>
          <w:szCs w:val="24"/>
        </w:rPr>
        <w:t xml:space="preserve">, </w:t>
      </w:r>
      <w:r w:rsidR="00BE547A">
        <w:rPr>
          <w:rFonts w:ascii="Times New Roman" w:hAnsi="Times New Roman" w:cs="Times New Roman"/>
          <w:sz w:val="24"/>
          <w:szCs w:val="24"/>
        </w:rPr>
        <w:t>pelas terras ocupadas pelo</w:t>
      </w:r>
      <w:r w:rsidRPr="0015615B">
        <w:rPr>
          <w:rFonts w:ascii="Times New Roman" w:hAnsi="Times New Roman" w:cs="Times New Roman"/>
          <w:sz w:val="24"/>
          <w:szCs w:val="24"/>
        </w:rPr>
        <w:t>s camponeses da Fazenda</w:t>
      </w:r>
      <w:r w:rsidR="00FC2586" w:rsidRPr="0015615B">
        <w:rPr>
          <w:rFonts w:ascii="Times New Roman" w:hAnsi="Times New Roman" w:cs="Times New Roman"/>
          <w:sz w:val="24"/>
          <w:szCs w:val="24"/>
        </w:rPr>
        <w:t xml:space="preserve"> Córrego da Onça, segundo suas palavras:</w:t>
      </w:r>
    </w:p>
    <w:p w:rsidR="00F42D13" w:rsidRPr="0015615B" w:rsidRDefault="00F42D13" w:rsidP="004E3BC6">
      <w:pPr>
        <w:spacing w:after="0" w:line="240" w:lineRule="auto"/>
        <w:ind w:firstLine="709"/>
        <w:jc w:val="both"/>
        <w:rPr>
          <w:rFonts w:ascii="Times New Roman" w:hAnsi="Times New Roman" w:cs="Times New Roman"/>
          <w:sz w:val="24"/>
          <w:szCs w:val="24"/>
        </w:rPr>
      </w:pPr>
    </w:p>
    <w:p w:rsidR="00F42D13" w:rsidRDefault="00FC2586" w:rsidP="00F42D13">
      <w:pPr>
        <w:spacing w:after="0" w:line="240" w:lineRule="auto"/>
        <w:ind w:left="2268"/>
        <w:jc w:val="both"/>
        <w:rPr>
          <w:rFonts w:ascii="Times New Roman" w:hAnsi="Times New Roman" w:cs="Times New Roman"/>
        </w:rPr>
      </w:pPr>
      <w:r w:rsidRPr="00F42D13">
        <w:rPr>
          <w:rFonts w:ascii="Times New Roman" w:hAnsi="Times New Roman" w:cs="Times New Roman"/>
          <w:i/>
        </w:rPr>
        <w:t>Na época o</w:t>
      </w:r>
      <w:r w:rsidR="00F15DCC" w:rsidRPr="00F42D13">
        <w:rPr>
          <w:rFonts w:ascii="Times New Roman" w:hAnsi="Times New Roman" w:cs="Times New Roman"/>
          <w:i/>
        </w:rPr>
        <w:t xml:space="preserve"> Aureliano José Caiado, o </w:t>
      </w:r>
      <w:proofErr w:type="spellStart"/>
      <w:r w:rsidR="00F15DCC" w:rsidRPr="00F42D13">
        <w:rPr>
          <w:rFonts w:ascii="Times New Roman" w:hAnsi="Times New Roman" w:cs="Times New Roman"/>
          <w:i/>
        </w:rPr>
        <w:t>fiote</w:t>
      </w:r>
      <w:proofErr w:type="spellEnd"/>
      <w:r w:rsidR="00F15DCC" w:rsidRPr="00F42D13">
        <w:rPr>
          <w:rFonts w:ascii="Times New Roman" w:hAnsi="Times New Roman" w:cs="Times New Roman"/>
          <w:i/>
        </w:rPr>
        <w:t xml:space="preserve">, </w:t>
      </w:r>
      <w:proofErr w:type="spellStart"/>
      <w:r w:rsidR="00F15DCC" w:rsidRPr="00F42D13">
        <w:rPr>
          <w:rFonts w:ascii="Times New Roman" w:hAnsi="Times New Roman" w:cs="Times New Roman"/>
          <w:i/>
        </w:rPr>
        <w:t>despejó</w:t>
      </w:r>
      <w:proofErr w:type="spellEnd"/>
      <w:r w:rsidR="00F15DCC" w:rsidRPr="00F42D13">
        <w:rPr>
          <w:rFonts w:ascii="Times New Roman" w:hAnsi="Times New Roman" w:cs="Times New Roman"/>
          <w:i/>
        </w:rPr>
        <w:t xml:space="preserve"> </w:t>
      </w:r>
      <w:r w:rsidRPr="00F42D13">
        <w:rPr>
          <w:rFonts w:ascii="Times New Roman" w:hAnsi="Times New Roman" w:cs="Times New Roman"/>
          <w:i/>
        </w:rPr>
        <w:t>todas as famílias, o governo era dos Caiado, o governo do estado era do Brasil Caiado. Esse cidadão conseguiu uma escritura em algum canto e em cima dela que ele utilizô pra despeja aquelas pessoa, pessoas que tinha cinquenta anos ou mais</w:t>
      </w:r>
      <w:r w:rsidR="0042392D" w:rsidRPr="00F42D13">
        <w:rPr>
          <w:rFonts w:ascii="Times New Roman" w:hAnsi="Times New Roman" w:cs="Times New Roman"/>
          <w:i/>
        </w:rPr>
        <w:t xml:space="preserve"> na terra</w:t>
      </w:r>
      <w:r w:rsidRPr="00F42D13">
        <w:rPr>
          <w:rFonts w:ascii="Times New Roman" w:hAnsi="Times New Roman" w:cs="Times New Roman"/>
          <w:i/>
        </w:rPr>
        <w:t xml:space="preserve">, como é o caso dos Lopes, a família Lopes. Seu João tinha nascido lá, já </w:t>
      </w:r>
      <w:proofErr w:type="gramStart"/>
      <w:r w:rsidRPr="00F42D13">
        <w:rPr>
          <w:rFonts w:ascii="Times New Roman" w:hAnsi="Times New Roman" w:cs="Times New Roman"/>
          <w:i/>
        </w:rPr>
        <w:t>tava velho</w:t>
      </w:r>
      <w:proofErr w:type="gramEnd"/>
      <w:r w:rsidRPr="00F42D13">
        <w:rPr>
          <w:rFonts w:ascii="Times New Roman" w:hAnsi="Times New Roman" w:cs="Times New Roman"/>
          <w:i/>
        </w:rPr>
        <w:t>, tinha filho, neto lá, aquela coisa tudo. E ele chegô e disse</w:t>
      </w:r>
      <w:r w:rsidR="00F15DCC" w:rsidRPr="00F42D13">
        <w:rPr>
          <w:rFonts w:ascii="Times New Roman" w:hAnsi="Times New Roman" w:cs="Times New Roman"/>
          <w:i/>
        </w:rPr>
        <w:t>:</w:t>
      </w:r>
      <w:r w:rsidRPr="00F42D13">
        <w:rPr>
          <w:rFonts w:ascii="Times New Roman" w:hAnsi="Times New Roman" w:cs="Times New Roman"/>
          <w:i/>
        </w:rPr>
        <w:t xml:space="preserve"> eu só o dono</w:t>
      </w:r>
      <w:r w:rsidR="00F15DCC" w:rsidRPr="00F42D13">
        <w:rPr>
          <w:rFonts w:ascii="Times New Roman" w:hAnsi="Times New Roman" w:cs="Times New Roman"/>
          <w:i/>
        </w:rPr>
        <w:t>,</w:t>
      </w:r>
      <w:r w:rsidRPr="00F42D13">
        <w:rPr>
          <w:rFonts w:ascii="Times New Roman" w:hAnsi="Times New Roman" w:cs="Times New Roman"/>
          <w:i/>
        </w:rPr>
        <w:t xml:space="preserve"> e conseguiu</w:t>
      </w:r>
      <w:r w:rsidR="004A49BA" w:rsidRPr="00F42D13">
        <w:rPr>
          <w:rFonts w:ascii="Times New Roman" w:hAnsi="Times New Roman" w:cs="Times New Roman"/>
          <w:i/>
        </w:rPr>
        <w:t>,</w:t>
      </w:r>
      <w:r w:rsidRPr="00F42D13">
        <w:rPr>
          <w:rFonts w:ascii="Times New Roman" w:hAnsi="Times New Roman" w:cs="Times New Roman"/>
          <w:i/>
        </w:rPr>
        <w:t xml:space="preserve"> porque primero a justiça tudo </w:t>
      </w:r>
      <w:r w:rsidR="004A49BA" w:rsidRPr="00F42D13">
        <w:rPr>
          <w:rFonts w:ascii="Times New Roman" w:hAnsi="Times New Roman" w:cs="Times New Roman"/>
          <w:i/>
        </w:rPr>
        <w:t xml:space="preserve">era </w:t>
      </w:r>
      <w:r w:rsidRPr="00F42D13">
        <w:rPr>
          <w:rFonts w:ascii="Times New Roman" w:hAnsi="Times New Roman" w:cs="Times New Roman"/>
          <w:i/>
        </w:rPr>
        <w:t xml:space="preserve">do lado deles. Aí </w:t>
      </w:r>
      <w:r w:rsidR="004A49BA" w:rsidRPr="00F42D13">
        <w:rPr>
          <w:rFonts w:ascii="Times New Roman" w:hAnsi="Times New Roman" w:cs="Times New Roman"/>
          <w:i/>
        </w:rPr>
        <w:t>o sindicato entrô</w:t>
      </w:r>
      <w:r w:rsidR="00AB02C0" w:rsidRPr="00F42D13">
        <w:rPr>
          <w:rFonts w:ascii="Times New Roman" w:hAnsi="Times New Roman" w:cs="Times New Roman"/>
          <w:i/>
        </w:rPr>
        <w:t xml:space="preserve">, o importante é que </w:t>
      </w:r>
      <w:r w:rsidR="00F15DCC" w:rsidRPr="00F42D13">
        <w:rPr>
          <w:rFonts w:ascii="Times New Roman" w:hAnsi="Times New Roman" w:cs="Times New Roman"/>
          <w:i/>
        </w:rPr>
        <w:t xml:space="preserve">foi </w:t>
      </w:r>
      <w:r w:rsidR="00AB02C0" w:rsidRPr="00F42D13">
        <w:rPr>
          <w:rFonts w:ascii="Times New Roman" w:hAnsi="Times New Roman" w:cs="Times New Roman"/>
          <w:i/>
        </w:rPr>
        <w:t>a primeira desapropriação em beneficio social do estado de Goiás. Até então não tinha movimentos grandes por questã</w:t>
      </w:r>
      <w:r w:rsidR="0042392D" w:rsidRPr="00F42D13">
        <w:rPr>
          <w:rFonts w:ascii="Times New Roman" w:hAnsi="Times New Roman" w:cs="Times New Roman"/>
          <w:i/>
        </w:rPr>
        <w:t>o de terra</w:t>
      </w:r>
      <w:r w:rsidR="00AB02C0" w:rsidRPr="00F42D13">
        <w:rPr>
          <w:rFonts w:ascii="Times New Roman" w:hAnsi="Times New Roman" w:cs="Times New Roman"/>
          <w:i/>
        </w:rPr>
        <w:t xml:space="preserve"> essas coisa aqui, tinha o sindicato que defendia </w:t>
      </w:r>
      <w:proofErr w:type="gramStart"/>
      <w:r w:rsidR="00AB02C0" w:rsidRPr="00F42D13">
        <w:rPr>
          <w:rFonts w:ascii="Times New Roman" w:hAnsi="Times New Roman" w:cs="Times New Roman"/>
          <w:i/>
        </w:rPr>
        <w:t>essas coisa</w:t>
      </w:r>
      <w:proofErr w:type="gramEnd"/>
      <w:r w:rsidR="00AB02C0" w:rsidRPr="00F42D13">
        <w:rPr>
          <w:rFonts w:ascii="Times New Roman" w:hAnsi="Times New Roman" w:cs="Times New Roman"/>
          <w:i/>
        </w:rPr>
        <w:t xml:space="preserve">. [...] esses posseiro num era sem-terra, era </w:t>
      </w:r>
      <w:proofErr w:type="gramStart"/>
      <w:r w:rsidR="00AB02C0" w:rsidRPr="00F42D13">
        <w:rPr>
          <w:rFonts w:ascii="Times New Roman" w:hAnsi="Times New Roman" w:cs="Times New Roman"/>
          <w:i/>
        </w:rPr>
        <w:t>os verdadeiro</w:t>
      </w:r>
      <w:proofErr w:type="gramEnd"/>
      <w:r w:rsidR="00AB02C0" w:rsidRPr="00F42D13">
        <w:rPr>
          <w:rFonts w:ascii="Times New Roman" w:hAnsi="Times New Roman" w:cs="Times New Roman"/>
          <w:i/>
        </w:rPr>
        <w:t xml:space="preserve"> dono da terra [...] esse fazendeiro que tinha um mundo veio de terra é que tava tomano</w:t>
      </w:r>
      <w:r w:rsidR="00F15DCC" w:rsidRPr="00F42D13">
        <w:rPr>
          <w:rFonts w:ascii="Times New Roman" w:hAnsi="Times New Roman" w:cs="Times New Roman"/>
          <w:i/>
        </w:rPr>
        <w:t xml:space="preserve"> deles</w:t>
      </w:r>
      <w:r w:rsidR="00AB02C0" w:rsidRPr="00F42D13">
        <w:rPr>
          <w:rFonts w:ascii="Times New Roman" w:hAnsi="Times New Roman" w:cs="Times New Roman"/>
          <w:i/>
        </w:rPr>
        <w:t xml:space="preserve">. </w:t>
      </w:r>
      <w:r w:rsidR="004A49BA" w:rsidRPr="00F42D13">
        <w:rPr>
          <w:rFonts w:ascii="Times New Roman" w:hAnsi="Times New Roman" w:cs="Times New Roman"/>
        </w:rPr>
        <w:t>(</w:t>
      </w:r>
      <w:r w:rsidR="00AB02C0" w:rsidRPr="00F42D13">
        <w:rPr>
          <w:rFonts w:ascii="Times New Roman" w:hAnsi="Times New Roman" w:cs="Times New Roman"/>
        </w:rPr>
        <w:t>entrevista realizada em onze de Outubro de 2014)</w:t>
      </w:r>
      <w:r w:rsidR="0015615B" w:rsidRPr="00F42D13">
        <w:rPr>
          <w:rFonts w:ascii="Times New Roman" w:hAnsi="Times New Roman" w:cs="Times New Roman"/>
        </w:rPr>
        <w:t>.</w:t>
      </w:r>
    </w:p>
    <w:p w:rsidR="00F42D13" w:rsidRPr="00F42D13" w:rsidRDefault="00F42D13" w:rsidP="00F42D13">
      <w:pPr>
        <w:spacing w:after="0" w:line="240" w:lineRule="auto"/>
        <w:ind w:left="2268"/>
        <w:jc w:val="both"/>
        <w:rPr>
          <w:rFonts w:ascii="Times New Roman" w:hAnsi="Times New Roman" w:cs="Times New Roman"/>
        </w:rPr>
      </w:pPr>
    </w:p>
    <w:p w:rsidR="00BE547A" w:rsidRDefault="00F42D13" w:rsidP="001561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B02C0" w:rsidRPr="0015615B">
        <w:rPr>
          <w:rFonts w:ascii="Times New Roman" w:hAnsi="Times New Roman" w:cs="Times New Roman"/>
          <w:sz w:val="24"/>
          <w:szCs w:val="24"/>
        </w:rPr>
        <w:t xml:space="preserve">A desapropriação da Fazenda </w:t>
      </w:r>
      <w:r w:rsidR="009A46E5" w:rsidRPr="0015615B">
        <w:rPr>
          <w:rFonts w:ascii="Times New Roman" w:hAnsi="Times New Roman" w:cs="Times New Roman"/>
          <w:sz w:val="24"/>
          <w:szCs w:val="24"/>
        </w:rPr>
        <w:t xml:space="preserve">do </w:t>
      </w:r>
      <w:r w:rsidR="00AB02C0" w:rsidRPr="0015615B">
        <w:rPr>
          <w:rFonts w:ascii="Times New Roman" w:hAnsi="Times New Roman" w:cs="Times New Roman"/>
          <w:sz w:val="24"/>
          <w:szCs w:val="24"/>
        </w:rPr>
        <w:t>Córrego da Onça permitiu a permanência de trinta e duas famílias</w:t>
      </w:r>
      <w:r w:rsidR="004A49BA" w:rsidRPr="0015615B">
        <w:rPr>
          <w:rFonts w:ascii="Times New Roman" w:hAnsi="Times New Roman" w:cs="Times New Roman"/>
          <w:sz w:val="24"/>
          <w:szCs w:val="24"/>
        </w:rPr>
        <w:t xml:space="preserve"> camponesas</w:t>
      </w:r>
      <w:r w:rsidR="009A46E5" w:rsidRPr="0015615B">
        <w:rPr>
          <w:rFonts w:ascii="Times New Roman" w:hAnsi="Times New Roman" w:cs="Times New Roman"/>
          <w:sz w:val="24"/>
          <w:szCs w:val="24"/>
        </w:rPr>
        <w:t xml:space="preserve"> territorializadas</w:t>
      </w:r>
      <w:r w:rsidR="00F15DCC" w:rsidRPr="0015615B">
        <w:rPr>
          <w:rFonts w:ascii="Times New Roman" w:hAnsi="Times New Roman" w:cs="Times New Roman"/>
          <w:sz w:val="24"/>
          <w:szCs w:val="24"/>
        </w:rPr>
        <w:t xml:space="preserve">. </w:t>
      </w:r>
      <w:r w:rsidR="002A72D8" w:rsidRPr="0015615B">
        <w:rPr>
          <w:rFonts w:ascii="Times New Roman" w:hAnsi="Times New Roman" w:cs="Times New Roman"/>
          <w:sz w:val="24"/>
          <w:szCs w:val="24"/>
        </w:rPr>
        <w:t>Também</w:t>
      </w:r>
      <w:r w:rsidR="004A49BA" w:rsidRPr="0015615B">
        <w:rPr>
          <w:rFonts w:ascii="Times New Roman" w:hAnsi="Times New Roman" w:cs="Times New Roman"/>
          <w:sz w:val="24"/>
          <w:szCs w:val="24"/>
        </w:rPr>
        <w:t xml:space="preserve">, </w:t>
      </w:r>
      <w:r w:rsidR="00F15DCC" w:rsidRPr="0015615B">
        <w:rPr>
          <w:rFonts w:ascii="Times New Roman" w:hAnsi="Times New Roman" w:cs="Times New Roman"/>
          <w:sz w:val="24"/>
          <w:szCs w:val="24"/>
        </w:rPr>
        <w:t xml:space="preserve">como resultado da luta sindical </w:t>
      </w:r>
      <w:r w:rsidR="0042392D" w:rsidRPr="0015615B">
        <w:rPr>
          <w:rFonts w:ascii="Times New Roman" w:hAnsi="Times New Roman" w:cs="Times New Roman"/>
          <w:sz w:val="24"/>
          <w:szCs w:val="24"/>
        </w:rPr>
        <w:t xml:space="preserve">no município </w:t>
      </w:r>
      <w:r w:rsidR="00F15DCC" w:rsidRPr="0015615B">
        <w:rPr>
          <w:rFonts w:ascii="Times New Roman" w:hAnsi="Times New Roman" w:cs="Times New Roman"/>
          <w:sz w:val="24"/>
          <w:szCs w:val="24"/>
        </w:rPr>
        <w:t>houve a</w:t>
      </w:r>
      <w:r w:rsidR="004A49BA" w:rsidRPr="0015615B">
        <w:rPr>
          <w:rFonts w:ascii="Times New Roman" w:hAnsi="Times New Roman" w:cs="Times New Roman"/>
          <w:sz w:val="24"/>
          <w:szCs w:val="24"/>
        </w:rPr>
        <w:t xml:space="preserve"> formação da Cooperativa mista COMIL, que visava à compra coletiva de bens de consumo duráveis e não duráveis</w:t>
      </w:r>
      <w:r w:rsidR="00F15DCC" w:rsidRPr="0015615B">
        <w:rPr>
          <w:rFonts w:ascii="Times New Roman" w:hAnsi="Times New Roman" w:cs="Times New Roman"/>
          <w:sz w:val="24"/>
          <w:szCs w:val="24"/>
        </w:rPr>
        <w:t>, com sua extinção foi formada</w:t>
      </w:r>
      <w:r w:rsidR="009A46E5" w:rsidRPr="0015615B">
        <w:rPr>
          <w:rFonts w:ascii="Times New Roman" w:hAnsi="Times New Roman" w:cs="Times New Roman"/>
          <w:sz w:val="24"/>
          <w:szCs w:val="24"/>
        </w:rPr>
        <w:t xml:space="preserve"> a COOPERAF</w:t>
      </w:r>
      <w:r w:rsidR="00C13108" w:rsidRPr="0015615B">
        <w:rPr>
          <w:rFonts w:ascii="Times New Roman" w:hAnsi="Times New Roman" w:cs="Times New Roman"/>
          <w:sz w:val="24"/>
          <w:szCs w:val="24"/>
        </w:rPr>
        <w:t>I</w:t>
      </w:r>
      <w:r w:rsidR="009A46E5" w:rsidRPr="0015615B">
        <w:rPr>
          <w:rFonts w:ascii="Times New Roman" w:hAnsi="Times New Roman" w:cs="Times New Roman"/>
          <w:sz w:val="24"/>
          <w:szCs w:val="24"/>
        </w:rPr>
        <w:t xml:space="preserve"> </w:t>
      </w:r>
      <w:r w:rsidR="0042392D" w:rsidRPr="0015615B">
        <w:rPr>
          <w:rFonts w:ascii="Times New Roman" w:hAnsi="Times New Roman" w:cs="Times New Roman"/>
          <w:sz w:val="24"/>
          <w:szCs w:val="24"/>
        </w:rPr>
        <w:t>em 1997, como resultado</w:t>
      </w:r>
      <w:r w:rsidR="009A46E5" w:rsidRPr="0015615B">
        <w:rPr>
          <w:rFonts w:ascii="Times New Roman" w:hAnsi="Times New Roman" w:cs="Times New Roman"/>
          <w:sz w:val="24"/>
          <w:szCs w:val="24"/>
        </w:rPr>
        <w:t xml:space="preserve"> de </w:t>
      </w:r>
      <w:r w:rsidR="00F15DCC" w:rsidRPr="0015615B">
        <w:rPr>
          <w:rFonts w:ascii="Times New Roman" w:hAnsi="Times New Roman" w:cs="Times New Roman"/>
          <w:sz w:val="24"/>
          <w:szCs w:val="24"/>
        </w:rPr>
        <w:t>um conjunto de lutas</w:t>
      </w:r>
      <w:r w:rsidR="0042392D" w:rsidRPr="0015615B">
        <w:rPr>
          <w:rFonts w:ascii="Times New Roman" w:hAnsi="Times New Roman" w:cs="Times New Roman"/>
          <w:sz w:val="24"/>
          <w:szCs w:val="24"/>
        </w:rPr>
        <w:t xml:space="preserve"> camponesas históricas</w:t>
      </w:r>
      <w:r w:rsidR="009A46E5" w:rsidRPr="0015615B">
        <w:rPr>
          <w:rFonts w:ascii="Times New Roman" w:hAnsi="Times New Roman" w:cs="Times New Roman"/>
          <w:sz w:val="24"/>
          <w:szCs w:val="24"/>
        </w:rPr>
        <w:t xml:space="preserve"> em Itapuranga.</w:t>
      </w:r>
      <w:r w:rsidR="00F15DCC" w:rsidRPr="0015615B">
        <w:rPr>
          <w:rFonts w:ascii="Times New Roman" w:hAnsi="Times New Roman" w:cs="Times New Roman"/>
          <w:sz w:val="24"/>
          <w:szCs w:val="24"/>
        </w:rPr>
        <w:t xml:space="preserve"> </w:t>
      </w:r>
      <w:r w:rsidR="009A46E5" w:rsidRPr="0015615B">
        <w:rPr>
          <w:rFonts w:ascii="Times New Roman" w:hAnsi="Times New Roman" w:cs="Times New Roman"/>
          <w:sz w:val="24"/>
          <w:szCs w:val="24"/>
        </w:rPr>
        <w:t xml:space="preserve">De acordo com Gilmar, a Cooperativa conta com cento e trinta </w:t>
      </w:r>
      <w:r w:rsidR="00BE547A">
        <w:rPr>
          <w:rFonts w:ascii="Times New Roman" w:hAnsi="Times New Roman" w:cs="Times New Roman"/>
          <w:sz w:val="24"/>
          <w:szCs w:val="24"/>
        </w:rPr>
        <w:t xml:space="preserve">e cinco </w:t>
      </w:r>
      <w:r w:rsidR="009A46E5" w:rsidRPr="0015615B">
        <w:rPr>
          <w:rFonts w:ascii="Times New Roman" w:hAnsi="Times New Roman" w:cs="Times New Roman"/>
          <w:sz w:val="24"/>
          <w:szCs w:val="24"/>
        </w:rPr>
        <w:t>sócios, possui uma agroindústria de processamento de frutas, está inserida no Programa Nacional de Alimentação Escolar (PNAE) e no Programa Nacional de Aquisição de Alimentos (PAA). Além do mais, desenvolve projetos de ho</w:t>
      </w:r>
      <w:r w:rsidR="00C35746" w:rsidRPr="0015615B">
        <w:rPr>
          <w:rFonts w:ascii="Times New Roman" w:hAnsi="Times New Roman" w:cs="Times New Roman"/>
          <w:sz w:val="24"/>
          <w:szCs w:val="24"/>
        </w:rPr>
        <w:t>rticultura</w:t>
      </w:r>
      <w:r w:rsidR="0042392D" w:rsidRPr="0015615B">
        <w:rPr>
          <w:rFonts w:ascii="Times New Roman" w:hAnsi="Times New Roman" w:cs="Times New Roman"/>
          <w:sz w:val="24"/>
          <w:szCs w:val="24"/>
        </w:rPr>
        <w:t xml:space="preserve"> com produção agroecológica, </w:t>
      </w:r>
      <w:r w:rsidR="00BE547A">
        <w:rPr>
          <w:rFonts w:ascii="Times New Roman" w:hAnsi="Times New Roman" w:cs="Times New Roman"/>
          <w:sz w:val="24"/>
          <w:szCs w:val="24"/>
        </w:rPr>
        <w:t xml:space="preserve">com parcerias com Associação da Agricultura Orgânica (ADAO), sediada em Goiânia. </w:t>
      </w:r>
      <w:r w:rsidR="00BE547A" w:rsidRPr="0015615B">
        <w:rPr>
          <w:rFonts w:ascii="Times New Roman" w:hAnsi="Times New Roman" w:cs="Times New Roman"/>
          <w:sz w:val="24"/>
          <w:szCs w:val="24"/>
        </w:rPr>
        <w:t>Assim</w:t>
      </w:r>
      <w:r w:rsidR="0042392D" w:rsidRPr="0015615B">
        <w:rPr>
          <w:rFonts w:ascii="Times New Roman" w:hAnsi="Times New Roman" w:cs="Times New Roman"/>
          <w:sz w:val="24"/>
          <w:szCs w:val="24"/>
        </w:rPr>
        <w:t xml:space="preserve"> como</w:t>
      </w:r>
      <w:r w:rsidR="00C35746" w:rsidRPr="0015615B">
        <w:rPr>
          <w:rFonts w:ascii="Times New Roman" w:hAnsi="Times New Roman" w:cs="Times New Roman"/>
          <w:sz w:val="24"/>
          <w:szCs w:val="24"/>
        </w:rPr>
        <w:t xml:space="preserve"> </w:t>
      </w:r>
      <w:r w:rsidR="0042392D" w:rsidRPr="0015615B">
        <w:rPr>
          <w:rFonts w:ascii="Times New Roman" w:hAnsi="Times New Roman" w:cs="Times New Roman"/>
          <w:sz w:val="24"/>
          <w:szCs w:val="24"/>
        </w:rPr>
        <w:t>d</w:t>
      </w:r>
      <w:r w:rsidR="00C35746" w:rsidRPr="0015615B">
        <w:rPr>
          <w:rFonts w:ascii="Times New Roman" w:hAnsi="Times New Roman" w:cs="Times New Roman"/>
          <w:sz w:val="24"/>
          <w:szCs w:val="24"/>
        </w:rPr>
        <w:t xml:space="preserve">e produção de leite, em que </w:t>
      </w:r>
      <w:r w:rsidR="009A46E5" w:rsidRPr="0015615B">
        <w:rPr>
          <w:rFonts w:ascii="Times New Roman" w:hAnsi="Times New Roman" w:cs="Times New Roman"/>
          <w:sz w:val="24"/>
          <w:szCs w:val="24"/>
        </w:rPr>
        <w:t>possui cinquenta e quatro tanques,</w:t>
      </w:r>
      <w:r w:rsidR="00C35746" w:rsidRPr="0015615B">
        <w:rPr>
          <w:rFonts w:ascii="Times New Roman" w:hAnsi="Times New Roman" w:cs="Times New Roman"/>
          <w:sz w:val="24"/>
          <w:szCs w:val="24"/>
        </w:rPr>
        <w:t xml:space="preserve"> com capacidade para</w:t>
      </w:r>
      <w:r w:rsidR="009A46E5" w:rsidRPr="0015615B">
        <w:rPr>
          <w:rFonts w:ascii="Times New Roman" w:hAnsi="Times New Roman" w:cs="Times New Roman"/>
          <w:sz w:val="24"/>
          <w:szCs w:val="24"/>
        </w:rPr>
        <w:t xml:space="preserve"> vinte e dois mil litros de leite em média</w:t>
      </w:r>
      <w:r w:rsidR="00BE547A">
        <w:rPr>
          <w:rFonts w:ascii="Times New Roman" w:hAnsi="Times New Roman" w:cs="Times New Roman"/>
          <w:sz w:val="24"/>
          <w:szCs w:val="24"/>
        </w:rPr>
        <w:t>,</w:t>
      </w:r>
      <w:r w:rsidR="00C35746" w:rsidRPr="0015615B">
        <w:rPr>
          <w:rFonts w:ascii="Times New Roman" w:hAnsi="Times New Roman" w:cs="Times New Roman"/>
          <w:sz w:val="24"/>
          <w:szCs w:val="24"/>
        </w:rPr>
        <w:t xml:space="preserve"> comercializado</w:t>
      </w:r>
      <w:r w:rsidR="009A46E5" w:rsidRPr="0015615B">
        <w:rPr>
          <w:rFonts w:ascii="Times New Roman" w:hAnsi="Times New Roman" w:cs="Times New Roman"/>
          <w:sz w:val="24"/>
          <w:szCs w:val="24"/>
        </w:rPr>
        <w:t xml:space="preserve"> com a Central das Cooperativas de Leite (Central/Leite)</w:t>
      </w:r>
      <w:r w:rsidR="00C35746" w:rsidRPr="0015615B">
        <w:rPr>
          <w:rFonts w:ascii="Times New Roman" w:hAnsi="Times New Roman" w:cs="Times New Roman"/>
          <w:sz w:val="24"/>
          <w:szCs w:val="24"/>
        </w:rPr>
        <w:t>.</w:t>
      </w:r>
    </w:p>
    <w:p w:rsidR="008763B9" w:rsidRPr="0015615B" w:rsidRDefault="00BE547A" w:rsidP="001561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A46E5" w:rsidRPr="0015615B">
        <w:rPr>
          <w:rFonts w:ascii="Times New Roman" w:hAnsi="Times New Roman" w:cs="Times New Roman"/>
          <w:sz w:val="24"/>
          <w:szCs w:val="24"/>
        </w:rPr>
        <w:t xml:space="preserve"> </w:t>
      </w:r>
      <w:r w:rsidR="00C35746" w:rsidRPr="0015615B">
        <w:rPr>
          <w:rFonts w:ascii="Times New Roman" w:hAnsi="Times New Roman" w:cs="Times New Roman"/>
          <w:sz w:val="24"/>
          <w:szCs w:val="24"/>
        </w:rPr>
        <w:t>A</w:t>
      </w:r>
      <w:r w:rsidR="009A46E5" w:rsidRPr="0015615B">
        <w:rPr>
          <w:rFonts w:ascii="Times New Roman" w:hAnsi="Times New Roman" w:cs="Times New Roman"/>
          <w:sz w:val="24"/>
          <w:szCs w:val="24"/>
        </w:rPr>
        <w:t xml:space="preserve"> coleta de leite atinge os municípios de Guaraita, Cidade de Goiás e Itapuranga. </w:t>
      </w:r>
      <w:r w:rsidR="0042392D" w:rsidRPr="0015615B">
        <w:rPr>
          <w:rFonts w:ascii="Times New Roman" w:hAnsi="Times New Roman" w:cs="Times New Roman"/>
          <w:sz w:val="24"/>
          <w:szCs w:val="24"/>
        </w:rPr>
        <w:t>Em dezoito de Outubro de 2014</w:t>
      </w:r>
      <w:r w:rsidR="008763B9" w:rsidRPr="0015615B">
        <w:rPr>
          <w:rFonts w:ascii="Times New Roman" w:hAnsi="Times New Roman" w:cs="Times New Roman"/>
          <w:sz w:val="24"/>
          <w:szCs w:val="24"/>
        </w:rPr>
        <w:t>,</w:t>
      </w:r>
      <w:r w:rsidR="0042392D" w:rsidRPr="0015615B">
        <w:rPr>
          <w:rFonts w:ascii="Times New Roman" w:hAnsi="Times New Roman" w:cs="Times New Roman"/>
          <w:sz w:val="24"/>
          <w:szCs w:val="24"/>
        </w:rPr>
        <w:t xml:space="preserve"> data da entrevista,</w:t>
      </w:r>
      <w:r w:rsidR="008763B9" w:rsidRPr="0015615B">
        <w:rPr>
          <w:rFonts w:ascii="Times New Roman" w:hAnsi="Times New Roman" w:cs="Times New Roman"/>
          <w:sz w:val="24"/>
          <w:szCs w:val="24"/>
        </w:rPr>
        <w:t xml:space="preserve"> </w:t>
      </w:r>
      <w:r w:rsidR="00C35746" w:rsidRPr="0015615B">
        <w:rPr>
          <w:rFonts w:ascii="Times New Roman" w:hAnsi="Times New Roman" w:cs="Times New Roman"/>
          <w:sz w:val="24"/>
          <w:szCs w:val="24"/>
        </w:rPr>
        <w:t>a cooperativa pagava</w:t>
      </w:r>
      <w:r w:rsidR="008763B9" w:rsidRPr="0015615B">
        <w:rPr>
          <w:rFonts w:ascii="Times New Roman" w:hAnsi="Times New Roman" w:cs="Times New Roman"/>
          <w:sz w:val="24"/>
          <w:szCs w:val="24"/>
        </w:rPr>
        <w:t xml:space="preserve"> pelo litro do leite R$ 1,03, enquanto as empresas do setor ofereciam 0,85 centavos aos camponeses do município. De acordo com Claudio, produtor cooperado:</w:t>
      </w:r>
      <w:r w:rsidR="008763B9" w:rsidRPr="0015615B">
        <w:rPr>
          <w:rFonts w:ascii="Times New Roman" w:hAnsi="Times New Roman" w:cs="Times New Roman"/>
          <w:i/>
          <w:sz w:val="24"/>
          <w:szCs w:val="24"/>
        </w:rPr>
        <w:t xml:space="preserve"> “se não fosse </w:t>
      </w:r>
      <w:proofErr w:type="gramStart"/>
      <w:r w:rsidR="008763B9" w:rsidRPr="0015615B">
        <w:rPr>
          <w:rFonts w:ascii="Times New Roman" w:hAnsi="Times New Roman" w:cs="Times New Roman"/>
          <w:i/>
          <w:sz w:val="24"/>
          <w:szCs w:val="24"/>
        </w:rPr>
        <w:t>a</w:t>
      </w:r>
      <w:proofErr w:type="gramEnd"/>
      <w:r w:rsidR="008763B9" w:rsidRPr="0015615B">
        <w:rPr>
          <w:rFonts w:ascii="Times New Roman" w:hAnsi="Times New Roman" w:cs="Times New Roman"/>
          <w:i/>
          <w:sz w:val="24"/>
          <w:szCs w:val="24"/>
        </w:rPr>
        <w:t xml:space="preserve"> cooperativa muitos</w:t>
      </w:r>
      <w:r>
        <w:rPr>
          <w:rFonts w:ascii="Times New Roman" w:hAnsi="Times New Roman" w:cs="Times New Roman"/>
          <w:i/>
          <w:sz w:val="24"/>
          <w:szCs w:val="24"/>
        </w:rPr>
        <w:t xml:space="preserve"> de </w:t>
      </w:r>
      <w:proofErr w:type="spellStart"/>
      <w:r>
        <w:rPr>
          <w:rFonts w:ascii="Times New Roman" w:hAnsi="Times New Roman" w:cs="Times New Roman"/>
          <w:i/>
          <w:sz w:val="24"/>
          <w:szCs w:val="24"/>
        </w:rPr>
        <w:t>nóis</w:t>
      </w:r>
      <w:proofErr w:type="spellEnd"/>
      <w:r w:rsidR="008763B9" w:rsidRPr="0015615B">
        <w:rPr>
          <w:rFonts w:ascii="Times New Roman" w:hAnsi="Times New Roman" w:cs="Times New Roman"/>
          <w:i/>
          <w:sz w:val="24"/>
          <w:szCs w:val="24"/>
        </w:rPr>
        <w:t xml:space="preserve"> não </w:t>
      </w:r>
      <w:proofErr w:type="spellStart"/>
      <w:r w:rsidR="008763B9" w:rsidRPr="0015615B">
        <w:rPr>
          <w:rFonts w:ascii="Times New Roman" w:hAnsi="Times New Roman" w:cs="Times New Roman"/>
          <w:i/>
          <w:sz w:val="24"/>
          <w:szCs w:val="24"/>
        </w:rPr>
        <w:t>taria</w:t>
      </w:r>
      <w:proofErr w:type="spellEnd"/>
      <w:r w:rsidR="008763B9" w:rsidRPr="0015615B">
        <w:rPr>
          <w:rFonts w:ascii="Times New Roman" w:hAnsi="Times New Roman" w:cs="Times New Roman"/>
          <w:i/>
          <w:sz w:val="24"/>
          <w:szCs w:val="24"/>
        </w:rPr>
        <w:t xml:space="preserve"> mais na roça.” </w:t>
      </w:r>
      <w:r w:rsidR="008763B9" w:rsidRPr="0015615B">
        <w:rPr>
          <w:rFonts w:ascii="Times New Roman" w:hAnsi="Times New Roman" w:cs="Times New Roman"/>
          <w:sz w:val="24"/>
          <w:szCs w:val="24"/>
        </w:rPr>
        <w:t>(Entrevista realizada em dezoito de Outubro de 2014). Além da COOPERAF</w:t>
      </w:r>
      <w:r w:rsidR="00C13108" w:rsidRPr="0015615B">
        <w:rPr>
          <w:rFonts w:ascii="Times New Roman" w:hAnsi="Times New Roman" w:cs="Times New Roman"/>
          <w:sz w:val="24"/>
          <w:szCs w:val="24"/>
        </w:rPr>
        <w:t>I</w:t>
      </w:r>
      <w:r w:rsidR="00C35746" w:rsidRPr="0015615B">
        <w:rPr>
          <w:rFonts w:ascii="Times New Roman" w:hAnsi="Times New Roman" w:cs="Times New Roman"/>
          <w:sz w:val="24"/>
          <w:szCs w:val="24"/>
        </w:rPr>
        <w:t>,</w:t>
      </w:r>
      <w:r w:rsidR="008763B9" w:rsidRPr="0015615B">
        <w:rPr>
          <w:rFonts w:ascii="Times New Roman" w:hAnsi="Times New Roman" w:cs="Times New Roman"/>
          <w:sz w:val="24"/>
          <w:szCs w:val="24"/>
        </w:rPr>
        <w:t xml:space="preserve"> existem no município treze associações camponesas, com d</w:t>
      </w:r>
      <w:r w:rsidR="002A72D8" w:rsidRPr="0015615B">
        <w:rPr>
          <w:rFonts w:ascii="Times New Roman" w:hAnsi="Times New Roman" w:cs="Times New Roman"/>
          <w:sz w:val="24"/>
          <w:szCs w:val="24"/>
        </w:rPr>
        <w:t>uzentos</w:t>
      </w:r>
      <w:r w:rsidR="008763B9" w:rsidRPr="0015615B">
        <w:rPr>
          <w:rFonts w:ascii="Times New Roman" w:hAnsi="Times New Roman" w:cs="Times New Roman"/>
          <w:sz w:val="24"/>
          <w:szCs w:val="24"/>
        </w:rPr>
        <w:t xml:space="preserve"> e quarenta associados. Portanto, e</w:t>
      </w:r>
      <w:r w:rsidR="002A72D8" w:rsidRPr="0015615B">
        <w:rPr>
          <w:rFonts w:ascii="Times New Roman" w:hAnsi="Times New Roman" w:cs="Times New Roman"/>
          <w:sz w:val="24"/>
          <w:szCs w:val="24"/>
        </w:rPr>
        <w:t>ss</w:t>
      </w:r>
      <w:r w:rsidR="008763B9" w:rsidRPr="0015615B">
        <w:rPr>
          <w:rFonts w:ascii="Times New Roman" w:hAnsi="Times New Roman" w:cs="Times New Roman"/>
          <w:sz w:val="24"/>
          <w:szCs w:val="24"/>
        </w:rPr>
        <w:t>as organiz</w:t>
      </w:r>
      <w:r w:rsidR="00C35746" w:rsidRPr="0015615B">
        <w:rPr>
          <w:rFonts w:ascii="Times New Roman" w:hAnsi="Times New Roman" w:cs="Times New Roman"/>
          <w:sz w:val="24"/>
          <w:szCs w:val="24"/>
        </w:rPr>
        <w:t>ações,</w:t>
      </w:r>
      <w:r w:rsidR="008763B9" w:rsidRPr="0015615B">
        <w:rPr>
          <w:rFonts w:ascii="Times New Roman" w:hAnsi="Times New Roman" w:cs="Times New Roman"/>
          <w:sz w:val="24"/>
          <w:szCs w:val="24"/>
        </w:rPr>
        <w:t xml:space="preserve"> com</w:t>
      </w:r>
      <w:r w:rsidR="00385694" w:rsidRPr="0015615B">
        <w:rPr>
          <w:rFonts w:ascii="Times New Roman" w:hAnsi="Times New Roman" w:cs="Times New Roman"/>
          <w:sz w:val="24"/>
          <w:szCs w:val="24"/>
        </w:rPr>
        <w:t xml:space="preserve"> o</w:t>
      </w:r>
      <w:r w:rsidR="00ED45C9" w:rsidRPr="0015615B">
        <w:rPr>
          <w:rFonts w:ascii="Times New Roman" w:hAnsi="Times New Roman" w:cs="Times New Roman"/>
          <w:sz w:val="24"/>
          <w:szCs w:val="24"/>
        </w:rPr>
        <w:t xml:space="preserve"> arrefecimento</w:t>
      </w:r>
      <w:r w:rsidR="0042392D" w:rsidRPr="0015615B">
        <w:rPr>
          <w:rFonts w:ascii="Times New Roman" w:hAnsi="Times New Roman" w:cs="Times New Roman"/>
          <w:sz w:val="24"/>
          <w:szCs w:val="24"/>
        </w:rPr>
        <w:t xml:space="preserve"> e fim do deslumbramento com </w:t>
      </w:r>
      <w:r w:rsidR="00E012FA" w:rsidRPr="0015615B">
        <w:rPr>
          <w:rFonts w:ascii="Times New Roman" w:hAnsi="Times New Roman" w:cs="Times New Roman"/>
          <w:sz w:val="24"/>
          <w:szCs w:val="24"/>
        </w:rPr>
        <w:t>o dis</w:t>
      </w:r>
      <w:r>
        <w:rPr>
          <w:rFonts w:ascii="Times New Roman" w:hAnsi="Times New Roman" w:cs="Times New Roman"/>
          <w:sz w:val="24"/>
          <w:szCs w:val="24"/>
        </w:rPr>
        <w:t xml:space="preserve">curso estratégico da Vale Verde, devido principalmente ao atraso contínuo nos pagamentos das taxas de arrrendo, fez com que </w:t>
      </w:r>
      <w:r w:rsidR="00C35746" w:rsidRPr="0015615B">
        <w:rPr>
          <w:rFonts w:ascii="Times New Roman" w:hAnsi="Times New Roman" w:cs="Times New Roman"/>
          <w:sz w:val="24"/>
          <w:szCs w:val="24"/>
        </w:rPr>
        <w:t>muitos camponeses retomassem</w:t>
      </w:r>
      <w:r w:rsidR="00E012FA" w:rsidRPr="0015615B">
        <w:rPr>
          <w:rFonts w:ascii="Times New Roman" w:hAnsi="Times New Roman" w:cs="Times New Roman"/>
          <w:sz w:val="24"/>
          <w:szCs w:val="24"/>
        </w:rPr>
        <w:t xml:space="preserve"> a</w:t>
      </w:r>
      <w:r>
        <w:rPr>
          <w:rFonts w:ascii="Times New Roman" w:hAnsi="Times New Roman" w:cs="Times New Roman"/>
          <w:sz w:val="24"/>
          <w:szCs w:val="24"/>
        </w:rPr>
        <w:t xml:space="preserve"> terra </w:t>
      </w:r>
      <w:r w:rsidR="008763B9" w:rsidRPr="0015615B">
        <w:rPr>
          <w:rFonts w:ascii="Times New Roman" w:hAnsi="Times New Roman" w:cs="Times New Roman"/>
          <w:sz w:val="24"/>
          <w:szCs w:val="24"/>
        </w:rPr>
        <w:t>e, por conseguinte, as atividades produtivas</w:t>
      </w:r>
      <w:r w:rsidR="00E012FA" w:rsidRPr="0015615B">
        <w:rPr>
          <w:rFonts w:ascii="Times New Roman" w:hAnsi="Times New Roman" w:cs="Times New Roman"/>
          <w:sz w:val="24"/>
          <w:szCs w:val="24"/>
        </w:rPr>
        <w:t>.</w:t>
      </w:r>
    </w:p>
    <w:p w:rsidR="0025260A" w:rsidRPr="0015615B" w:rsidRDefault="008763B9" w:rsidP="0015615B">
      <w:pPr>
        <w:spacing w:after="0" w:line="240" w:lineRule="auto"/>
        <w:jc w:val="both"/>
        <w:rPr>
          <w:rFonts w:ascii="Times New Roman" w:hAnsi="Times New Roman" w:cs="Times New Roman"/>
          <w:sz w:val="24"/>
          <w:szCs w:val="24"/>
        </w:rPr>
      </w:pPr>
      <w:r w:rsidRPr="0015615B">
        <w:rPr>
          <w:rFonts w:ascii="Times New Roman" w:hAnsi="Times New Roman" w:cs="Times New Roman"/>
          <w:sz w:val="24"/>
          <w:szCs w:val="24"/>
        </w:rPr>
        <w:tab/>
      </w:r>
      <w:r w:rsidR="00C35746" w:rsidRPr="0015615B">
        <w:rPr>
          <w:rFonts w:ascii="Times New Roman" w:hAnsi="Times New Roman" w:cs="Times New Roman"/>
          <w:sz w:val="24"/>
          <w:szCs w:val="24"/>
        </w:rPr>
        <w:t>Outra estratégia camponesa de res</w:t>
      </w:r>
      <w:r w:rsidR="00CF3C71" w:rsidRPr="0015615B">
        <w:rPr>
          <w:rFonts w:ascii="Times New Roman" w:hAnsi="Times New Roman" w:cs="Times New Roman"/>
          <w:sz w:val="24"/>
          <w:szCs w:val="24"/>
        </w:rPr>
        <w:t>istência com origem no STRI</w:t>
      </w:r>
      <w:r w:rsidR="002C55BA" w:rsidRPr="0015615B">
        <w:rPr>
          <w:rFonts w:ascii="Times New Roman" w:hAnsi="Times New Roman" w:cs="Times New Roman"/>
          <w:sz w:val="24"/>
          <w:szCs w:val="24"/>
        </w:rPr>
        <w:t xml:space="preserve"> é a</w:t>
      </w:r>
      <w:r w:rsidR="0025260A" w:rsidRPr="0015615B">
        <w:rPr>
          <w:rFonts w:ascii="Times New Roman" w:hAnsi="Times New Roman" w:cs="Times New Roman"/>
          <w:sz w:val="24"/>
          <w:szCs w:val="24"/>
        </w:rPr>
        <w:t xml:space="preserve"> Feira do Produtor Rur</w:t>
      </w:r>
      <w:r w:rsidR="00C35746" w:rsidRPr="0015615B">
        <w:rPr>
          <w:rFonts w:ascii="Times New Roman" w:hAnsi="Times New Roman" w:cs="Times New Roman"/>
          <w:sz w:val="24"/>
          <w:szCs w:val="24"/>
        </w:rPr>
        <w:t>al, realizada toda quinta-feira</w:t>
      </w:r>
      <w:r w:rsidR="00DE4222" w:rsidRPr="0015615B">
        <w:rPr>
          <w:rFonts w:ascii="Times New Roman" w:hAnsi="Times New Roman" w:cs="Times New Roman"/>
          <w:sz w:val="24"/>
          <w:szCs w:val="24"/>
        </w:rPr>
        <w:t>,</w:t>
      </w:r>
      <w:r w:rsidR="0025260A" w:rsidRPr="0015615B">
        <w:rPr>
          <w:rFonts w:ascii="Times New Roman" w:hAnsi="Times New Roman" w:cs="Times New Roman"/>
          <w:sz w:val="24"/>
          <w:szCs w:val="24"/>
        </w:rPr>
        <w:t xml:space="preserve"> a partir </w:t>
      </w:r>
      <w:r w:rsidR="002C55BA" w:rsidRPr="0015615B">
        <w:rPr>
          <w:rFonts w:ascii="Times New Roman" w:hAnsi="Times New Roman" w:cs="Times New Roman"/>
          <w:sz w:val="24"/>
          <w:szCs w:val="24"/>
        </w:rPr>
        <w:t>das 17hs</w:t>
      </w:r>
      <w:r w:rsidR="00DE4222" w:rsidRPr="0015615B">
        <w:rPr>
          <w:rFonts w:ascii="Times New Roman" w:hAnsi="Times New Roman" w:cs="Times New Roman"/>
          <w:sz w:val="24"/>
          <w:szCs w:val="24"/>
        </w:rPr>
        <w:t>, além da Feira de domingo, que se inicia a partir da 7hs</w:t>
      </w:r>
      <w:r w:rsidR="00C35746" w:rsidRPr="0015615B">
        <w:rPr>
          <w:rFonts w:ascii="Times New Roman" w:hAnsi="Times New Roman" w:cs="Times New Roman"/>
          <w:sz w:val="24"/>
          <w:szCs w:val="24"/>
        </w:rPr>
        <w:t>. Na visita a campo</w:t>
      </w:r>
      <w:r w:rsidR="00DE4222" w:rsidRPr="0015615B">
        <w:rPr>
          <w:rFonts w:ascii="Times New Roman" w:hAnsi="Times New Roman" w:cs="Times New Roman"/>
          <w:sz w:val="24"/>
          <w:szCs w:val="24"/>
        </w:rPr>
        <w:t xml:space="preserve"> aos dois espaços</w:t>
      </w:r>
      <w:r w:rsidR="00C35746" w:rsidRPr="0015615B">
        <w:rPr>
          <w:rFonts w:ascii="Times New Roman" w:hAnsi="Times New Roman" w:cs="Times New Roman"/>
          <w:sz w:val="24"/>
          <w:szCs w:val="24"/>
        </w:rPr>
        <w:t>,</w:t>
      </w:r>
      <w:r w:rsidR="0025260A" w:rsidRPr="0015615B">
        <w:rPr>
          <w:rFonts w:ascii="Times New Roman" w:hAnsi="Times New Roman" w:cs="Times New Roman"/>
          <w:sz w:val="24"/>
          <w:szCs w:val="24"/>
        </w:rPr>
        <w:t xml:space="preserve"> no dia vinte e três de Abril</w:t>
      </w:r>
      <w:r w:rsidR="00C35746" w:rsidRPr="0015615B">
        <w:rPr>
          <w:rFonts w:ascii="Times New Roman" w:hAnsi="Times New Roman" w:cs="Times New Roman"/>
          <w:sz w:val="24"/>
          <w:szCs w:val="24"/>
        </w:rPr>
        <w:t xml:space="preserve"> de 2015</w:t>
      </w:r>
      <w:r w:rsidR="00DE4222" w:rsidRPr="0015615B">
        <w:rPr>
          <w:rFonts w:ascii="Times New Roman" w:hAnsi="Times New Roman" w:cs="Times New Roman"/>
          <w:sz w:val="24"/>
          <w:szCs w:val="24"/>
        </w:rPr>
        <w:t xml:space="preserve"> e cinco de Abril de 2015 respectivamente</w:t>
      </w:r>
      <w:r w:rsidR="00C35746" w:rsidRPr="0015615B">
        <w:rPr>
          <w:rFonts w:ascii="Times New Roman" w:hAnsi="Times New Roman" w:cs="Times New Roman"/>
          <w:sz w:val="24"/>
          <w:szCs w:val="24"/>
        </w:rPr>
        <w:t>, foi constatado</w:t>
      </w:r>
      <w:r w:rsidR="0025260A" w:rsidRPr="0015615B">
        <w:rPr>
          <w:rFonts w:ascii="Times New Roman" w:hAnsi="Times New Roman" w:cs="Times New Roman"/>
          <w:sz w:val="24"/>
          <w:szCs w:val="24"/>
        </w:rPr>
        <w:t xml:space="preserve"> por meio de observação sistemática, que nas</w:t>
      </w:r>
      <w:r w:rsidR="002C55BA" w:rsidRPr="0015615B">
        <w:rPr>
          <w:rFonts w:ascii="Times New Roman" w:hAnsi="Times New Roman" w:cs="Times New Roman"/>
          <w:sz w:val="24"/>
          <w:szCs w:val="24"/>
        </w:rPr>
        <w:t xml:space="preserve"> bancas dos camponeses</w:t>
      </w:r>
      <w:r w:rsidR="00C35746" w:rsidRPr="0015615B">
        <w:rPr>
          <w:rFonts w:ascii="Times New Roman" w:hAnsi="Times New Roman" w:cs="Times New Roman"/>
          <w:sz w:val="24"/>
          <w:szCs w:val="24"/>
        </w:rPr>
        <w:t xml:space="preserve"> eram ofertadas mercadorias</w:t>
      </w:r>
      <w:r w:rsidR="00434FC4" w:rsidRPr="0015615B">
        <w:rPr>
          <w:rFonts w:ascii="Times New Roman" w:hAnsi="Times New Roman" w:cs="Times New Roman"/>
          <w:sz w:val="24"/>
          <w:szCs w:val="24"/>
        </w:rPr>
        <w:t xml:space="preserve"> </w:t>
      </w:r>
      <w:r w:rsidR="0025260A" w:rsidRPr="0015615B">
        <w:rPr>
          <w:rFonts w:ascii="Times New Roman" w:hAnsi="Times New Roman" w:cs="Times New Roman"/>
          <w:sz w:val="24"/>
          <w:szCs w:val="24"/>
        </w:rPr>
        <w:t>que não aparecem nas estatísticas oficia</w:t>
      </w:r>
      <w:r w:rsidR="00434FC4" w:rsidRPr="0015615B">
        <w:rPr>
          <w:rFonts w:ascii="Times New Roman" w:hAnsi="Times New Roman" w:cs="Times New Roman"/>
          <w:sz w:val="24"/>
          <w:szCs w:val="24"/>
        </w:rPr>
        <w:t>is</w:t>
      </w:r>
      <w:r w:rsidR="00BE547A">
        <w:rPr>
          <w:rFonts w:ascii="Times New Roman" w:hAnsi="Times New Roman" w:cs="Times New Roman"/>
          <w:sz w:val="24"/>
          <w:szCs w:val="24"/>
        </w:rPr>
        <w:t xml:space="preserve"> do IBGE</w:t>
      </w:r>
      <w:r w:rsidR="00434FC4" w:rsidRPr="0015615B">
        <w:rPr>
          <w:rFonts w:ascii="Times New Roman" w:hAnsi="Times New Roman" w:cs="Times New Roman"/>
          <w:sz w:val="24"/>
          <w:szCs w:val="24"/>
        </w:rPr>
        <w:t>. Desta forma</w:t>
      </w:r>
      <w:r w:rsidR="0025260A" w:rsidRPr="0015615B">
        <w:rPr>
          <w:rFonts w:ascii="Times New Roman" w:hAnsi="Times New Roman" w:cs="Times New Roman"/>
          <w:sz w:val="24"/>
          <w:szCs w:val="24"/>
        </w:rPr>
        <w:t>, se observou a presença de produt</w:t>
      </w:r>
      <w:r w:rsidR="002C55BA" w:rsidRPr="0015615B">
        <w:rPr>
          <w:rFonts w:ascii="Times New Roman" w:hAnsi="Times New Roman" w:cs="Times New Roman"/>
          <w:sz w:val="24"/>
          <w:szCs w:val="24"/>
        </w:rPr>
        <w:t>os hortifrutigranjeiros, como: c</w:t>
      </w:r>
      <w:r w:rsidR="0025260A" w:rsidRPr="0015615B">
        <w:rPr>
          <w:rFonts w:ascii="Times New Roman" w:hAnsi="Times New Roman" w:cs="Times New Roman"/>
          <w:sz w:val="24"/>
          <w:szCs w:val="24"/>
        </w:rPr>
        <w:t xml:space="preserve">huchu, </w:t>
      </w:r>
      <w:r w:rsidR="002C55BA" w:rsidRPr="0015615B">
        <w:rPr>
          <w:rFonts w:ascii="Times New Roman" w:hAnsi="Times New Roman" w:cs="Times New Roman"/>
          <w:sz w:val="24"/>
          <w:szCs w:val="24"/>
        </w:rPr>
        <w:t>c</w:t>
      </w:r>
      <w:r w:rsidR="00B0768C" w:rsidRPr="0015615B">
        <w:rPr>
          <w:rFonts w:ascii="Times New Roman" w:hAnsi="Times New Roman" w:cs="Times New Roman"/>
          <w:sz w:val="24"/>
          <w:szCs w:val="24"/>
        </w:rPr>
        <w:t xml:space="preserve">ouve, alface, batata-doce, abobora, quiabo, jiló, maxixe, abacate, tangerina (mexerica), </w:t>
      </w:r>
      <w:r w:rsidR="00DE4222" w:rsidRPr="0015615B">
        <w:rPr>
          <w:rFonts w:ascii="Times New Roman" w:hAnsi="Times New Roman" w:cs="Times New Roman"/>
          <w:sz w:val="24"/>
          <w:szCs w:val="24"/>
        </w:rPr>
        <w:t xml:space="preserve">limão, </w:t>
      </w:r>
      <w:r w:rsidR="00B0768C" w:rsidRPr="0015615B">
        <w:rPr>
          <w:rFonts w:ascii="Times New Roman" w:hAnsi="Times New Roman" w:cs="Times New Roman"/>
          <w:sz w:val="24"/>
          <w:szCs w:val="24"/>
        </w:rPr>
        <w:t xml:space="preserve">cenoura, beterraba, entre outros. Além disso, também eram ofertados produtos da indústria artesanal camponesa, como: rapadura, doce de leite, doce de figo, </w:t>
      </w:r>
      <w:r w:rsidR="00434FC4" w:rsidRPr="0015615B">
        <w:rPr>
          <w:rFonts w:ascii="Times New Roman" w:hAnsi="Times New Roman" w:cs="Times New Roman"/>
          <w:sz w:val="24"/>
          <w:szCs w:val="24"/>
        </w:rPr>
        <w:t xml:space="preserve">pé de </w:t>
      </w:r>
      <w:r w:rsidR="00434FC4" w:rsidRPr="0015615B">
        <w:rPr>
          <w:rFonts w:ascii="Times New Roman" w:hAnsi="Times New Roman" w:cs="Times New Roman"/>
          <w:sz w:val="24"/>
          <w:szCs w:val="24"/>
        </w:rPr>
        <w:lastRenderedPageBreak/>
        <w:t>moleque,</w:t>
      </w:r>
      <w:r w:rsidR="00B0768C" w:rsidRPr="0015615B">
        <w:rPr>
          <w:rFonts w:ascii="Times New Roman" w:hAnsi="Times New Roman" w:cs="Times New Roman"/>
          <w:sz w:val="24"/>
          <w:szCs w:val="24"/>
        </w:rPr>
        <w:t xml:space="preserve"> queijo, requeijão,</w:t>
      </w:r>
      <w:r w:rsidR="00DE4222" w:rsidRPr="0015615B">
        <w:rPr>
          <w:rFonts w:ascii="Times New Roman" w:hAnsi="Times New Roman" w:cs="Times New Roman"/>
          <w:sz w:val="24"/>
          <w:szCs w:val="24"/>
        </w:rPr>
        <w:t xml:space="preserve"> queijo trançado,</w:t>
      </w:r>
      <w:r w:rsidR="00B0768C" w:rsidRPr="0015615B">
        <w:rPr>
          <w:rFonts w:ascii="Times New Roman" w:hAnsi="Times New Roman" w:cs="Times New Roman"/>
          <w:sz w:val="24"/>
          <w:szCs w:val="24"/>
        </w:rPr>
        <w:t xml:space="preserve"> quitandas (bolos de arroz, fubá, petas, biscoitos e enroladinhos), </w:t>
      </w:r>
      <w:r w:rsidR="00DE4222" w:rsidRPr="0015615B">
        <w:rPr>
          <w:rFonts w:ascii="Times New Roman" w:hAnsi="Times New Roman" w:cs="Times New Roman"/>
          <w:sz w:val="24"/>
          <w:szCs w:val="24"/>
        </w:rPr>
        <w:t>polvilho, farinha, etc</w:t>
      </w:r>
      <w:r w:rsidR="00B0768C" w:rsidRPr="0015615B">
        <w:rPr>
          <w:rFonts w:ascii="Times New Roman" w:hAnsi="Times New Roman" w:cs="Times New Roman"/>
          <w:sz w:val="24"/>
          <w:szCs w:val="24"/>
        </w:rPr>
        <w:t xml:space="preserve">. </w:t>
      </w:r>
    </w:p>
    <w:p w:rsidR="00F408F1" w:rsidRPr="0015615B" w:rsidRDefault="002C55BA" w:rsidP="0015615B">
      <w:pPr>
        <w:spacing w:after="0" w:line="240" w:lineRule="auto"/>
        <w:jc w:val="both"/>
        <w:rPr>
          <w:rFonts w:ascii="Times New Roman" w:hAnsi="Times New Roman" w:cs="Times New Roman"/>
          <w:sz w:val="24"/>
          <w:szCs w:val="24"/>
        </w:rPr>
      </w:pPr>
      <w:r w:rsidRPr="0015615B">
        <w:rPr>
          <w:rFonts w:ascii="Times New Roman" w:hAnsi="Times New Roman" w:cs="Times New Roman"/>
          <w:sz w:val="24"/>
          <w:szCs w:val="24"/>
        </w:rPr>
        <w:tab/>
        <w:t>Isto</w:t>
      </w:r>
      <w:r w:rsidR="00B0768C" w:rsidRPr="0015615B">
        <w:rPr>
          <w:rFonts w:ascii="Times New Roman" w:hAnsi="Times New Roman" w:cs="Times New Roman"/>
          <w:sz w:val="24"/>
          <w:szCs w:val="24"/>
        </w:rPr>
        <w:t xml:space="preserve"> comprova a importância da produção camponesa</w:t>
      </w:r>
      <w:r w:rsidR="009D61F9" w:rsidRPr="0015615B">
        <w:rPr>
          <w:rFonts w:ascii="Times New Roman" w:hAnsi="Times New Roman" w:cs="Times New Roman"/>
          <w:sz w:val="24"/>
          <w:szCs w:val="24"/>
        </w:rPr>
        <w:t xml:space="preserve"> para o abastecimento local e</w:t>
      </w:r>
      <w:r w:rsidR="00B0768C" w:rsidRPr="0015615B">
        <w:rPr>
          <w:rFonts w:ascii="Times New Roman" w:hAnsi="Times New Roman" w:cs="Times New Roman"/>
          <w:sz w:val="24"/>
          <w:szCs w:val="24"/>
        </w:rPr>
        <w:t xml:space="preserve"> para a dinâmica econômica do município.</w:t>
      </w:r>
      <w:r w:rsidR="00BE547A">
        <w:rPr>
          <w:rFonts w:ascii="Times New Roman" w:hAnsi="Times New Roman" w:cs="Times New Roman"/>
          <w:sz w:val="24"/>
          <w:szCs w:val="24"/>
        </w:rPr>
        <w:t xml:space="preserve"> Além do que</w:t>
      </w:r>
      <w:r w:rsidR="00DE4222" w:rsidRPr="0015615B">
        <w:rPr>
          <w:rFonts w:ascii="Times New Roman" w:hAnsi="Times New Roman" w:cs="Times New Roman"/>
          <w:sz w:val="24"/>
          <w:szCs w:val="24"/>
        </w:rPr>
        <w:t>, demonstra que há uma produção camponesa invi</w:t>
      </w:r>
      <w:r w:rsidR="009D61F9" w:rsidRPr="0015615B">
        <w:rPr>
          <w:rFonts w:ascii="Times New Roman" w:hAnsi="Times New Roman" w:cs="Times New Roman"/>
          <w:sz w:val="24"/>
          <w:szCs w:val="24"/>
        </w:rPr>
        <w:t>sibilizada nos dados</w:t>
      </w:r>
      <w:r w:rsidR="00DE4222" w:rsidRPr="0015615B">
        <w:rPr>
          <w:rFonts w:ascii="Times New Roman" w:hAnsi="Times New Roman" w:cs="Times New Roman"/>
          <w:sz w:val="24"/>
          <w:szCs w:val="24"/>
        </w:rPr>
        <w:t xml:space="preserve"> oficiais. </w:t>
      </w:r>
      <w:r w:rsidR="009D61F9" w:rsidRPr="0015615B">
        <w:rPr>
          <w:rFonts w:ascii="Times New Roman" w:hAnsi="Times New Roman" w:cs="Times New Roman"/>
          <w:sz w:val="24"/>
          <w:szCs w:val="24"/>
        </w:rPr>
        <w:t>O que apresenta</w:t>
      </w:r>
      <w:r w:rsidR="00DE4222" w:rsidRPr="0015615B">
        <w:rPr>
          <w:rFonts w:ascii="Times New Roman" w:hAnsi="Times New Roman" w:cs="Times New Roman"/>
          <w:sz w:val="24"/>
          <w:szCs w:val="24"/>
        </w:rPr>
        <w:t xml:space="preserve"> os riscos de mensuração da importância </w:t>
      </w:r>
      <w:r w:rsidR="009D61F9" w:rsidRPr="0015615B">
        <w:rPr>
          <w:rFonts w:ascii="Times New Roman" w:hAnsi="Times New Roman" w:cs="Times New Roman"/>
          <w:sz w:val="24"/>
          <w:szCs w:val="24"/>
        </w:rPr>
        <w:t>desta</w:t>
      </w:r>
      <w:r w:rsidR="00DE4222" w:rsidRPr="0015615B">
        <w:rPr>
          <w:rFonts w:ascii="Times New Roman" w:hAnsi="Times New Roman" w:cs="Times New Roman"/>
          <w:sz w:val="24"/>
          <w:szCs w:val="24"/>
        </w:rPr>
        <w:t xml:space="preserve"> produção</w:t>
      </w:r>
      <w:r w:rsidR="009D61F9" w:rsidRPr="0015615B">
        <w:rPr>
          <w:rFonts w:ascii="Times New Roman" w:hAnsi="Times New Roman" w:cs="Times New Roman"/>
          <w:sz w:val="24"/>
          <w:szCs w:val="24"/>
        </w:rPr>
        <w:t xml:space="preserve"> baseado somente n</w:t>
      </w:r>
      <w:r w:rsidR="002A72D8" w:rsidRPr="0015615B">
        <w:rPr>
          <w:rFonts w:ascii="Times New Roman" w:hAnsi="Times New Roman" w:cs="Times New Roman"/>
          <w:sz w:val="24"/>
          <w:szCs w:val="24"/>
        </w:rPr>
        <w:t>ess</w:t>
      </w:r>
      <w:r w:rsidR="009D61F9" w:rsidRPr="0015615B">
        <w:rPr>
          <w:rFonts w:ascii="Times New Roman" w:hAnsi="Times New Roman" w:cs="Times New Roman"/>
          <w:sz w:val="24"/>
          <w:szCs w:val="24"/>
        </w:rPr>
        <w:t xml:space="preserve">es dados, ou seja, a pesquisa de campo com a coleta de dados primários permite um melhor refinamento dos resultados. </w:t>
      </w:r>
      <w:r w:rsidR="002F7AD2" w:rsidRPr="0015615B">
        <w:rPr>
          <w:rFonts w:ascii="Times New Roman" w:hAnsi="Times New Roman" w:cs="Times New Roman"/>
          <w:sz w:val="24"/>
          <w:szCs w:val="24"/>
        </w:rPr>
        <w:t>Vincul</w:t>
      </w:r>
      <w:r w:rsidR="009D61F9" w:rsidRPr="0015615B">
        <w:rPr>
          <w:rFonts w:ascii="Times New Roman" w:hAnsi="Times New Roman" w:cs="Times New Roman"/>
          <w:sz w:val="24"/>
          <w:szCs w:val="24"/>
        </w:rPr>
        <w:t xml:space="preserve">ado a isto, além da recuperação </w:t>
      </w:r>
      <w:r w:rsidR="002F7AD2" w:rsidRPr="0015615B">
        <w:rPr>
          <w:rFonts w:ascii="Times New Roman" w:hAnsi="Times New Roman" w:cs="Times New Roman"/>
          <w:sz w:val="24"/>
          <w:szCs w:val="24"/>
        </w:rPr>
        <w:t>da produção de palmito de guabiroba, de banana e de melancia</w:t>
      </w:r>
      <w:r w:rsidR="009D61F9" w:rsidRPr="0015615B">
        <w:rPr>
          <w:rFonts w:ascii="Times New Roman" w:hAnsi="Times New Roman" w:cs="Times New Roman"/>
          <w:sz w:val="24"/>
          <w:szCs w:val="24"/>
        </w:rPr>
        <w:t xml:space="preserve"> mencionada anteriormente</w:t>
      </w:r>
      <w:r w:rsidR="002F7AD2" w:rsidRPr="0015615B">
        <w:rPr>
          <w:rFonts w:ascii="Times New Roman" w:hAnsi="Times New Roman" w:cs="Times New Roman"/>
          <w:sz w:val="24"/>
          <w:szCs w:val="24"/>
        </w:rPr>
        <w:t>, no</w:t>
      </w:r>
      <w:r w:rsidR="00185B45" w:rsidRPr="0015615B">
        <w:rPr>
          <w:rFonts w:ascii="Times New Roman" w:hAnsi="Times New Roman" w:cs="Times New Roman"/>
          <w:sz w:val="24"/>
          <w:szCs w:val="24"/>
        </w:rPr>
        <w:t xml:space="preserve"> Gráfico 3 se observa uma relativa recuperação do número efetivo de criações animais</w:t>
      </w:r>
      <w:r w:rsidR="002F7AD2" w:rsidRPr="0015615B">
        <w:rPr>
          <w:rFonts w:ascii="Times New Roman" w:hAnsi="Times New Roman" w:cs="Times New Roman"/>
          <w:sz w:val="24"/>
          <w:szCs w:val="24"/>
        </w:rPr>
        <w:t xml:space="preserve"> por cabeça</w:t>
      </w:r>
      <w:r w:rsidR="00185B45" w:rsidRPr="0015615B">
        <w:rPr>
          <w:rFonts w:ascii="Times New Roman" w:hAnsi="Times New Roman" w:cs="Times New Roman"/>
          <w:sz w:val="24"/>
          <w:szCs w:val="24"/>
        </w:rPr>
        <w:t>.</w:t>
      </w:r>
      <w:r w:rsidR="00ED45C9" w:rsidRPr="0015615B">
        <w:rPr>
          <w:rFonts w:ascii="Times New Roman" w:hAnsi="Times New Roman" w:cs="Times New Roman"/>
          <w:sz w:val="24"/>
          <w:szCs w:val="24"/>
        </w:rPr>
        <w:t xml:space="preserve"> </w:t>
      </w:r>
      <w:r w:rsidR="002F7AD2" w:rsidRPr="0015615B">
        <w:rPr>
          <w:rFonts w:ascii="Times New Roman" w:hAnsi="Times New Roman" w:cs="Times New Roman"/>
          <w:sz w:val="24"/>
          <w:szCs w:val="24"/>
        </w:rPr>
        <w:t xml:space="preserve">Constata-se, por exemplo, que o efetivo do rebanho bovino contava com 130.000 cabeças em 2000, caiu para 118.720 cabeças em 2009 e passou para 134.000 cabeças em 2013. </w:t>
      </w:r>
    </w:p>
    <w:p w:rsidR="002C55BA" w:rsidRPr="0015615B" w:rsidRDefault="009D61F9" w:rsidP="0015615B">
      <w:pPr>
        <w:spacing w:after="0" w:line="240" w:lineRule="auto"/>
        <w:jc w:val="both"/>
        <w:rPr>
          <w:rFonts w:ascii="Times New Roman" w:hAnsi="Times New Roman" w:cs="Times New Roman"/>
          <w:sz w:val="24"/>
          <w:szCs w:val="24"/>
        </w:rPr>
      </w:pPr>
      <w:r w:rsidRPr="0015615B">
        <w:rPr>
          <w:rFonts w:ascii="Times New Roman" w:hAnsi="Times New Roman" w:cs="Times New Roman"/>
          <w:sz w:val="24"/>
          <w:szCs w:val="24"/>
        </w:rPr>
        <w:tab/>
      </w:r>
      <w:r w:rsidR="002F7AD2" w:rsidRPr="0015615B">
        <w:rPr>
          <w:rFonts w:ascii="Times New Roman" w:hAnsi="Times New Roman" w:cs="Times New Roman"/>
          <w:sz w:val="24"/>
          <w:szCs w:val="24"/>
        </w:rPr>
        <w:tab/>
      </w:r>
    </w:p>
    <w:tbl>
      <w:tblPr>
        <w:tblW w:w="0" w:type="auto"/>
        <w:jc w:val="center"/>
        <w:tblInd w:w="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950"/>
      </w:tblGrid>
      <w:tr w:rsidR="00574DDD" w:rsidRPr="0015615B" w:rsidTr="0003664D">
        <w:trPr>
          <w:trHeight w:val="3977"/>
          <w:jc w:val="center"/>
        </w:trPr>
        <w:tc>
          <w:tcPr>
            <w:tcW w:w="6343" w:type="dxa"/>
          </w:tcPr>
          <w:p w:rsidR="00574DDD" w:rsidRPr="0015615B" w:rsidRDefault="0076467D" w:rsidP="0015615B">
            <w:pPr>
              <w:spacing w:after="0" w:line="240" w:lineRule="auto"/>
              <w:jc w:val="both"/>
              <w:rPr>
                <w:rFonts w:ascii="Times New Roman" w:hAnsi="Times New Roman" w:cs="Times New Roman"/>
                <w:b/>
                <w:sz w:val="24"/>
                <w:szCs w:val="24"/>
              </w:rPr>
            </w:pPr>
            <w:r w:rsidRPr="0015615B">
              <w:rPr>
                <w:rFonts w:ascii="Times New Roman" w:hAnsi="Times New Roman" w:cs="Times New Roman"/>
                <w:b/>
                <w:noProof/>
                <w:sz w:val="24"/>
                <w:szCs w:val="24"/>
              </w:rPr>
              <w:drawing>
                <wp:inline distT="0" distB="0" distL="0" distR="0">
                  <wp:extent cx="4320540" cy="2880000"/>
                  <wp:effectExtent l="0" t="0" r="3810" b="0"/>
                  <wp:docPr id="7" name="Image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9" cstate="print"/>
                          <a:srcRect/>
                          <a:stretch>
                            <a:fillRect/>
                          </a:stretch>
                        </pic:blipFill>
                        <pic:spPr bwMode="auto">
                          <a:xfrm>
                            <a:off x="0" y="0"/>
                            <a:ext cx="4320540" cy="2880000"/>
                          </a:xfrm>
                          <a:prstGeom prst="rect">
                            <a:avLst/>
                          </a:prstGeom>
                          <a:noFill/>
                          <a:ln w="9525">
                            <a:noFill/>
                            <a:miter lim="800000"/>
                            <a:headEnd/>
                            <a:tailEnd/>
                          </a:ln>
                        </pic:spPr>
                      </pic:pic>
                    </a:graphicData>
                  </a:graphic>
                </wp:inline>
              </w:drawing>
            </w:r>
          </w:p>
        </w:tc>
      </w:tr>
      <w:tr w:rsidR="00574DDD" w:rsidRPr="0015615B" w:rsidTr="0003664D">
        <w:trPr>
          <w:trHeight w:val="142"/>
          <w:jc w:val="center"/>
        </w:trPr>
        <w:tc>
          <w:tcPr>
            <w:tcW w:w="6343" w:type="dxa"/>
          </w:tcPr>
          <w:p w:rsidR="00574DDD" w:rsidRPr="0015615B" w:rsidRDefault="00574DDD" w:rsidP="0015615B">
            <w:pPr>
              <w:spacing w:after="0" w:line="240" w:lineRule="auto"/>
              <w:jc w:val="both"/>
              <w:rPr>
                <w:rFonts w:ascii="Times New Roman" w:hAnsi="Times New Roman" w:cs="Times New Roman"/>
                <w:sz w:val="24"/>
                <w:szCs w:val="24"/>
              </w:rPr>
            </w:pPr>
            <w:r w:rsidRPr="0015615B">
              <w:rPr>
                <w:rFonts w:ascii="Times New Roman" w:hAnsi="Times New Roman" w:cs="Times New Roman"/>
                <w:b/>
                <w:sz w:val="24"/>
                <w:szCs w:val="24"/>
              </w:rPr>
              <w:t xml:space="preserve">Gráfico </w:t>
            </w:r>
            <w:proofErr w:type="gramStart"/>
            <w:r w:rsidRPr="0015615B">
              <w:rPr>
                <w:rFonts w:ascii="Times New Roman" w:hAnsi="Times New Roman" w:cs="Times New Roman"/>
                <w:b/>
                <w:sz w:val="24"/>
                <w:szCs w:val="24"/>
              </w:rPr>
              <w:t>3</w:t>
            </w:r>
            <w:proofErr w:type="gramEnd"/>
            <w:r w:rsidRPr="0015615B">
              <w:rPr>
                <w:rFonts w:ascii="Times New Roman" w:hAnsi="Times New Roman" w:cs="Times New Roman"/>
                <w:b/>
                <w:sz w:val="24"/>
                <w:szCs w:val="24"/>
              </w:rPr>
              <w:t xml:space="preserve"> – </w:t>
            </w:r>
            <w:r w:rsidR="00C3545B">
              <w:rPr>
                <w:rFonts w:ascii="Times New Roman" w:hAnsi="Times New Roman" w:cs="Times New Roman"/>
                <w:sz w:val="24"/>
                <w:szCs w:val="24"/>
              </w:rPr>
              <w:t>Estado de Goiás – m</w:t>
            </w:r>
            <w:r w:rsidRPr="0015615B">
              <w:rPr>
                <w:rFonts w:ascii="Times New Roman" w:hAnsi="Times New Roman" w:cs="Times New Roman"/>
                <w:sz w:val="24"/>
                <w:szCs w:val="24"/>
              </w:rPr>
              <w:t xml:space="preserve">unicípio de Itapuranga – </w:t>
            </w:r>
            <w:r w:rsidR="00C3545B">
              <w:rPr>
                <w:rFonts w:ascii="Times New Roman" w:hAnsi="Times New Roman" w:cs="Times New Roman"/>
                <w:sz w:val="24"/>
                <w:szCs w:val="24"/>
              </w:rPr>
              <w:t>efetivo de a</w:t>
            </w:r>
            <w:r w:rsidRPr="0015615B">
              <w:rPr>
                <w:rFonts w:ascii="Times New Roman" w:hAnsi="Times New Roman" w:cs="Times New Roman"/>
                <w:sz w:val="24"/>
                <w:szCs w:val="24"/>
              </w:rPr>
              <w:t>nimais</w:t>
            </w:r>
            <w:r w:rsidR="00C3545B">
              <w:rPr>
                <w:rFonts w:ascii="Times New Roman" w:hAnsi="Times New Roman" w:cs="Times New Roman"/>
                <w:sz w:val="24"/>
                <w:szCs w:val="24"/>
              </w:rPr>
              <w:t xml:space="preserve"> por c</w:t>
            </w:r>
            <w:r w:rsidR="0076467D" w:rsidRPr="0015615B">
              <w:rPr>
                <w:rFonts w:ascii="Times New Roman" w:hAnsi="Times New Roman" w:cs="Times New Roman"/>
                <w:sz w:val="24"/>
                <w:szCs w:val="24"/>
              </w:rPr>
              <w:t>abeça</w:t>
            </w:r>
            <w:r w:rsidR="00C3545B">
              <w:rPr>
                <w:rFonts w:ascii="Times New Roman" w:hAnsi="Times New Roman" w:cs="Times New Roman"/>
                <w:sz w:val="24"/>
                <w:szCs w:val="24"/>
              </w:rPr>
              <w:t xml:space="preserve"> em diferentes c</w:t>
            </w:r>
            <w:r w:rsidRPr="0015615B">
              <w:rPr>
                <w:rFonts w:ascii="Times New Roman" w:hAnsi="Times New Roman" w:cs="Times New Roman"/>
                <w:sz w:val="24"/>
                <w:szCs w:val="24"/>
              </w:rPr>
              <w:t>riações, de 2000 a 2013.</w:t>
            </w:r>
            <w:r w:rsidR="0076467D" w:rsidRPr="0015615B">
              <w:rPr>
                <w:rFonts w:ascii="Times New Roman" w:hAnsi="Times New Roman" w:cs="Times New Roman"/>
                <w:sz w:val="24"/>
                <w:szCs w:val="24"/>
              </w:rPr>
              <w:t xml:space="preserve"> </w:t>
            </w:r>
            <w:r w:rsidR="0076467D" w:rsidRPr="0015615B">
              <w:rPr>
                <w:rFonts w:ascii="Times New Roman" w:hAnsi="Times New Roman" w:cs="Times New Roman"/>
                <w:b/>
                <w:sz w:val="20"/>
                <w:szCs w:val="20"/>
              </w:rPr>
              <w:t>Fonte:</w:t>
            </w:r>
            <w:r w:rsidR="00D9169B" w:rsidRPr="0015615B">
              <w:rPr>
                <w:rFonts w:ascii="Times New Roman" w:hAnsi="Times New Roman" w:cs="Times New Roman"/>
                <w:sz w:val="20"/>
                <w:szCs w:val="20"/>
              </w:rPr>
              <w:t xml:space="preserve"> IMB</w:t>
            </w:r>
            <w:r w:rsidR="0076467D" w:rsidRPr="0015615B">
              <w:rPr>
                <w:rFonts w:ascii="Times New Roman" w:hAnsi="Times New Roman" w:cs="Times New Roman"/>
                <w:sz w:val="20"/>
                <w:szCs w:val="20"/>
              </w:rPr>
              <w:t xml:space="preserve">-2015.  </w:t>
            </w:r>
            <w:r w:rsidR="0076467D" w:rsidRPr="0015615B">
              <w:rPr>
                <w:rFonts w:ascii="Times New Roman" w:hAnsi="Times New Roman" w:cs="Times New Roman"/>
                <w:b/>
                <w:sz w:val="20"/>
                <w:szCs w:val="20"/>
              </w:rPr>
              <w:t>Elaboração:</w:t>
            </w:r>
            <w:r w:rsidR="00484DEA">
              <w:rPr>
                <w:rFonts w:ascii="Times New Roman" w:hAnsi="Times New Roman" w:cs="Times New Roman"/>
                <w:sz w:val="20"/>
                <w:szCs w:val="20"/>
              </w:rPr>
              <w:t xml:space="preserve"> Autor</w:t>
            </w:r>
            <w:r w:rsidR="0076467D" w:rsidRPr="0015615B">
              <w:rPr>
                <w:rFonts w:ascii="Times New Roman" w:hAnsi="Times New Roman" w:cs="Times New Roman"/>
                <w:sz w:val="20"/>
                <w:szCs w:val="20"/>
              </w:rPr>
              <w:t>.</w:t>
            </w:r>
          </w:p>
        </w:tc>
      </w:tr>
    </w:tbl>
    <w:p w:rsidR="008844BA" w:rsidRPr="0015615B" w:rsidRDefault="008844BA" w:rsidP="0015615B">
      <w:pPr>
        <w:spacing w:after="0" w:line="240" w:lineRule="auto"/>
        <w:jc w:val="both"/>
        <w:rPr>
          <w:rFonts w:ascii="Times New Roman" w:hAnsi="Times New Roman" w:cs="Times New Roman"/>
          <w:sz w:val="24"/>
          <w:szCs w:val="24"/>
        </w:rPr>
      </w:pPr>
    </w:p>
    <w:p w:rsidR="00FB216A" w:rsidRDefault="00F52D52" w:rsidP="00707D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5615B">
        <w:rPr>
          <w:rFonts w:ascii="Times New Roman" w:hAnsi="Times New Roman" w:cs="Times New Roman"/>
          <w:sz w:val="24"/>
          <w:szCs w:val="24"/>
        </w:rPr>
        <w:t xml:space="preserve">Já o efetivo de aves detinha 100.300 cabeças em 2000, teve uma queda para 83.075 em 2009 e atingiu 131.480 cabeças em 2013. Já o efetivo de suínos possuía 12.000 cabeças em 2000, teve sua maior queda em 2009, chegando a 8.640 cabeças e subiu em 2013 para 10.800 cabeças. Quanto à piscicultura, o IBGE (2015) destaca que a produção de Pacu e de </w:t>
      </w:r>
      <w:proofErr w:type="spellStart"/>
      <w:r w:rsidRPr="0015615B">
        <w:rPr>
          <w:rFonts w:ascii="Times New Roman" w:hAnsi="Times New Roman" w:cs="Times New Roman"/>
          <w:sz w:val="24"/>
          <w:szCs w:val="24"/>
        </w:rPr>
        <w:t>Patinga</w:t>
      </w:r>
      <w:proofErr w:type="spellEnd"/>
      <w:r w:rsidRPr="0015615B">
        <w:rPr>
          <w:rFonts w:ascii="Times New Roman" w:hAnsi="Times New Roman" w:cs="Times New Roman"/>
          <w:sz w:val="24"/>
          <w:szCs w:val="24"/>
        </w:rPr>
        <w:t xml:space="preserve"> foi de 157.000 quilos (Kg), correspondendo ao valor de R$ 895 mil, a produção de Piau, de Piapara, de </w:t>
      </w:r>
      <w:proofErr w:type="spellStart"/>
      <w:r w:rsidRPr="0015615B">
        <w:rPr>
          <w:rFonts w:ascii="Times New Roman" w:hAnsi="Times New Roman" w:cs="Times New Roman"/>
          <w:sz w:val="24"/>
          <w:szCs w:val="24"/>
        </w:rPr>
        <w:t>Piauçu</w:t>
      </w:r>
      <w:proofErr w:type="spellEnd"/>
      <w:r w:rsidRPr="0015615B">
        <w:rPr>
          <w:rFonts w:ascii="Times New Roman" w:hAnsi="Times New Roman" w:cs="Times New Roman"/>
          <w:sz w:val="24"/>
          <w:szCs w:val="24"/>
        </w:rPr>
        <w:t xml:space="preserve"> e de Piava foi de 5.000 Kg, obtendo-se o valor de R$ 35 mil, a de Pintado, de </w:t>
      </w:r>
      <w:proofErr w:type="spellStart"/>
      <w:r w:rsidRPr="0015615B">
        <w:rPr>
          <w:rFonts w:ascii="Times New Roman" w:hAnsi="Times New Roman" w:cs="Times New Roman"/>
          <w:sz w:val="24"/>
          <w:szCs w:val="24"/>
        </w:rPr>
        <w:t>Cachara</w:t>
      </w:r>
      <w:proofErr w:type="spellEnd"/>
      <w:r w:rsidRPr="0015615B">
        <w:rPr>
          <w:rFonts w:ascii="Times New Roman" w:hAnsi="Times New Roman" w:cs="Times New Roman"/>
          <w:sz w:val="24"/>
          <w:szCs w:val="24"/>
        </w:rPr>
        <w:t>, de Surubim entre outros foi de 37.000 kg, totalizando o valor de R$ 518 mil, enquanto a de Piratininga, de Tambaqui e de Tilápia chegou a 263.823 kg, totalizando o valor de R$ 2.812 milhões. No que se refere a outras criações animais, havia 490 cabeças de bubalinos, 65 cabeças de caprinos e 2.650 cabeças de equinos no município. No âmbito da criação de aves existiam 800 cabeças de codornas e 59.500 de galinhas.</w:t>
      </w:r>
      <w:r>
        <w:rPr>
          <w:rFonts w:ascii="Times New Roman" w:hAnsi="Times New Roman" w:cs="Times New Roman"/>
          <w:sz w:val="24"/>
          <w:szCs w:val="24"/>
        </w:rPr>
        <w:t xml:space="preserve"> </w:t>
      </w:r>
      <w:r w:rsidR="00221A74" w:rsidRPr="0015615B">
        <w:rPr>
          <w:rFonts w:ascii="Times New Roman" w:hAnsi="Times New Roman" w:cs="Times New Roman"/>
          <w:sz w:val="24"/>
          <w:szCs w:val="24"/>
        </w:rPr>
        <w:t>Na tabela 3</w:t>
      </w:r>
      <w:r w:rsidR="00434FC4" w:rsidRPr="0015615B">
        <w:rPr>
          <w:rFonts w:ascii="Times New Roman" w:hAnsi="Times New Roman" w:cs="Times New Roman"/>
          <w:sz w:val="24"/>
          <w:szCs w:val="24"/>
        </w:rPr>
        <w:t>, também se visualiza</w:t>
      </w:r>
      <w:r w:rsidR="00FD7750" w:rsidRPr="0015615B">
        <w:rPr>
          <w:rFonts w:ascii="Times New Roman" w:hAnsi="Times New Roman" w:cs="Times New Roman"/>
          <w:sz w:val="24"/>
          <w:szCs w:val="24"/>
        </w:rPr>
        <w:t xml:space="preserve"> resultados da produção animal</w:t>
      </w:r>
      <w:r w:rsidR="00E27E49" w:rsidRPr="0015615B">
        <w:rPr>
          <w:rFonts w:ascii="Times New Roman" w:hAnsi="Times New Roman" w:cs="Times New Roman"/>
          <w:sz w:val="24"/>
          <w:szCs w:val="24"/>
        </w:rPr>
        <w:t xml:space="preserve"> no município. </w:t>
      </w:r>
      <w:r w:rsidR="00EF2529" w:rsidRPr="0015615B">
        <w:rPr>
          <w:rFonts w:ascii="Times New Roman" w:hAnsi="Times New Roman" w:cs="Times New Roman"/>
          <w:sz w:val="24"/>
          <w:szCs w:val="24"/>
        </w:rPr>
        <w:t>Nota-se o crescimento exponencial da produção de mel na primeira década de 2000, assim como a variação da produção entre 2010 e 2013. Já a produção de ovos sofreu com oscilações na produção entre 2000 e 2003, sendo que a partir de 2004 passou por um decréscimo na produção, cenário que se manteve até 2010, quando apresentou aumento de valor para os anos subsequentes.</w:t>
      </w:r>
    </w:p>
    <w:p w:rsidR="00FB216A" w:rsidRPr="0015615B" w:rsidRDefault="00FB216A" w:rsidP="00707DC6">
      <w:pPr>
        <w:spacing w:after="0" w:line="240" w:lineRule="auto"/>
        <w:jc w:val="both"/>
        <w:rPr>
          <w:rFonts w:ascii="Times New Roman" w:hAnsi="Times New Roman" w:cs="Times New Roman"/>
          <w:sz w:val="24"/>
          <w:szCs w:val="24"/>
        </w:rPr>
      </w:pPr>
    </w:p>
    <w:tbl>
      <w:tblPr>
        <w:tblStyle w:val="SombreamentoClaro-nfase4"/>
        <w:tblW w:w="7905" w:type="dxa"/>
        <w:jc w:val="center"/>
        <w:tblLook w:val="0600"/>
      </w:tblPr>
      <w:tblGrid>
        <w:gridCol w:w="1056"/>
        <w:gridCol w:w="2454"/>
        <w:gridCol w:w="2268"/>
        <w:gridCol w:w="2127"/>
      </w:tblGrid>
      <w:tr w:rsidR="0076467D" w:rsidRPr="0015615B" w:rsidTr="008A71E9">
        <w:trPr>
          <w:trHeight w:val="287"/>
          <w:jc w:val="center"/>
        </w:trPr>
        <w:tc>
          <w:tcPr>
            <w:tcW w:w="7905" w:type="dxa"/>
            <w:gridSpan w:val="4"/>
            <w:tcBorders>
              <w:bottom w:val="single" w:sz="4" w:space="0" w:color="auto"/>
            </w:tcBorders>
          </w:tcPr>
          <w:p w:rsidR="0076467D" w:rsidRPr="0015615B" w:rsidRDefault="0076467D" w:rsidP="00707DC6">
            <w:pPr>
              <w:jc w:val="both"/>
              <w:rPr>
                <w:rFonts w:ascii="Times New Roman" w:hAnsi="Times New Roman" w:cs="Times New Roman"/>
                <w:color w:val="auto"/>
                <w:sz w:val="24"/>
                <w:szCs w:val="24"/>
              </w:rPr>
            </w:pPr>
            <w:r w:rsidRPr="0015615B">
              <w:rPr>
                <w:rFonts w:ascii="Times New Roman" w:hAnsi="Times New Roman" w:cs="Times New Roman"/>
                <w:b/>
                <w:color w:val="auto"/>
                <w:sz w:val="24"/>
                <w:szCs w:val="24"/>
              </w:rPr>
              <w:lastRenderedPageBreak/>
              <w:t>Tabela 3</w:t>
            </w:r>
            <w:r w:rsidR="00C3545B">
              <w:rPr>
                <w:rFonts w:ascii="Times New Roman" w:hAnsi="Times New Roman" w:cs="Times New Roman"/>
                <w:color w:val="auto"/>
                <w:sz w:val="24"/>
                <w:szCs w:val="24"/>
              </w:rPr>
              <w:t xml:space="preserve"> - Estado de Goiás – município de Itapuranga – p</w:t>
            </w:r>
            <w:r w:rsidRPr="0015615B">
              <w:rPr>
                <w:rFonts w:ascii="Times New Roman" w:hAnsi="Times New Roman" w:cs="Times New Roman"/>
                <w:color w:val="auto"/>
                <w:sz w:val="24"/>
                <w:szCs w:val="24"/>
              </w:rPr>
              <w:t>rodução animal (2000-2013).</w:t>
            </w:r>
          </w:p>
        </w:tc>
      </w:tr>
      <w:tr w:rsidR="0076467D" w:rsidRPr="0015615B" w:rsidTr="008A71E9">
        <w:trPr>
          <w:trHeight w:val="450"/>
          <w:jc w:val="center"/>
        </w:trPr>
        <w:tc>
          <w:tcPr>
            <w:tcW w:w="1056" w:type="dxa"/>
            <w:tcBorders>
              <w:top w:val="single" w:sz="4" w:space="0" w:color="auto"/>
              <w:bottom w:val="single" w:sz="4" w:space="0" w:color="auto"/>
              <w:right w:val="single" w:sz="4" w:space="0" w:color="auto"/>
            </w:tcBorders>
          </w:tcPr>
          <w:p w:rsidR="0076467D" w:rsidRPr="00707DC6" w:rsidRDefault="0076467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Períodos</w:t>
            </w:r>
          </w:p>
        </w:tc>
        <w:tc>
          <w:tcPr>
            <w:tcW w:w="2454" w:type="dxa"/>
            <w:tcBorders>
              <w:top w:val="single" w:sz="4" w:space="0" w:color="auto"/>
              <w:left w:val="single" w:sz="4" w:space="0" w:color="auto"/>
              <w:bottom w:val="single" w:sz="4" w:space="0" w:color="auto"/>
              <w:right w:val="single" w:sz="4" w:space="0" w:color="auto"/>
            </w:tcBorders>
          </w:tcPr>
          <w:p w:rsidR="0076467D" w:rsidRPr="00707DC6" w:rsidRDefault="0076467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Produção de leite, (mil/l).</w:t>
            </w:r>
          </w:p>
        </w:tc>
        <w:tc>
          <w:tcPr>
            <w:tcW w:w="2268" w:type="dxa"/>
            <w:tcBorders>
              <w:top w:val="single" w:sz="4" w:space="0" w:color="auto"/>
              <w:left w:val="single" w:sz="4" w:space="0" w:color="auto"/>
              <w:bottom w:val="single" w:sz="4" w:space="0" w:color="auto"/>
              <w:right w:val="single" w:sz="4" w:space="0" w:color="auto"/>
            </w:tcBorders>
          </w:tcPr>
          <w:p w:rsidR="0076467D" w:rsidRPr="00707DC6" w:rsidRDefault="0076467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Produção de mel, (Kg.).</w:t>
            </w:r>
          </w:p>
        </w:tc>
        <w:tc>
          <w:tcPr>
            <w:tcW w:w="2127" w:type="dxa"/>
            <w:tcBorders>
              <w:top w:val="single" w:sz="4" w:space="0" w:color="auto"/>
              <w:left w:val="single" w:sz="4" w:space="0" w:color="auto"/>
              <w:bottom w:val="single" w:sz="4" w:space="0" w:color="auto"/>
            </w:tcBorders>
          </w:tcPr>
          <w:p w:rsidR="0076467D" w:rsidRPr="00707DC6" w:rsidRDefault="0076467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 xml:space="preserve">Produção de ovos, (mil/ </w:t>
            </w:r>
            <w:proofErr w:type="spellStart"/>
            <w:r w:rsidRPr="00707DC6">
              <w:rPr>
                <w:rFonts w:ascii="Times New Roman" w:hAnsi="Times New Roman" w:cs="Times New Roman"/>
                <w:color w:val="auto"/>
                <w:sz w:val="24"/>
                <w:szCs w:val="24"/>
              </w:rPr>
              <w:t>duz</w:t>
            </w:r>
            <w:proofErr w:type="spellEnd"/>
            <w:r w:rsidRPr="00707DC6">
              <w:rPr>
                <w:rFonts w:ascii="Times New Roman" w:hAnsi="Times New Roman" w:cs="Times New Roman"/>
                <w:color w:val="auto"/>
                <w:sz w:val="24"/>
                <w:szCs w:val="24"/>
              </w:rPr>
              <w:t>.).</w:t>
            </w:r>
          </w:p>
        </w:tc>
      </w:tr>
      <w:tr w:rsidR="0076467D" w:rsidRPr="0015615B" w:rsidTr="008A71E9">
        <w:trPr>
          <w:trHeight w:val="240"/>
          <w:jc w:val="center"/>
        </w:trPr>
        <w:tc>
          <w:tcPr>
            <w:tcW w:w="1056" w:type="dxa"/>
            <w:tcBorders>
              <w:top w:val="single" w:sz="4" w:space="0" w:color="auto"/>
              <w:bottom w:val="single" w:sz="4" w:space="0" w:color="auto"/>
              <w:right w:val="single" w:sz="4" w:space="0" w:color="auto"/>
            </w:tcBorders>
          </w:tcPr>
          <w:p w:rsidR="0076467D" w:rsidRPr="00707DC6" w:rsidRDefault="0076467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2000</w:t>
            </w:r>
          </w:p>
        </w:tc>
        <w:tc>
          <w:tcPr>
            <w:tcW w:w="2454" w:type="dxa"/>
            <w:tcBorders>
              <w:top w:val="single" w:sz="4" w:space="0" w:color="auto"/>
              <w:left w:val="single" w:sz="4" w:space="0" w:color="auto"/>
              <w:bottom w:val="single" w:sz="4" w:space="0" w:color="auto"/>
              <w:right w:val="single" w:sz="4" w:space="0" w:color="auto"/>
            </w:tcBorders>
          </w:tcPr>
          <w:p w:rsidR="0076467D" w:rsidRPr="00707DC6" w:rsidRDefault="0076467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34.500</w:t>
            </w:r>
          </w:p>
        </w:tc>
        <w:tc>
          <w:tcPr>
            <w:tcW w:w="2268" w:type="dxa"/>
            <w:tcBorders>
              <w:top w:val="single" w:sz="4" w:space="0" w:color="auto"/>
              <w:left w:val="single" w:sz="4" w:space="0" w:color="auto"/>
              <w:bottom w:val="single" w:sz="4" w:space="0" w:color="auto"/>
              <w:right w:val="single" w:sz="4" w:space="0" w:color="auto"/>
            </w:tcBorders>
          </w:tcPr>
          <w:p w:rsidR="0076467D" w:rsidRPr="00707DC6" w:rsidRDefault="0076467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350</w:t>
            </w:r>
          </w:p>
        </w:tc>
        <w:tc>
          <w:tcPr>
            <w:tcW w:w="2127" w:type="dxa"/>
            <w:tcBorders>
              <w:top w:val="single" w:sz="4" w:space="0" w:color="auto"/>
              <w:left w:val="single" w:sz="4" w:space="0" w:color="auto"/>
              <w:bottom w:val="single" w:sz="4" w:space="0" w:color="auto"/>
            </w:tcBorders>
          </w:tcPr>
          <w:p w:rsidR="0076467D" w:rsidRPr="00707DC6" w:rsidRDefault="0076467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282</w:t>
            </w:r>
          </w:p>
        </w:tc>
      </w:tr>
      <w:tr w:rsidR="0076467D" w:rsidRPr="0015615B" w:rsidTr="008A71E9">
        <w:trPr>
          <w:trHeight w:val="180"/>
          <w:jc w:val="center"/>
        </w:trPr>
        <w:tc>
          <w:tcPr>
            <w:tcW w:w="1056" w:type="dxa"/>
            <w:tcBorders>
              <w:top w:val="single" w:sz="4" w:space="0" w:color="auto"/>
              <w:bottom w:val="single" w:sz="4" w:space="0" w:color="auto"/>
              <w:right w:val="single" w:sz="4" w:space="0" w:color="auto"/>
            </w:tcBorders>
          </w:tcPr>
          <w:p w:rsidR="0076467D" w:rsidRPr="00707DC6" w:rsidRDefault="0076467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2001</w:t>
            </w:r>
          </w:p>
        </w:tc>
        <w:tc>
          <w:tcPr>
            <w:tcW w:w="2454" w:type="dxa"/>
            <w:tcBorders>
              <w:top w:val="single" w:sz="4" w:space="0" w:color="auto"/>
              <w:left w:val="single" w:sz="4" w:space="0" w:color="auto"/>
              <w:bottom w:val="single" w:sz="4" w:space="0" w:color="auto"/>
              <w:right w:val="single" w:sz="4" w:space="0" w:color="auto"/>
            </w:tcBorders>
          </w:tcPr>
          <w:p w:rsidR="0076467D" w:rsidRPr="00707DC6" w:rsidRDefault="0076467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37.000</w:t>
            </w:r>
          </w:p>
        </w:tc>
        <w:tc>
          <w:tcPr>
            <w:tcW w:w="2268" w:type="dxa"/>
            <w:tcBorders>
              <w:top w:val="single" w:sz="4" w:space="0" w:color="auto"/>
              <w:left w:val="single" w:sz="4" w:space="0" w:color="auto"/>
              <w:bottom w:val="single" w:sz="4" w:space="0" w:color="auto"/>
              <w:right w:val="single" w:sz="4" w:space="0" w:color="auto"/>
            </w:tcBorders>
          </w:tcPr>
          <w:p w:rsidR="0076467D" w:rsidRPr="00707DC6" w:rsidRDefault="0076467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400</w:t>
            </w:r>
          </w:p>
        </w:tc>
        <w:tc>
          <w:tcPr>
            <w:tcW w:w="2127" w:type="dxa"/>
            <w:tcBorders>
              <w:top w:val="single" w:sz="4" w:space="0" w:color="auto"/>
              <w:left w:val="single" w:sz="4" w:space="0" w:color="auto"/>
              <w:bottom w:val="single" w:sz="4" w:space="0" w:color="auto"/>
            </w:tcBorders>
          </w:tcPr>
          <w:p w:rsidR="0076467D" w:rsidRPr="00707DC6" w:rsidRDefault="0076467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322</w:t>
            </w:r>
          </w:p>
        </w:tc>
      </w:tr>
      <w:tr w:rsidR="0076467D" w:rsidRPr="0015615B" w:rsidTr="008A71E9">
        <w:trPr>
          <w:trHeight w:val="225"/>
          <w:jc w:val="center"/>
        </w:trPr>
        <w:tc>
          <w:tcPr>
            <w:tcW w:w="1056" w:type="dxa"/>
            <w:tcBorders>
              <w:top w:val="single" w:sz="4" w:space="0" w:color="auto"/>
              <w:bottom w:val="single" w:sz="4" w:space="0" w:color="auto"/>
              <w:right w:val="single" w:sz="4" w:space="0" w:color="auto"/>
            </w:tcBorders>
          </w:tcPr>
          <w:p w:rsidR="0076467D" w:rsidRPr="00707DC6" w:rsidRDefault="0076467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2002</w:t>
            </w:r>
          </w:p>
        </w:tc>
        <w:tc>
          <w:tcPr>
            <w:tcW w:w="2454" w:type="dxa"/>
            <w:tcBorders>
              <w:top w:val="single" w:sz="4" w:space="0" w:color="auto"/>
              <w:left w:val="single" w:sz="4" w:space="0" w:color="auto"/>
              <w:bottom w:val="single" w:sz="4" w:space="0" w:color="auto"/>
              <w:right w:val="single" w:sz="4" w:space="0" w:color="auto"/>
            </w:tcBorders>
          </w:tcPr>
          <w:p w:rsidR="0076467D" w:rsidRPr="00707DC6" w:rsidRDefault="0076467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40.320</w:t>
            </w:r>
          </w:p>
        </w:tc>
        <w:tc>
          <w:tcPr>
            <w:tcW w:w="2268" w:type="dxa"/>
            <w:tcBorders>
              <w:top w:val="single" w:sz="4" w:space="0" w:color="auto"/>
              <w:left w:val="single" w:sz="4" w:space="0" w:color="auto"/>
              <w:bottom w:val="single" w:sz="4" w:space="0" w:color="auto"/>
              <w:right w:val="single" w:sz="4" w:space="0" w:color="auto"/>
            </w:tcBorders>
          </w:tcPr>
          <w:p w:rsidR="0076467D" w:rsidRPr="00707DC6" w:rsidRDefault="0076467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500</w:t>
            </w:r>
          </w:p>
        </w:tc>
        <w:tc>
          <w:tcPr>
            <w:tcW w:w="2127" w:type="dxa"/>
            <w:tcBorders>
              <w:top w:val="single" w:sz="4" w:space="0" w:color="auto"/>
              <w:left w:val="single" w:sz="4" w:space="0" w:color="auto"/>
              <w:bottom w:val="single" w:sz="4" w:space="0" w:color="auto"/>
            </w:tcBorders>
          </w:tcPr>
          <w:p w:rsidR="0076467D" w:rsidRPr="00707DC6" w:rsidRDefault="0076467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315</w:t>
            </w:r>
          </w:p>
        </w:tc>
      </w:tr>
      <w:tr w:rsidR="0076467D" w:rsidRPr="0015615B" w:rsidTr="008A71E9">
        <w:trPr>
          <w:trHeight w:val="165"/>
          <w:jc w:val="center"/>
        </w:trPr>
        <w:tc>
          <w:tcPr>
            <w:tcW w:w="1056" w:type="dxa"/>
            <w:tcBorders>
              <w:top w:val="single" w:sz="4" w:space="0" w:color="auto"/>
              <w:bottom w:val="single" w:sz="4" w:space="0" w:color="auto"/>
              <w:right w:val="single" w:sz="4" w:space="0" w:color="auto"/>
            </w:tcBorders>
          </w:tcPr>
          <w:p w:rsidR="0076467D" w:rsidRPr="00707DC6" w:rsidRDefault="0076467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2003</w:t>
            </w:r>
          </w:p>
        </w:tc>
        <w:tc>
          <w:tcPr>
            <w:tcW w:w="2454" w:type="dxa"/>
            <w:tcBorders>
              <w:top w:val="single" w:sz="4" w:space="0" w:color="auto"/>
              <w:left w:val="single" w:sz="4" w:space="0" w:color="auto"/>
              <w:bottom w:val="single" w:sz="4" w:space="0" w:color="auto"/>
              <w:right w:val="single" w:sz="4" w:space="0" w:color="auto"/>
            </w:tcBorders>
          </w:tcPr>
          <w:p w:rsidR="0076467D" w:rsidRPr="00707DC6" w:rsidRDefault="0076467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30.800</w:t>
            </w:r>
          </w:p>
        </w:tc>
        <w:tc>
          <w:tcPr>
            <w:tcW w:w="2268" w:type="dxa"/>
            <w:tcBorders>
              <w:top w:val="single" w:sz="4" w:space="0" w:color="auto"/>
              <w:left w:val="single" w:sz="4" w:space="0" w:color="auto"/>
              <w:bottom w:val="single" w:sz="4" w:space="0" w:color="auto"/>
              <w:right w:val="single" w:sz="4" w:space="0" w:color="auto"/>
            </w:tcBorders>
          </w:tcPr>
          <w:p w:rsidR="0076467D" w:rsidRPr="00707DC6" w:rsidRDefault="0076467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500</w:t>
            </w:r>
          </w:p>
        </w:tc>
        <w:tc>
          <w:tcPr>
            <w:tcW w:w="2127" w:type="dxa"/>
            <w:tcBorders>
              <w:top w:val="single" w:sz="4" w:space="0" w:color="auto"/>
              <w:left w:val="single" w:sz="4" w:space="0" w:color="auto"/>
              <w:bottom w:val="single" w:sz="4" w:space="0" w:color="auto"/>
            </w:tcBorders>
          </w:tcPr>
          <w:p w:rsidR="0076467D" w:rsidRPr="00707DC6" w:rsidRDefault="0076467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272</w:t>
            </w:r>
          </w:p>
        </w:tc>
      </w:tr>
      <w:tr w:rsidR="0076467D" w:rsidRPr="0015615B" w:rsidTr="008A71E9">
        <w:trPr>
          <w:trHeight w:val="135"/>
          <w:jc w:val="center"/>
        </w:trPr>
        <w:tc>
          <w:tcPr>
            <w:tcW w:w="1056" w:type="dxa"/>
            <w:tcBorders>
              <w:top w:val="single" w:sz="4" w:space="0" w:color="auto"/>
              <w:bottom w:val="single" w:sz="4" w:space="0" w:color="auto"/>
              <w:right w:val="single" w:sz="4" w:space="0" w:color="auto"/>
            </w:tcBorders>
          </w:tcPr>
          <w:p w:rsidR="0076467D" w:rsidRPr="00707DC6" w:rsidRDefault="0076467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2004</w:t>
            </w:r>
          </w:p>
        </w:tc>
        <w:tc>
          <w:tcPr>
            <w:tcW w:w="2454" w:type="dxa"/>
            <w:tcBorders>
              <w:top w:val="single" w:sz="4" w:space="0" w:color="auto"/>
              <w:left w:val="single" w:sz="4" w:space="0" w:color="auto"/>
              <w:bottom w:val="single" w:sz="4" w:space="0" w:color="auto"/>
              <w:right w:val="single" w:sz="4" w:space="0" w:color="auto"/>
            </w:tcBorders>
          </w:tcPr>
          <w:p w:rsidR="0076467D" w:rsidRPr="00707DC6" w:rsidRDefault="0076467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30.690</w:t>
            </w:r>
          </w:p>
        </w:tc>
        <w:tc>
          <w:tcPr>
            <w:tcW w:w="2268" w:type="dxa"/>
            <w:tcBorders>
              <w:top w:val="single" w:sz="4" w:space="0" w:color="auto"/>
              <w:left w:val="single" w:sz="4" w:space="0" w:color="auto"/>
              <w:bottom w:val="single" w:sz="4" w:space="0" w:color="auto"/>
              <w:right w:val="single" w:sz="4" w:space="0" w:color="auto"/>
            </w:tcBorders>
          </w:tcPr>
          <w:p w:rsidR="0076467D" w:rsidRPr="00707DC6" w:rsidRDefault="0076467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600</w:t>
            </w:r>
          </w:p>
        </w:tc>
        <w:tc>
          <w:tcPr>
            <w:tcW w:w="2127" w:type="dxa"/>
            <w:tcBorders>
              <w:top w:val="single" w:sz="4" w:space="0" w:color="auto"/>
              <w:left w:val="single" w:sz="4" w:space="0" w:color="auto"/>
              <w:bottom w:val="single" w:sz="4" w:space="0" w:color="auto"/>
            </w:tcBorders>
          </w:tcPr>
          <w:p w:rsidR="0076467D" w:rsidRPr="00707DC6" w:rsidRDefault="0076467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254</w:t>
            </w:r>
          </w:p>
        </w:tc>
      </w:tr>
      <w:tr w:rsidR="0076467D" w:rsidRPr="0015615B" w:rsidTr="008A71E9">
        <w:trPr>
          <w:trHeight w:val="126"/>
          <w:jc w:val="center"/>
        </w:trPr>
        <w:tc>
          <w:tcPr>
            <w:tcW w:w="1056" w:type="dxa"/>
            <w:tcBorders>
              <w:top w:val="single" w:sz="4" w:space="0" w:color="auto"/>
              <w:bottom w:val="single" w:sz="4" w:space="0" w:color="auto"/>
              <w:right w:val="single" w:sz="4" w:space="0" w:color="auto"/>
            </w:tcBorders>
          </w:tcPr>
          <w:p w:rsidR="0076467D" w:rsidRPr="00707DC6" w:rsidRDefault="0076467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2005</w:t>
            </w:r>
          </w:p>
        </w:tc>
        <w:tc>
          <w:tcPr>
            <w:tcW w:w="2454" w:type="dxa"/>
            <w:tcBorders>
              <w:top w:val="single" w:sz="4" w:space="0" w:color="auto"/>
              <w:left w:val="single" w:sz="4" w:space="0" w:color="auto"/>
              <w:bottom w:val="single" w:sz="4" w:space="0" w:color="auto"/>
              <w:right w:val="single" w:sz="4" w:space="0" w:color="auto"/>
            </w:tcBorders>
          </w:tcPr>
          <w:p w:rsidR="0076467D" w:rsidRPr="00707DC6" w:rsidRDefault="0076467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23.760</w:t>
            </w:r>
          </w:p>
        </w:tc>
        <w:tc>
          <w:tcPr>
            <w:tcW w:w="2268" w:type="dxa"/>
            <w:tcBorders>
              <w:top w:val="single" w:sz="4" w:space="0" w:color="auto"/>
              <w:left w:val="single" w:sz="4" w:space="0" w:color="auto"/>
              <w:bottom w:val="single" w:sz="4" w:space="0" w:color="auto"/>
              <w:right w:val="single" w:sz="4" w:space="0" w:color="auto"/>
            </w:tcBorders>
          </w:tcPr>
          <w:p w:rsidR="0076467D" w:rsidRPr="00707DC6" w:rsidRDefault="0076467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3.500</w:t>
            </w:r>
          </w:p>
        </w:tc>
        <w:tc>
          <w:tcPr>
            <w:tcW w:w="2127" w:type="dxa"/>
            <w:tcBorders>
              <w:top w:val="single" w:sz="4" w:space="0" w:color="auto"/>
              <w:left w:val="single" w:sz="4" w:space="0" w:color="auto"/>
              <w:bottom w:val="single" w:sz="4" w:space="0" w:color="auto"/>
            </w:tcBorders>
          </w:tcPr>
          <w:p w:rsidR="0076467D" w:rsidRPr="00707DC6" w:rsidRDefault="0076467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242</w:t>
            </w:r>
          </w:p>
        </w:tc>
      </w:tr>
      <w:tr w:rsidR="0076467D" w:rsidRPr="0015615B" w:rsidTr="008A71E9">
        <w:trPr>
          <w:trHeight w:val="126"/>
          <w:jc w:val="center"/>
        </w:trPr>
        <w:tc>
          <w:tcPr>
            <w:tcW w:w="1056" w:type="dxa"/>
            <w:tcBorders>
              <w:top w:val="single" w:sz="4" w:space="0" w:color="auto"/>
              <w:bottom w:val="single" w:sz="4" w:space="0" w:color="auto"/>
              <w:right w:val="single" w:sz="4" w:space="0" w:color="auto"/>
            </w:tcBorders>
          </w:tcPr>
          <w:p w:rsidR="0076467D" w:rsidRPr="00707DC6" w:rsidRDefault="0076467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2006</w:t>
            </w:r>
          </w:p>
        </w:tc>
        <w:tc>
          <w:tcPr>
            <w:tcW w:w="2454" w:type="dxa"/>
            <w:tcBorders>
              <w:top w:val="single" w:sz="4" w:space="0" w:color="auto"/>
              <w:left w:val="single" w:sz="4" w:space="0" w:color="auto"/>
              <w:bottom w:val="single" w:sz="4" w:space="0" w:color="auto"/>
              <w:right w:val="single" w:sz="4" w:space="0" w:color="auto"/>
            </w:tcBorders>
          </w:tcPr>
          <w:p w:rsidR="0076467D" w:rsidRPr="00707DC6" w:rsidRDefault="0076467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23.100</w:t>
            </w:r>
          </w:p>
        </w:tc>
        <w:tc>
          <w:tcPr>
            <w:tcW w:w="2268" w:type="dxa"/>
            <w:tcBorders>
              <w:top w:val="single" w:sz="4" w:space="0" w:color="auto"/>
              <w:left w:val="single" w:sz="4" w:space="0" w:color="auto"/>
              <w:bottom w:val="single" w:sz="4" w:space="0" w:color="auto"/>
              <w:right w:val="single" w:sz="4" w:space="0" w:color="auto"/>
            </w:tcBorders>
          </w:tcPr>
          <w:p w:rsidR="0076467D" w:rsidRPr="00707DC6" w:rsidRDefault="0076467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3.800</w:t>
            </w:r>
          </w:p>
        </w:tc>
        <w:tc>
          <w:tcPr>
            <w:tcW w:w="2127" w:type="dxa"/>
            <w:tcBorders>
              <w:top w:val="single" w:sz="4" w:space="0" w:color="auto"/>
              <w:left w:val="single" w:sz="4" w:space="0" w:color="auto"/>
              <w:bottom w:val="single" w:sz="4" w:space="0" w:color="auto"/>
            </w:tcBorders>
          </w:tcPr>
          <w:p w:rsidR="0076467D" w:rsidRPr="00707DC6" w:rsidRDefault="0076467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238</w:t>
            </w:r>
          </w:p>
        </w:tc>
      </w:tr>
      <w:tr w:rsidR="0076467D" w:rsidRPr="0015615B" w:rsidTr="008A71E9">
        <w:trPr>
          <w:trHeight w:val="111"/>
          <w:jc w:val="center"/>
        </w:trPr>
        <w:tc>
          <w:tcPr>
            <w:tcW w:w="1056" w:type="dxa"/>
            <w:tcBorders>
              <w:top w:val="single" w:sz="4" w:space="0" w:color="auto"/>
              <w:bottom w:val="single" w:sz="4" w:space="0" w:color="auto"/>
              <w:right w:val="single" w:sz="4" w:space="0" w:color="auto"/>
            </w:tcBorders>
          </w:tcPr>
          <w:p w:rsidR="0076467D" w:rsidRPr="00707DC6" w:rsidRDefault="0076467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2007</w:t>
            </w:r>
          </w:p>
        </w:tc>
        <w:tc>
          <w:tcPr>
            <w:tcW w:w="2454" w:type="dxa"/>
            <w:tcBorders>
              <w:top w:val="single" w:sz="4" w:space="0" w:color="auto"/>
              <w:left w:val="single" w:sz="4" w:space="0" w:color="auto"/>
              <w:bottom w:val="single" w:sz="4" w:space="0" w:color="auto"/>
              <w:right w:val="single" w:sz="4" w:space="0" w:color="auto"/>
            </w:tcBorders>
          </w:tcPr>
          <w:p w:rsidR="0076467D" w:rsidRPr="00707DC6" w:rsidRDefault="0076467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22.386</w:t>
            </w:r>
          </w:p>
        </w:tc>
        <w:tc>
          <w:tcPr>
            <w:tcW w:w="2268" w:type="dxa"/>
            <w:tcBorders>
              <w:top w:val="single" w:sz="4" w:space="0" w:color="auto"/>
              <w:left w:val="single" w:sz="4" w:space="0" w:color="auto"/>
              <w:bottom w:val="single" w:sz="4" w:space="0" w:color="auto"/>
              <w:right w:val="single" w:sz="4" w:space="0" w:color="auto"/>
            </w:tcBorders>
          </w:tcPr>
          <w:p w:rsidR="0076467D" w:rsidRPr="00707DC6" w:rsidRDefault="0076467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3.900</w:t>
            </w:r>
          </w:p>
        </w:tc>
        <w:tc>
          <w:tcPr>
            <w:tcW w:w="2127" w:type="dxa"/>
            <w:tcBorders>
              <w:top w:val="single" w:sz="4" w:space="0" w:color="auto"/>
              <w:left w:val="single" w:sz="4" w:space="0" w:color="auto"/>
              <w:bottom w:val="single" w:sz="4" w:space="0" w:color="auto"/>
            </w:tcBorders>
          </w:tcPr>
          <w:p w:rsidR="0076467D" w:rsidRPr="00707DC6" w:rsidRDefault="0076467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235</w:t>
            </w:r>
          </w:p>
        </w:tc>
      </w:tr>
      <w:tr w:rsidR="0076467D" w:rsidRPr="0015615B" w:rsidTr="008A71E9">
        <w:trPr>
          <w:trHeight w:val="81"/>
          <w:jc w:val="center"/>
        </w:trPr>
        <w:tc>
          <w:tcPr>
            <w:tcW w:w="1056" w:type="dxa"/>
            <w:tcBorders>
              <w:top w:val="single" w:sz="4" w:space="0" w:color="auto"/>
              <w:bottom w:val="single" w:sz="4" w:space="0" w:color="auto"/>
              <w:right w:val="single" w:sz="4" w:space="0" w:color="auto"/>
            </w:tcBorders>
          </w:tcPr>
          <w:p w:rsidR="0076467D" w:rsidRPr="00707DC6" w:rsidRDefault="0076467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2008</w:t>
            </w:r>
          </w:p>
        </w:tc>
        <w:tc>
          <w:tcPr>
            <w:tcW w:w="2454" w:type="dxa"/>
            <w:tcBorders>
              <w:top w:val="single" w:sz="4" w:space="0" w:color="auto"/>
              <w:left w:val="single" w:sz="4" w:space="0" w:color="auto"/>
              <w:bottom w:val="single" w:sz="4" w:space="0" w:color="auto"/>
              <w:right w:val="single" w:sz="4" w:space="0" w:color="auto"/>
            </w:tcBorders>
          </w:tcPr>
          <w:p w:rsidR="0076467D" w:rsidRPr="00707DC6" w:rsidRDefault="0076467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21.710</w:t>
            </w:r>
          </w:p>
        </w:tc>
        <w:tc>
          <w:tcPr>
            <w:tcW w:w="2268" w:type="dxa"/>
            <w:tcBorders>
              <w:top w:val="single" w:sz="4" w:space="0" w:color="auto"/>
              <w:left w:val="single" w:sz="4" w:space="0" w:color="auto"/>
              <w:bottom w:val="single" w:sz="4" w:space="0" w:color="auto"/>
              <w:right w:val="single" w:sz="4" w:space="0" w:color="auto"/>
            </w:tcBorders>
          </w:tcPr>
          <w:p w:rsidR="0076467D" w:rsidRPr="00707DC6" w:rsidRDefault="0076467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4.000</w:t>
            </w:r>
          </w:p>
        </w:tc>
        <w:tc>
          <w:tcPr>
            <w:tcW w:w="2127" w:type="dxa"/>
            <w:tcBorders>
              <w:top w:val="single" w:sz="4" w:space="0" w:color="auto"/>
              <w:left w:val="single" w:sz="4" w:space="0" w:color="auto"/>
              <w:bottom w:val="single" w:sz="4" w:space="0" w:color="auto"/>
            </w:tcBorders>
          </w:tcPr>
          <w:p w:rsidR="0076467D" w:rsidRPr="00707DC6" w:rsidRDefault="0076467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233</w:t>
            </w:r>
          </w:p>
        </w:tc>
      </w:tr>
      <w:tr w:rsidR="0076467D" w:rsidRPr="0015615B" w:rsidTr="008A71E9">
        <w:trPr>
          <w:trHeight w:val="165"/>
          <w:jc w:val="center"/>
        </w:trPr>
        <w:tc>
          <w:tcPr>
            <w:tcW w:w="1056" w:type="dxa"/>
            <w:tcBorders>
              <w:top w:val="single" w:sz="4" w:space="0" w:color="auto"/>
              <w:bottom w:val="single" w:sz="4" w:space="0" w:color="auto"/>
              <w:right w:val="single" w:sz="4" w:space="0" w:color="auto"/>
            </w:tcBorders>
          </w:tcPr>
          <w:p w:rsidR="0076467D" w:rsidRPr="00707DC6" w:rsidRDefault="0076467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2009</w:t>
            </w:r>
          </w:p>
        </w:tc>
        <w:tc>
          <w:tcPr>
            <w:tcW w:w="2454" w:type="dxa"/>
            <w:tcBorders>
              <w:top w:val="single" w:sz="4" w:space="0" w:color="auto"/>
              <w:left w:val="single" w:sz="4" w:space="0" w:color="auto"/>
              <w:bottom w:val="single" w:sz="4" w:space="0" w:color="auto"/>
              <w:right w:val="single" w:sz="4" w:space="0" w:color="auto"/>
            </w:tcBorders>
          </w:tcPr>
          <w:p w:rsidR="0076467D" w:rsidRPr="00707DC6" w:rsidRDefault="0076467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21.115</w:t>
            </w:r>
          </w:p>
        </w:tc>
        <w:tc>
          <w:tcPr>
            <w:tcW w:w="2268" w:type="dxa"/>
            <w:tcBorders>
              <w:top w:val="single" w:sz="4" w:space="0" w:color="auto"/>
              <w:left w:val="single" w:sz="4" w:space="0" w:color="auto"/>
              <w:bottom w:val="single" w:sz="4" w:space="0" w:color="auto"/>
              <w:right w:val="single" w:sz="4" w:space="0" w:color="auto"/>
            </w:tcBorders>
          </w:tcPr>
          <w:p w:rsidR="0076467D" w:rsidRPr="00707DC6" w:rsidRDefault="0076467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3.880</w:t>
            </w:r>
          </w:p>
        </w:tc>
        <w:tc>
          <w:tcPr>
            <w:tcW w:w="2127" w:type="dxa"/>
            <w:tcBorders>
              <w:top w:val="single" w:sz="4" w:space="0" w:color="auto"/>
              <w:left w:val="single" w:sz="4" w:space="0" w:color="auto"/>
              <w:bottom w:val="single" w:sz="4" w:space="0" w:color="auto"/>
            </w:tcBorders>
          </w:tcPr>
          <w:p w:rsidR="0076467D" w:rsidRPr="00707DC6" w:rsidRDefault="0076467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226</w:t>
            </w:r>
          </w:p>
        </w:tc>
      </w:tr>
      <w:tr w:rsidR="0076467D" w:rsidRPr="0015615B" w:rsidTr="008A71E9">
        <w:trPr>
          <w:trHeight w:val="126"/>
          <w:jc w:val="center"/>
        </w:trPr>
        <w:tc>
          <w:tcPr>
            <w:tcW w:w="1056" w:type="dxa"/>
            <w:tcBorders>
              <w:top w:val="single" w:sz="4" w:space="0" w:color="auto"/>
              <w:bottom w:val="single" w:sz="4" w:space="0" w:color="auto"/>
              <w:right w:val="single" w:sz="4" w:space="0" w:color="auto"/>
            </w:tcBorders>
          </w:tcPr>
          <w:p w:rsidR="0076467D" w:rsidRPr="00707DC6" w:rsidRDefault="0076467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2010</w:t>
            </w:r>
          </w:p>
        </w:tc>
        <w:tc>
          <w:tcPr>
            <w:tcW w:w="2454" w:type="dxa"/>
            <w:tcBorders>
              <w:top w:val="single" w:sz="4" w:space="0" w:color="auto"/>
              <w:left w:val="single" w:sz="4" w:space="0" w:color="auto"/>
              <w:bottom w:val="single" w:sz="4" w:space="0" w:color="auto"/>
              <w:right w:val="single" w:sz="4" w:space="0" w:color="auto"/>
            </w:tcBorders>
          </w:tcPr>
          <w:p w:rsidR="0076467D" w:rsidRPr="00707DC6" w:rsidRDefault="0076467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27.060</w:t>
            </w:r>
          </w:p>
        </w:tc>
        <w:tc>
          <w:tcPr>
            <w:tcW w:w="2268" w:type="dxa"/>
            <w:tcBorders>
              <w:top w:val="single" w:sz="4" w:space="0" w:color="auto"/>
              <w:left w:val="single" w:sz="4" w:space="0" w:color="auto"/>
              <w:bottom w:val="single" w:sz="4" w:space="0" w:color="auto"/>
              <w:right w:val="single" w:sz="4" w:space="0" w:color="auto"/>
            </w:tcBorders>
          </w:tcPr>
          <w:p w:rsidR="0076467D" w:rsidRPr="00707DC6" w:rsidRDefault="0076467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4.074</w:t>
            </w:r>
          </w:p>
        </w:tc>
        <w:tc>
          <w:tcPr>
            <w:tcW w:w="2127" w:type="dxa"/>
            <w:tcBorders>
              <w:top w:val="single" w:sz="4" w:space="0" w:color="auto"/>
              <w:left w:val="single" w:sz="4" w:space="0" w:color="auto"/>
              <w:bottom w:val="single" w:sz="4" w:space="0" w:color="auto"/>
            </w:tcBorders>
          </w:tcPr>
          <w:p w:rsidR="0076467D" w:rsidRPr="00707DC6" w:rsidRDefault="0076467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226</w:t>
            </w:r>
          </w:p>
        </w:tc>
      </w:tr>
      <w:tr w:rsidR="0076467D" w:rsidRPr="0015615B" w:rsidTr="008A71E9">
        <w:trPr>
          <w:trHeight w:val="135"/>
          <w:jc w:val="center"/>
        </w:trPr>
        <w:tc>
          <w:tcPr>
            <w:tcW w:w="1056" w:type="dxa"/>
            <w:tcBorders>
              <w:top w:val="single" w:sz="4" w:space="0" w:color="auto"/>
              <w:bottom w:val="single" w:sz="4" w:space="0" w:color="auto"/>
              <w:right w:val="single" w:sz="4" w:space="0" w:color="auto"/>
            </w:tcBorders>
          </w:tcPr>
          <w:p w:rsidR="0076467D" w:rsidRPr="00707DC6" w:rsidRDefault="0076467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2011</w:t>
            </w:r>
          </w:p>
        </w:tc>
        <w:tc>
          <w:tcPr>
            <w:tcW w:w="2454" w:type="dxa"/>
            <w:tcBorders>
              <w:top w:val="single" w:sz="4" w:space="0" w:color="auto"/>
              <w:left w:val="single" w:sz="4" w:space="0" w:color="auto"/>
              <w:bottom w:val="single" w:sz="4" w:space="0" w:color="auto"/>
              <w:right w:val="single" w:sz="4" w:space="0" w:color="auto"/>
            </w:tcBorders>
          </w:tcPr>
          <w:p w:rsidR="0076467D" w:rsidRPr="00707DC6" w:rsidRDefault="0076467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27.500</w:t>
            </w:r>
          </w:p>
        </w:tc>
        <w:tc>
          <w:tcPr>
            <w:tcW w:w="2268" w:type="dxa"/>
            <w:tcBorders>
              <w:top w:val="single" w:sz="4" w:space="0" w:color="auto"/>
              <w:left w:val="single" w:sz="4" w:space="0" w:color="auto"/>
              <w:bottom w:val="single" w:sz="4" w:space="0" w:color="auto"/>
              <w:right w:val="single" w:sz="4" w:space="0" w:color="auto"/>
            </w:tcBorders>
          </w:tcPr>
          <w:p w:rsidR="0076467D" w:rsidRPr="00707DC6" w:rsidRDefault="0076467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4.000</w:t>
            </w:r>
          </w:p>
        </w:tc>
        <w:tc>
          <w:tcPr>
            <w:tcW w:w="2127" w:type="dxa"/>
            <w:tcBorders>
              <w:top w:val="single" w:sz="4" w:space="0" w:color="auto"/>
              <w:left w:val="single" w:sz="4" w:space="0" w:color="auto"/>
              <w:bottom w:val="single" w:sz="4" w:space="0" w:color="auto"/>
            </w:tcBorders>
          </w:tcPr>
          <w:p w:rsidR="0076467D" w:rsidRPr="00707DC6" w:rsidRDefault="0076467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281</w:t>
            </w:r>
          </w:p>
        </w:tc>
      </w:tr>
      <w:tr w:rsidR="0076467D" w:rsidRPr="0015615B" w:rsidTr="008A71E9">
        <w:trPr>
          <w:trHeight w:val="120"/>
          <w:jc w:val="center"/>
        </w:trPr>
        <w:tc>
          <w:tcPr>
            <w:tcW w:w="1056" w:type="dxa"/>
            <w:tcBorders>
              <w:top w:val="single" w:sz="4" w:space="0" w:color="auto"/>
              <w:bottom w:val="single" w:sz="4" w:space="0" w:color="auto"/>
              <w:right w:val="single" w:sz="4" w:space="0" w:color="auto"/>
            </w:tcBorders>
          </w:tcPr>
          <w:p w:rsidR="0076467D" w:rsidRPr="00707DC6" w:rsidRDefault="0076467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2012</w:t>
            </w:r>
          </w:p>
        </w:tc>
        <w:tc>
          <w:tcPr>
            <w:tcW w:w="2454" w:type="dxa"/>
            <w:tcBorders>
              <w:top w:val="single" w:sz="4" w:space="0" w:color="auto"/>
              <w:left w:val="single" w:sz="4" w:space="0" w:color="auto"/>
              <w:bottom w:val="single" w:sz="4" w:space="0" w:color="auto"/>
              <w:right w:val="single" w:sz="4" w:space="0" w:color="auto"/>
            </w:tcBorders>
          </w:tcPr>
          <w:p w:rsidR="0076467D" w:rsidRPr="00707DC6" w:rsidRDefault="0076467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29.700</w:t>
            </w:r>
          </w:p>
        </w:tc>
        <w:tc>
          <w:tcPr>
            <w:tcW w:w="2268" w:type="dxa"/>
            <w:tcBorders>
              <w:top w:val="single" w:sz="4" w:space="0" w:color="auto"/>
              <w:left w:val="single" w:sz="4" w:space="0" w:color="auto"/>
              <w:bottom w:val="single" w:sz="4" w:space="0" w:color="auto"/>
              <w:right w:val="single" w:sz="4" w:space="0" w:color="auto"/>
            </w:tcBorders>
          </w:tcPr>
          <w:p w:rsidR="0076467D" w:rsidRPr="00707DC6" w:rsidRDefault="0076467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4.200</w:t>
            </w:r>
          </w:p>
        </w:tc>
        <w:tc>
          <w:tcPr>
            <w:tcW w:w="2127" w:type="dxa"/>
            <w:tcBorders>
              <w:top w:val="single" w:sz="4" w:space="0" w:color="auto"/>
              <w:left w:val="single" w:sz="4" w:space="0" w:color="auto"/>
              <w:bottom w:val="single" w:sz="4" w:space="0" w:color="auto"/>
            </w:tcBorders>
          </w:tcPr>
          <w:p w:rsidR="0076467D" w:rsidRPr="00707DC6" w:rsidRDefault="0076467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282</w:t>
            </w:r>
          </w:p>
        </w:tc>
      </w:tr>
      <w:tr w:rsidR="0076467D" w:rsidRPr="0015615B" w:rsidTr="008A71E9">
        <w:trPr>
          <w:trHeight w:val="141"/>
          <w:jc w:val="center"/>
        </w:trPr>
        <w:tc>
          <w:tcPr>
            <w:tcW w:w="1056" w:type="dxa"/>
            <w:tcBorders>
              <w:top w:val="single" w:sz="4" w:space="0" w:color="auto"/>
              <w:bottom w:val="single" w:sz="4" w:space="0" w:color="auto"/>
              <w:right w:val="single" w:sz="4" w:space="0" w:color="auto"/>
            </w:tcBorders>
          </w:tcPr>
          <w:p w:rsidR="0076467D" w:rsidRPr="00707DC6" w:rsidRDefault="0076467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2013</w:t>
            </w:r>
          </w:p>
        </w:tc>
        <w:tc>
          <w:tcPr>
            <w:tcW w:w="2454" w:type="dxa"/>
            <w:tcBorders>
              <w:top w:val="single" w:sz="4" w:space="0" w:color="auto"/>
              <w:left w:val="single" w:sz="4" w:space="0" w:color="auto"/>
              <w:bottom w:val="single" w:sz="4" w:space="0" w:color="auto"/>
              <w:right w:val="single" w:sz="4" w:space="0" w:color="auto"/>
            </w:tcBorders>
          </w:tcPr>
          <w:p w:rsidR="0076467D" w:rsidRPr="00707DC6" w:rsidRDefault="0076467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30.147</w:t>
            </w:r>
          </w:p>
        </w:tc>
        <w:tc>
          <w:tcPr>
            <w:tcW w:w="2268" w:type="dxa"/>
            <w:tcBorders>
              <w:top w:val="single" w:sz="4" w:space="0" w:color="auto"/>
              <w:left w:val="single" w:sz="4" w:space="0" w:color="auto"/>
              <w:bottom w:val="single" w:sz="4" w:space="0" w:color="auto"/>
              <w:right w:val="single" w:sz="4" w:space="0" w:color="auto"/>
            </w:tcBorders>
          </w:tcPr>
          <w:p w:rsidR="0076467D" w:rsidRPr="00707DC6" w:rsidRDefault="0076467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4.000</w:t>
            </w:r>
          </w:p>
        </w:tc>
        <w:tc>
          <w:tcPr>
            <w:tcW w:w="2127" w:type="dxa"/>
            <w:tcBorders>
              <w:top w:val="single" w:sz="4" w:space="0" w:color="auto"/>
              <w:left w:val="single" w:sz="4" w:space="0" w:color="auto"/>
              <w:bottom w:val="single" w:sz="4" w:space="0" w:color="auto"/>
            </w:tcBorders>
          </w:tcPr>
          <w:p w:rsidR="0076467D" w:rsidRPr="00707DC6" w:rsidRDefault="0076467D" w:rsidP="00707DC6">
            <w:pPr>
              <w:jc w:val="center"/>
              <w:rPr>
                <w:rFonts w:ascii="Times New Roman" w:hAnsi="Times New Roman" w:cs="Times New Roman"/>
                <w:color w:val="auto"/>
                <w:sz w:val="24"/>
                <w:szCs w:val="24"/>
              </w:rPr>
            </w:pPr>
            <w:r w:rsidRPr="00707DC6">
              <w:rPr>
                <w:rFonts w:ascii="Times New Roman" w:hAnsi="Times New Roman" w:cs="Times New Roman"/>
                <w:color w:val="auto"/>
                <w:sz w:val="24"/>
                <w:szCs w:val="24"/>
              </w:rPr>
              <w:t>310</w:t>
            </w:r>
          </w:p>
        </w:tc>
      </w:tr>
      <w:tr w:rsidR="0076467D" w:rsidRPr="0015615B" w:rsidTr="008A71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nfStyle w:val="000000100000"/>
          <w:trHeight w:val="240"/>
          <w:jc w:val="center"/>
        </w:trPr>
        <w:tc>
          <w:tcPr>
            <w:cnfStyle w:val="000010000000"/>
            <w:tcW w:w="7905" w:type="dxa"/>
            <w:gridSpan w:val="4"/>
            <w:tcBorders>
              <w:bottom w:val="single" w:sz="4" w:space="0" w:color="auto"/>
            </w:tcBorders>
            <w:shd w:val="clear" w:color="auto" w:fill="FFFFFF" w:themeFill="background1"/>
          </w:tcPr>
          <w:p w:rsidR="0076467D" w:rsidRPr="0015615B" w:rsidRDefault="0076467D" w:rsidP="0015615B">
            <w:pPr>
              <w:jc w:val="both"/>
              <w:rPr>
                <w:rFonts w:ascii="Times New Roman" w:hAnsi="Times New Roman" w:cs="Times New Roman"/>
                <w:color w:val="auto"/>
                <w:sz w:val="20"/>
                <w:szCs w:val="20"/>
              </w:rPr>
            </w:pPr>
            <w:r w:rsidRPr="0015615B">
              <w:rPr>
                <w:rFonts w:ascii="Times New Roman" w:hAnsi="Times New Roman" w:cs="Times New Roman"/>
                <w:b/>
                <w:color w:val="auto"/>
                <w:sz w:val="20"/>
                <w:szCs w:val="20"/>
              </w:rPr>
              <w:t>Fonte:</w:t>
            </w:r>
            <w:r w:rsidR="00D9169B" w:rsidRPr="0015615B">
              <w:rPr>
                <w:rFonts w:ascii="Times New Roman" w:hAnsi="Times New Roman" w:cs="Times New Roman"/>
                <w:color w:val="auto"/>
                <w:sz w:val="20"/>
                <w:szCs w:val="20"/>
              </w:rPr>
              <w:t xml:space="preserve"> IMB/</w:t>
            </w:r>
            <w:r w:rsidRPr="0015615B">
              <w:rPr>
                <w:rFonts w:ascii="Times New Roman" w:hAnsi="Times New Roman" w:cs="Times New Roman"/>
                <w:color w:val="auto"/>
                <w:sz w:val="20"/>
                <w:szCs w:val="20"/>
              </w:rPr>
              <w:t xml:space="preserve">IBGE-2015.   </w:t>
            </w:r>
            <w:r w:rsidRPr="0015615B">
              <w:rPr>
                <w:rFonts w:ascii="Times New Roman" w:hAnsi="Times New Roman" w:cs="Times New Roman"/>
                <w:b/>
                <w:color w:val="auto"/>
                <w:sz w:val="20"/>
                <w:szCs w:val="20"/>
              </w:rPr>
              <w:t xml:space="preserve">  Organização:</w:t>
            </w:r>
            <w:r w:rsidRPr="0015615B">
              <w:rPr>
                <w:rFonts w:ascii="Times New Roman" w:hAnsi="Times New Roman" w:cs="Times New Roman"/>
                <w:color w:val="auto"/>
                <w:sz w:val="20"/>
                <w:szCs w:val="20"/>
              </w:rPr>
              <w:t xml:space="preserve"> </w:t>
            </w:r>
            <w:r w:rsidR="00484DEA">
              <w:rPr>
                <w:rFonts w:ascii="Times New Roman" w:hAnsi="Times New Roman" w:cs="Times New Roman"/>
                <w:color w:val="auto"/>
                <w:sz w:val="20"/>
                <w:szCs w:val="20"/>
              </w:rPr>
              <w:t>Autor.</w:t>
            </w:r>
          </w:p>
        </w:tc>
      </w:tr>
    </w:tbl>
    <w:p w:rsidR="0015615B" w:rsidRDefault="0015615B" w:rsidP="0015615B">
      <w:pPr>
        <w:spacing w:after="0" w:line="240" w:lineRule="auto"/>
        <w:ind w:firstLine="709"/>
        <w:jc w:val="both"/>
        <w:rPr>
          <w:rFonts w:ascii="Times New Roman" w:hAnsi="Times New Roman" w:cs="Times New Roman"/>
          <w:b/>
          <w:sz w:val="24"/>
          <w:szCs w:val="24"/>
        </w:rPr>
      </w:pPr>
    </w:p>
    <w:p w:rsidR="00EF2529" w:rsidRPr="0015615B" w:rsidRDefault="00F52D52" w:rsidP="00EF25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b/>
      </w:r>
      <w:r w:rsidRPr="0015615B">
        <w:rPr>
          <w:rFonts w:ascii="Times New Roman" w:hAnsi="Times New Roman" w:cs="Times New Roman"/>
          <w:sz w:val="24"/>
          <w:szCs w:val="24"/>
        </w:rPr>
        <w:t xml:space="preserve">No que tange a produção de leite, o comportamento é parecido, com aumento na produção até 2003, queda até 2009, e recuperação da produção a partir de 2010. </w:t>
      </w:r>
      <w:r w:rsidR="00707DC6" w:rsidRPr="0015615B">
        <w:rPr>
          <w:rFonts w:ascii="Times New Roman" w:hAnsi="Times New Roman" w:cs="Times New Roman"/>
          <w:sz w:val="24"/>
          <w:szCs w:val="24"/>
        </w:rPr>
        <w:t xml:space="preserve">No Gráfico </w:t>
      </w:r>
      <w:proofErr w:type="gramStart"/>
      <w:r w:rsidR="00707DC6" w:rsidRPr="0015615B">
        <w:rPr>
          <w:rFonts w:ascii="Times New Roman" w:hAnsi="Times New Roman" w:cs="Times New Roman"/>
          <w:sz w:val="24"/>
          <w:szCs w:val="24"/>
        </w:rPr>
        <w:t>4</w:t>
      </w:r>
      <w:proofErr w:type="gramEnd"/>
      <w:r w:rsidR="00707DC6" w:rsidRPr="0015615B">
        <w:rPr>
          <w:rFonts w:ascii="Times New Roman" w:hAnsi="Times New Roman" w:cs="Times New Roman"/>
          <w:sz w:val="24"/>
          <w:szCs w:val="24"/>
        </w:rPr>
        <w:t xml:space="preserve"> percebe-se este comportamento, com a análise do número de vacas ordenhadas. </w:t>
      </w:r>
      <w:r w:rsidR="00EF2529" w:rsidRPr="0015615B">
        <w:rPr>
          <w:rFonts w:ascii="Times New Roman" w:hAnsi="Times New Roman" w:cs="Times New Roman"/>
          <w:sz w:val="24"/>
          <w:szCs w:val="24"/>
        </w:rPr>
        <w:t>Neste sentido, em 2000 eram 25.000</w:t>
      </w:r>
      <w:r w:rsidR="00EF2529">
        <w:rPr>
          <w:rFonts w:ascii="Times New Roman" w:hAnsi="Times New Roman" w:cs="Times New Roman"/>
          <w:sz w:val="24"/>
          <w:szCs w:val="24"/>
        </w:rPr>
        <w:t xml:space="preserve"> vacas ordenhadas</w:t>
      </w:r>
      <w:r w:rsidR="00EF2529" w:rsidRPr="0015615B">
        <w:rPr>
          <w:rFonts w:ascii="Times New Roman" w:hAnsi="Times New Roman" w:cs="Times New Roman"/>
          <w:sz w:val="24"/>
          <w:szCs w:val="24"/>
        </w:rPr>
        <w:t>, em 2003 este valor subiu para 28.000, mas a partir de 2004 sofreu quedas subsequentes atingindo em 2009, 21.300 matrizes ordenhadas, sendo que após 2010 apresentou relativa recuperação, alcan</w:t>
      </w:r>
      <w:r w:rsidR="00EF2529">
        <w:rPr>
          <w:rFonts w:ascii="Times New Roman" w:hAnsi="Times New Roman" w:cs="Times New Roman"/>
          <w:sz w:val="24"/>
          <w:szCs w:val="24"/>
        </w:rPr>
        <w:t>çando o número de 27.000 vacas</w:t>
      </w:r>
      <w:r w:rsidR="00EF2529" w:rsidRPr="0015615B">
        <w:rPr>
          <w:rFonts w:ascii="Times New Roman" w:hAnsi="Times New Roman" w:cs="Times New Roman"/>
          <w:sz w:val="24"/>
          <w:szCs w:val="24"/>
        </w:rPr>
        <w:t xml:space="preserve"> ordenhadas em 2013.</w:t>
      </w:r>
      <w:r w:rsidR="00EF2529">
        <w:rPr>
          <w:rFonts w:ascii="Times New Roman" w:hAnsi="Times New Roman" w:cs="Times New Roman"/>
          <w:sz w:val="24"/>
          <w:szCs w:val="24"/>
        </w:rPr>
        <w:t xml:space="preserve"> </w:t>
      </w:r>
      <w:r w:rsidR="00EF2529" w:rsidRPr="0015615B">
        <w:rPr>
          <w:rFonts w:ascii="Times New Roman" w:hAnsi="Times New Roman" w:cs="Times New Roman"/>
          <w:sz w:val="24"/>
          <w:szCs w:val="24"/>
        </w:rPr>
        <w:t xml:space="preserve">Na análise constata-se que a queda e a ampliação da produção camponesa tem relação com fortalecimento e diminuição da produção de </w:t>
      </w:r>
      <w:r w:rsidR="00EF2529" w:rsidRPr="0015615B">
        <w:rPr>
          <w:rFonts w:ascii="Times New Roman" w:hAnsi="Times New Roman" w:cs="Times New Roman"/>
          <w:i/>
          <w:sz w:val="24"/>
          <w:szCs w:val="24"/>
        </w:rPr>
        <w:t xml:space="preserve">commodities </w:t>
      </w:r>
      <w:r w:rsidR="00EF2529" w:rsidRPr="0015615B">
        <w:rPr>
          <w:rFonts w:ascii="Times New Roman" w:hAnsi="Times New Roman" w:cs="Times New Roman"/>
          <w:sz w:val="24"/>
          <w:szCs w:val="24"/>
        </w:rPr>
        <w:t xml:space="preserve">no município, principalmente do setor </w:t>
      </w:r>
      <w:proofErr w:type="spellStart"/>
      <w:r w:rsidR="00EF2529" w:rsidRPr="0015615B">
        <w:rPr>
          <w:rFonts w:ascii="Times New Roman" w:hAnsi="Times New Roman" w:cs="Times New Roman"/>
          <w:sz w:val="24"/>
          <w:szCs w:val="24"/>
        </w:rPr>
        <w:t>sucronergético</w:t>
      </w:r>
      <w:proofErr w:type="spellEnd"/>
      <w:r w:rsidR="00EF2529" w:rsidRPr="0015615B">
        <w:rPr>
          <w:rFonts w:ascii="Times New Roman" w:hAnsi="Times New Roman" w:cs="Times New Roman"/>
          <w:sz w:val="24"/>
          <w:szCs w:val="24"/>
        </w:rPr>
        <w:t xml:space="preserve">. </w:t>
      </w:r>
    </w:p>
    <w:p w:rsidR="00707DC6" w:rsidRPr="0015615B" w:rsidRDefault="00707DC6" w:rsidP="0015615B">
      <w:pPr>
        <w:spacing w:after="0" w:line="240" w:lineRule="auto"/>
        <w:ind w:firstLine="709"/>
        <w:jc w:val="both"/>
        <w:rPr>
          <w:rFonts w:ascii="Times New Roman" w:hAnsi="Times New Roman" w:cs="Times New Roman"/>
          <w:sz w:val="24"/>
          <w:szCs w:val="24"/>
        </w:rPr>
      </w:pPr>
    </w:p>
    <w:tbl>
      <w:tblPr>
        <w:tblW w:w="0" w:type="auto"/>
        <w:jc w:val="center"/>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950"/>
      </w:tblGrid>
      <w:tr w:rsidR="0076467D" w:rsidRPr="0015615B" w:rsidTr="00FF694E">
        <w:trPr>
          <w:trHeight w:val="3925"/>
          <w:jc w:val="center"/>
        </w:trPr>
        <w:tc>
          <w:tcPr>
            <w:tcW w:w="6380" w:type="dxa"/>
          </w:tcPr>
          <w:p w:rsidR="0076467D" w:rsidRPr="0015615B" w:rsidRDefault="0076467D" w:rsidP="0015615B">
            <w:pPr>
              <w:spacing w:after="0" w:line="240" w:lineRule="auto"/>
              <w:jc w:val="both"/>
              <w:rPr>
                <w:rFonts w:ascii="Times New Roman" w:hAnsi="Times New Roman" w:cs="Times New Roman"/>
                <w:b/>
                <w:sz w:val="24"/>
                <w:szCs w:val="24"/>
              </w:rPr>
            </w:pPr>
            <w:r w:rsidRPr="0015615B">
              <w:rPr>
                <w:rFonts w:ascii="Times New Roman" w:hAnsi="Times New Roman" w:cs="Times New Roman"/>
                <w:b/>
                <w:noProof/>
                <w:sz w:val="24"/>
                <w:szCs w:val="24"/>
              </w:rPr>
              <w:drawing>
                <wp:inline distT="0" distB="0" distL="0" distR="0">
                  <wp:extent cx="4320540" cy="2880000"/>
                  <wp:effectExtent l="0" t="0" r="3810" b="0"/>
                  <wp:docPr id="9" name="Imagem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0" cstate="print"/>
                          <a:srcRect/>
                          <a:stretch>
                            <a:fillRect/>
                          </a:stretch>
                        </pic:blipFill>
                        <pic:spPr bwMode="auto">
                          <a:xfrm>
                            <a:off x="0" y="0"/>
                            <a:ext cx="4320540" cy="2880000"/>
                          </a:xfrm>
                          <a:prstGeom prst="rect">
                            <a:avLst/>
                          </a:prstGeom>
                          <a:noFill/>
                          <a:ln w="9525">
                            <a:noFill/>
                            <a:miter lim="800000"/>
                            <a:headEnd/>
                            <a:tailEnd/>
                          </a:ln>
                        </pic:spPr>
                      </pic:pic>
                    </a:graphicData>
                  </a:graphic>
                </wp:inline>
              </w:drawing>
            </w:r>
          </w:p>
        </w:tc>
      </w:tr>
      <w:tr w:rsidR="0076467D" w:rsidRPr="0015615B" w:rsidTr="00FF694E">
        <w:trPr>
          <w:trHeight w:val="345"/>
          <w:jc w:val="center"/>
        </w:trPr>
        <w:tc>
          <w:tcPr>
            <w:tcW w:w="6380" w:type="dxa"/>
          </w:tcPr>
          <w:p w:rsidR="0076467D" w:rsidRPr="0015615B" w:rsidRDefault="0076467D" w:rsidP="0015615B">
            <w:pPr>
              <w:spacing w:after="0" w:line="240" w:lineRule="auto"/>
              <w:jc w:val="both"/>
              <w:rPr>
                <w:rFonts w:ascii="Times New Roman" w:hAnsi="Times New Roman" w:cs="Times New Roman"/>
                <w:sz w:val="24"/>
                <w:szCs w:val="24"/>
              </w:rPr>
            </w:pPr>
            <w:r w:rsidRPr="0015615B">
              <w:rPr>
                <w:rFonts w:ascii="Times New Roman" w:hAnsi="Times New Roman" w:cs="Times New Roman"/>
                <w:b/>
                <w:sz w:val="24"/>
                <w:szCs w:val="24"/>
              </w:rPr>
              <w:t xml:space="preserve">Gráfico </w:t>
            </w:r>
            <w:proofErr w:type="gramStart"/>
            <w:r w:rsidRPr="0015615B">
              <w:rPr>
                <w:rFonts w:ascii="Times New Roman" w:hAnsi="Times New Roman" w:cs="Times New Roman"/>
                <w:b/>
                <w:sz w:val="24"/>
                <w:szCs w:val="24"/>
              </w:rPr>
              <w:t>4</w:t>
            </w:r>
            <w:proofErr w:type="gramEnd"/>
            <w:r w:rsidRPr="0015615B">
              <w:rPr>
                <w:rFonts w:ascii="Times New Roman" w:hAnsi="Times New Roman" w:cs="Times New Roman"/>
                <w:b/>
                <w:sz w:val="24"/>
                <w:szCs w:val="24"/>
              </w:rPr>
              <w:t xml:space="preserve"> –</w:t>
            </w:r>
            <w:r w:rsidR="00C3545B">
              <w:rPr>
                <w:rFonts w:ascii="Times New Roman" w:hAnsi="Times New Roman" w:cs="Times New Roman"/>
                <w:sz w:val="24"/>
                <w:szCs w:val="24"/>
              </w:rPr>
              <w:t xml:space="preserve"> Estado de Goiás – m</w:t>
            </w:r>
            <w:r w:rsidRPr="0015615B">
              <w:rPr>
                <w:rFonts w:ascii="Times New Roman" w:hAnsi="Times New Roman" w:cs="Times New Roman"/>
                <w:sz w:val="24"/>
                <w:szCs w:val="24"/>
              </w:rPr>
              <w:t xml:space="preserve">unicípio de Itapuranga </w:t>
            </w:r>
            <w:r w:rsidR="00A62E4E" w:rsidRPr="0015615B">
              <w:rPr>
                <w:rFonts w:ascii="Times New Roman" w:hAnsi="Times New Roman" w:cs="Times New Roman"/>
                <w:sz w:val="24"/>
                <w:szCs w:val="24"/>
              </w:rPr>
              <w:t>–</w:t>
            </w:r>
            <w:r w:rsidRPr="0015615B">
              <w:rPr>
                <w:rFonts w:ascii="Times New Roman" w:hAnsi="Times New Roman" w:cs="Times New Roman"/>
                <w:sz w:val="24"/>
                <w:szCs w:val="24"/>
              </w:rPr>
              <w:t xml:space="preserve"> </w:t>
            </w:r>
            <w:r w:rsidR="00C3545B">
              <w:rPr>
                <w:rFonts w:ascii="Times New Roman" w:hAnsi="Times New Roman" w:cs="Times New Roman"/>
                <w:sz w:val="24"/>
                <w:szCs w:val="24"/>
              </w:rPr>
              <w:t>efetivo de r</w:t>
            </w:r>
            <w:r w:rsidR="00A62E4E" w:rsidRPr="0015615B">
              <w:rPr>
                <w:rFonts w:ascii="Times New Roman" w:hAnsi="Times New Roman" w:cs="Times New Roman"/>
                <w:sz w:val="24"/>
                <w:szCs w:val="24"/>
              </w:rPr>
              <w:t>ebanho d</w:t>
            </w:r>
            <w:r w:rsidR="00C3545B">
              <w:rPr>
                <w:rFonts w:ascii="Times New Roman" w:hAnsi="Times New Roman" w:cs="Times New Roman"/>
                <w:sz w:val="24"/>
                <w:szCs w:val="24"/>
              </w:rPr>
              <w:t>e vacas ordenhadas por c</w:t>
            </w:r>
            <w:r w:rsidR="00A62E4E" w:rsidRPr="0015615B">
              <w:rPr>
                <w:rFonts w:ascii="Times New Roman" w:hAnsi="Times New Roman" w:cs="Times New Roman"/>
                <w:sz w:val="24"/>
                <w:szCs w:val="24"/>
              </w:rPr>
              <w:t>abeça, do período de 2000 a 2013.</w:t>
            </w:r>
            <w:r w:rsidR="00A62E4E" w:rsidRPr="0015615B">
              <w:rPr>
                <w:rFonts w:ascii="Times New Roman" w:hAnsi="Times New Roman" w:cs="Times New Roman"/>
                <w:b/>
                <w:sz w:val="20"/>
                <w:szCs w:val="20"/>
              </w:rPr>
              <w:t xml:space="preserve"> Fonte:</w:t>
            </w:r>
            <w:r w:rsidR="00D9169B" w:rsidRPr="0015615B">
              <w:rPr>
                <w:rFonts w:ascii="Times New Roman" w:hAnsi="Times New Roman" w:cs="Times New Roman"/>
                <w:sz w:val="20"/>
                <w:szCs w:val="20"/>
              </w:rPr>
              <w:t xml:space="preserve"> IMB</w:t>
            </w:r>
            <w:r w:rsidR="00A62E4E" w:rsidRPr="0015615B">
              <w:rPr>
                <w:rFonts w:ascii="Times New Roman" w:hAnsi="Times New Roman" w:cs="Times New Roman"/>
                <w:sz w:val="20"/>
                <w:szCs w:val="20"/>
              </w:rPr>
              <w:t xml:space="preserve">-2015. </w:t>
            </w:r>
            <w:r w:rsidR="00D9169B" w:rsidRPr="0015615B">
              <w:rPr>
                <w:rFonts w:ascii="Times New Roman" w:hAnsi="Times New Roman" w:cs="Times New Roman"/>
                <w:sz w:val="20"/>
                <w:szCs w:val="20"/>
              </w:rPr>
              <w:t xml:space="preserve"> </w:t>
            </w:r>
            <w:r w:rsidR="00A62E4E" w:rsidRPr="0015615B">
              <w:rPr>
                <w:rFonts w:ascii="Times New Roman" w:hAnsi="Times New Roman" w:cs="Times New Roman"/>
                <w:b/>
                <w:sz w:val="20"/>
                <w:szCs w:val="20"/>
              </w:rPr>
              <w:t>Elaboração:</w:t>
            </w:r>
            <w:r w:rsidR="00484DEA">
              <w:rPr>
                <w:rFonts w:ascii="Times New Roman" w:hAnsi="Times New Roman" w:cs="Times New Roman"/>
                <w:sz w:val="20"/>
                <w:szCs w:val="20"/>
              </w:rPr>
              <w:t xml:space="preserve"> Autor</w:t>
            </w:r>
            <w:r w:rsidR="00A62E4E" w:rsidRPr="0015615B">
              <w:rPr>
                <w:rFonts w:ascii="Times New Roman" w:hAnsi="Times New Roman" w:cs="Times New Roman"/>
                <w:sz w:val="20"/>
                <w:szCs w:val="20"/>
              </w:rPr>
              <w:t>.</w:t>
            </w:r>
          </w:p>
        </w:tc>
      </w:tr>
    </w:tbl>
    <w:p w:rsidR="00707DC6" w:rsidRDefault="00707DC6" w:rsidP="0015615B">
      <w:pPr>
        <w:spacing w:after="0" w:line="240" w:lineRule="auto"/>
        <w:ind w:firstLine="709"/>
        <w:jc w:val="both"/>
        <w:rPr>
          <w:rFonts w:ascii="Times New Roman" w:hAnsi="Times New Roman" w:cs="Times New Roman"/>
          <w:sz w:val="24"/>
          <w:szCs w:val="24"/>
        </w:rPr>
      </w:pPr>
    </w:p>
    <w:p w:rsidR="00707DC6" w:rsidRDefault="00EF2529" w:rsidP="0015615B">
      <w:pPr>
        <w:spacing w:after="0" w:line="240" w:lineRule="auto"/>
        <w:ind w:firstLine="709"/>
        <w:jc w:val="both"/>
        <w:rPr>
          <w:rFonts w:ascii="Times New Roman" w:hAnsi="Times New Roman" w:cs="Times New Roman"/>
          <w:sz w:val="24"/>
          <w:szCs w:val="24"/>
        </w:rPr>
      </w:pPr>
      <w:r w:rsidRPr="0015615B">
        <w:rPr>
          <w:rFonts w:ascii="Times New Roman" w:hAnsi="Times New Roman" w:cs="Times New Roman"/>
          <w:sz w:val="24"/>
          <w:szCs w:val="24"/>
        </w:rPr>
        <w:t xml:space="preserve">Isto porque os dados referentes a outras </w:t>
      </w:r>
      <w:r w:rsidRPr="0015615B">
        <w:rPr>
          <w:rFonts w:ascii="Times New Roman" w:hAnsi="Times New Roman" w:cs="Times New Roman"/>
          <w:i/>
          <w:sz w:val="24"/>
          <w:szCs w:val="24"/>
        </w:rPr>
        <w:t>commodities</w:t>
      </w:r>
      <w:r w:rsidRPr="0015615B">
        <w:rPr>
          <w:rFonts w:ascii="Times New Roman" w:hAnsi="Times New Roman" w:cs="Times New Roman"/>
          <w:sz w:val="24"/>
          <w:szCs w:val="24"/>
        </w:rPr>
        <w:t>, como: café, soja e milho não são representativos. O último, por exemplo, tinha em 2000 uma produção de 19.200 toneladas, diminui até 2006 para 7.700 toneladas, teve oscilações positivas entre 2007 e 2009, variando de 17.600 a 10.560 toneladas respectivamente. Mas a partir de 2010 sofreu com quedas continuas, atingindo 2.880 toneladas em 2013. Ou seja, uma perda de área de 6.000 hectares em 2000 para 800 hectares em 2013.</w:t>
      </w:r>
      <w:r>
        <w:rPr>
          <w:rFonts w:ascii="Times New Roman" w:hAnsi="Times New Roman" w:cs="Times New Roman"/>
          <w:sz w:val="24"/>
          <w:szCs w:val="24"/>
        </w:rPr>
        <w:t xml:space="preserve"> </w:t>
      </w:r>
      <w:r w:rsidR="00707DC6" w:rsidRPr="0015615B">
        <w:rPr>
          <w:rFonts w:ascii="Times New Roman" w:hAnsi="Times New Roman" w:cs="Times New Roman"/>
          <w:sz w:val="24"/>
          <w:szCs w:val="24"/>
        </w:rPr>
        <w:t>Portanto, o território da lavoura temporária do município é monopolizado pela monocultura da cana. Evidentemente que se deve considerar a monocultura das pastagens, no entanto, seu uso é representativo tanto na atividade patronal, quanto na produção camponesa, na primeira é destinada a cr</w:t>
      </w:r>
      <w:r w:rsidR="00F52D52">
        <w:rPr>
          <w:rFonts w:ascii="Times New Roman" w:hAnsi="Times New Roman" w:cs="Times New Roman"/>
          <w:sz w:val="24"/>
          <w:szCs w:val="24"/>
        </w:rPr>
        <w:t>iação extensiva de gado de corte</w:t>
      </w:r>
      <w:r w:rsidR="00707DC6" w:rsidRPr="0015615B">
        <w:rPr>
          <w:rFonts w:ascii="Times New Roman" w:hAnsi="Times New Roman" w:cs="Times New Roman"/>
          <w:sz w:val="24"/>
          <w:szCs w:val="24"/>
        </w:rPr>
        <w:t xml:space="preserve">, enquanto na segunda o uso </w:t>
      </w:r>
      <w:r w:rsidR="00F52D52">
        <w:rPr>
          <w:rFonts w:ascii="Times New Roman" w:hAnsi="Times New Roman" w:cs="Times New Roman"/>
          <w:sz w:val="24"/>
          <w:szCs w:val="24"/>
        </w:rPr>
        <w:t>se verte para o rebanho leiteiro</w:t>
      </w:r>
      <w:r w:rsidR="00707DC6" w:rsidRPr="0015615B">
        <w:rPr>
          <w:rFonts w:ascii="Times New Roman" w:hAnsi="Times New Roman" w:cs="Times New Roman"/>
          <w:sz w:val="24"/>
          <w:szCs w:val="24"/>
        </w:rPr>
        <w:t xml:space="preserve">. Sendo assim, os dados das lavouras temporárias e permanentes evidenciam um comportamento, que salvo algumas exceções, apresenta uma queda de 2000 até o final desta década, principalmente entre 2005 e 2010, exatamente o período de instalação e intensificação dos investimentos da Vale Verde em Itapuranga. </w:t>
      </w:r>
    </w:p>
    <w:p w:rsidR="008D750F" w:rsidRDefault="00D51BC7" w:rsidP="0015615B">
      <w:pPr>
        <w:spacing w:after="0" w:line="240" w:lineRule="auto"/>
        <w:ind w:firstLine="709"/>
        <w:jc w:val="both"/>
        <w:rPr>
          <w:rFonts w:ascii="Times New Roman" w:hAnsi="Times New Roman" w:cs="Times New Roman"/>
          <w:sz w:val="24"/>
          <w:szCs w:val="24"/>
        </w:rPr>
      </w:pPr>
      <w:r w:rsidRPr="0015615B">
        <w:rPr>
          <w:rFonts w:ascii="Times New Roman" w:hAnsi="Times New Roman" w:cs="Times New Roman"/>
          <w:sz w:val="24"/>
          <w:szCs w:val="24"/>
        </w:rPr>
        <w:t>A diminuição da área de produção de cana no</w:t>
      </w:r>
      <w:r w:rsidR="00FF694E" w:rsidRPr="0015615B">
        <w:rPr>
          <w:rFonts w:ascii="Times New Roman" w:hAnsi="Times New Roman" w:cs="Times New Roman"/>
          <w:sz w:val="24"/>
          <w:szCs w:val="24"/>
        </w:rPr>
        <w:t xml:space="preserve"> município</w:t>
      </w:r>
      <w:r w:rsidRPr="0015615B">
        <w:rPr>
          <w:rFonts w:ascii="Times New Roman" w:hAnsi="Times New Roman" w:cs="Times New Roman"/>
          <w:sz w:val="24"/>
          <w:szCs w:val="24"/>
        </w:rPr>
        <w:t xml:space="preserve"> a partir de 2010, com a transferência</w:t>
      </w:r>
      <w:r w:rsidR="00FF694E" w:rsidRPr="0015615B">
        <w:rPr>
          <w:rFonts w:ascii="Times New Roman" w:hAnsi="Times New Roman" w:cs="Times New Roman"/>
          <w:sz w:val="24"/>
          <w:szCs w:val="24"/>
        </w:rPr>
        <w:t xml:space="preserve"> do ben</w:t>
      </w:r>
      <w:r w:rsidRPr="0015615B">
        <w:rPr>
          <w:rFonts w:ascii="Times New Roman" w:hAnsi="Times New Roman" w:cs="Times New Roman"/>
          <w:sz w:val="24"/>
          <w:szCs w:val="24"/>
        </w:rPr>
        <w:t>eficiamento</w:t>
      </w:r>
      <w:r w:rsidR="00FF694E" w:rsidRPr="0015615B">
        <w:rPr>
          <w:rFonts w:ascii="Times New Roman" w:hAnsi="Times New Roman" w:cs="Times New Roman"/>
          <w:sz w:val="24"/>
          <w:szCs w:val="24"/>
        </w:rPr>
        <w:t xml:space="preserve"> para as Unidades industriais de Itapaci e Anicuns, além do fim de contratos de</w:t>
      </w:r>
      <w:r w:rsidRPr="0015615B">
        <w:rPr>
          <w:rFonts w:ascii="Times New Roman" w:hAnsi="Times New Roman" w:cs="Times New Roman"/>
          <w:sz w:val="24"/>
          <w:szCs w:val="24"/>
        </w:rPr>
        <w:t xml:space="preserve"> arrendamento</w:t>
      </w:r>
      <w:r w:rsidR="00F00208" w:rsidRPr="0015615B">
        <w:rPr>
          <w:rFonts w:ascii="Times New Roman" w:hAnsi="Times New Roman" w:cs="Times New Roman"/>
          <w:sz w:val="24"/>
          <w:szCs w:val="24"/>
        </w:rPr>
        <w:t xml:space="preserve">, </w:t>
      </w:r>
      <w:r w:rsidR="00F52D52">
        <w:rPr>
          <w:rFonts w:ascii="Times New Roman" w:hAnsi="Times New Roman" w:cs="Times New Roman"/>
          <w:sz w:val="24"/>
          <w:szCs w:val="24"/>
        </w:rPr>
        <w:t xml:space="preserve">ou a retomada de terras que tinham contínuos débitos não pagos pela usina, </w:t>
      </w:r>
      <w:r w:rsidR="00F00208" w:rsidRPr="0015615B">
        <w:rPr>
          <w:rFonts w:ascii="Times New Roman" w:hAnsi="Times New Roman" w:cs="Times New Roman"/>
          <w:sz w:val="24"/>
          <w:szCs w:val="24"/>
        </w:rPr>
        <w:t xml:space="preserve">articulado com os </w:t>
      </w:r>
      <w:r w:rsidR="00FF694E" w:rsidRPr="0015615B">
        <w:rPr>
          <w:rFonts w:ascii="Times New Roman" w:hAnsi="Times New Roman" w:cs="Times New Roman"/>
          <w:sz w:val="24"/>
          <w:szCs w:val="24"/>
        </w:rPr>
        <w:t>programas vinculados a COOPERAF</w:t>
      </w:r>
      <w:r w:rsidR="00C13108" w:rsidRPr="0015615B">
        <w:rPr>
          <w:rFonts w:ascii="Times New Roman" w:hAnsi="Times New Roman" w:cs="Times New Roman"/>
          <w:sz w:val="24"/>
          <w:szCs w:val="24"/>
        </w:rPr>
        <w:t>I</w:t>
      </w:r>
      <w:r w:rsidR="00FF694E" w:rsidRPr="0015615B">
        <w:rPr>
          <w:rFonts w:ascii="Times New Roman" w:hAnsi="Times New Roman" w:cs="Times New Roman"/>
          <w:sz w:val="24"/>
          <w:szCs w:val="24"/>
        </w:rPr>
        <w:t>, principalmente de compra institucional e</w:t>
      </w:r>
      <w:r w:rsidR="00F00208" w:rsidRPr="0015615B">
        <w:rPr>
          <w:rFonts w:ascii="Times New Roman" w:hAnsi="Times New Roman" w:cs="Times New Roman"/>
          <w:sz w:val="24"/>
          <w:szCs w:val="24"/>
        </w:rPr>
        <w:t xml:space="preserve"> a existência das treze associações e</w:t>
      </w:r>
      <w:r w:rsidRPr="0015615B">
        <w:rPr>
          <w:rFonts w:ascii="Times New Roman" w:hAnsi="Times New Roman" w:cs="Times New Roman"/>
          <w:sz w:val="24"/>
          <w:szCs w:val="24"/>
        </w:rPr>
        <w:t xml:space="preserve">, por conseguinte, de </w:t>
      </w:r>
      <w:r w:rsidR="00FF694E" w:rsidRPr="0015615B">
        <w:rPr>
          <w:rFonts w:ascii="Times New Roman" w:hAnsi="Times New Roman" w:cs="Times New Roman"/>
          <w:sz w:val="24"/>
          <w:szCs w:val="24"/>
        </w:rPr>
        <w:t xml:space="preserve">duas </w:t>
      </w:r>
      <w:r w:rsidR="00F00208" w:rsidRPr="0015615B">
        <w:rPr>
          <w:rFonts w:ascii="Times New Roman" w:hAnsi="Times New Roman" w:cs="Times New Roman"/>
          <w:sz w:val="24"/>
          <w:szCs w:val="24"/>
        </w:rPr>
        <w:t>Feira</w:t>
      </w:r>
      <w:r w:rsidR="00FF694E" w:rsidRPr="0015615B">
        <w:rPr>
          <w:rFonts w:ascii="Times New Roman" w:hAnsi="Times New Roman" w:cs="Times New Roman"/>
          <w:sz w:val="24"/>
          <w:szCs w:val="24"/>
        </w:rPr>
        <w:t>s</w:t>
      </w:r>
      <w:r w:rsidRPr="0015615B">
        <w:rPr>
          <w:rFonts w:ascii="Times New Roman" w:hAnsi="Times New Roman" w:cs="Times New Roman"/>
          <w:sz w:val="24"/>
          <w:szCs w:val="24"/>
        </w:rPr>
        <w:t xml:space="preserve"> livres representou relativa recuperação da produção camponesa. Mas o fato é que, ao contrário do</w:t>
      </w:r>
      <w:r w:rsidR="00997923" w:rsidRPr="0015615B">
        <w:rPr>
          <w:rFonts w:ascii="Times New Roman" w:hAnsi="Times New Roman" w:cs="Times New Roman"/>
          <w:sz w:val="24"/>
          <w:szCs w:val="24"/>
        </w:rPr>
        <w:t xml:space="preserve"> que destacam Alves &amp; </w:t>
      </w:r>
      <w:proofErr w:type="spellStart"/>
      <w:r w:rsidR="00997923" w:rsidRPr="0015615B">
        <w:rPr>
          <w:rFonts w:ascii="Times New Roman" w:hAnsi="Times New Roman" w:cs="Times New Roman"/>
          <w:sz w:val="24"/>
          <w:szCs w:val="24"/>
        </w:rPr>
        <w:t>Buainain</w:t>
      </w:r>
      <w:proofErr w:type="spellEnd"/>
      <w:r w:rsidR="00997923" w:rsidRPr="0015615B">
        <w:rPr>
          <w:rFonts w:ascii="Times New Roman" w:hAnsi="Times New Roman" w:cs="Times New Roman"/>
          <w:sz w:val="24"/>
          <w:szCs w:val="24"/>
        </w:rPr>
        <w:t xml:space="preserve"> et. </w:t>
      </w:r>
      <w:proofErr w:type="gramStart"/>
      <w:r w:rsidR="00997923" w:rsidRPr="0015615B">
        <w:rPr>
          <w:rFonts w:ascii="Times New Roman" w:hAnsi="Times New Roman" w:cs="Times New Roman"/>
          <w:sz w:val="24"/>
          <w:szCs w:val="24"/>
        </w:rPr>
        <w:t>al</w:t>
      </w:r>
      <w:proofErr w:type="gramEnd"/>
      <w:r w:rsidR="00997923" w:rsidRPr="0015615B">
        <w:rPr>
          <w:rFonts w:ascii="Times New Roman" w:hAnsi="Times New Roman" w:cs="Times New Roman"/>
          <w:sz w:val="24"/>
          <w:szCs w:val="24"/>
        </w:rPr>
        <w:t xml:space="preserve"> (2013)</w:t>
      </w:r>
      <w:r w:rsidRPr="0015615B">
        <w:rPr>
          <w:rFonts w:ascii="Times New Roman" w:hAnsi="Times New Roman" w:cs="Times New Roman"/>
          <w:sz w:val="24"/>
          <w:szCs w:val="24"/>
        </w:rPr>
        <w:t>, o Estado não saiu a francesa do agronegócio</w:t>
      </w:r>
      <w:r w:rsidR="00997923" w:rsidRPr="0015615B">
        <w:rPr>
          <w:rFonts w:ascii="Times New Roman" w:hAnsi="Times New Roman" w:cs="Times New Roman"/>
          <w:sz w:val="24"/>
          <w:szCs w:val="24"/>
        </w:rPr>
        <w:t xml:space="preserve">. </w:t>
      </w:r>
      <w:r w:rsidR="00F00208" w:rsidRPr="0015615B">
        <w:rPr>
          <w:rFonts w:ascii="Times New Roman" w:hAnsi="Times New Roman" w:cs="Times New Roman"/>
          <w:sz w:val="24"/>
          <w:szCs w:val="24"/>
        </w:rPr>
        <w:t xml:space="preserve">Os </w:t>
      </w:r>
      <w:r w:rsidR="00997923" w:rsidRPr="0015615B">
        <w:rPr>
          <w:rFonts w:ascii="Times New Roman" w:hAnsi="Times New Roman" w:cs="Times New Roman"/>
          <w:sz w:val="24"/>
          <w:szCs w:val="24"/>
        </w:rPr>
        <w:t>dados do MAPA (2015)</w:t>
      </w:r>
      <w:r w:rsidRPr="0015615B">
        <w:rPr>
          <w:rFonts w:ascii="Times New Roman" w:hAnsi="Times New Roman" w:cs="Times New Roman"/>
          <w:sz w:val="24"/>
          <w:szCs w:val="24"/>
        </w:rPr>
        <w:t xml:space="preserve"> confirmam isto, pois</w:t>
      </w:r>
      <w:r w:rsidR="005E665D" w:rsidRPr="0015615B">
        <w:rPr>
          <w:rFonts w:ascii="Times New Roman" w:hAnsi="Times New Roman" w:cs="Times New Roman"/>
          <w:sz w:val="24"/>
          <w:szCs w:val="24"/>
        </w:rPr>
        <w:t xml:space="preserve"> </w:t>
      </w:r>
      <w:r w:rsidR="00997923" w:rsidRPr="0015615B">
        <w:rPr>
          <w:rFonts w:ascii="Times New Roman" w:hAnsi="Times New Roman" w:cs="Times New Roman"/>
          <w:sz w:val="24"/>
          <w:szCs w:val="24"/>
        </w:rPr>
        <w:t xml:space="preserve">para </w:t>
      </w:r>
      <w:proofErr w:type="gramStart"/>
      <w:r w:rsidR="00997923" w:rsidRPr="0015615B">
        <w:rPr>
          <w:rFonts w:ascii="Times New Roman" w:hAnsi="Times New Roman" w:cs="Times New Roman"/>
          <w:sz w:val="24"/>
          <w:szCs w:val="24"/>
        </w:rPr>
        <w:t>o Plano Safra</w:t>
      </w:r>
      <w:proofErr w:type="gramEnd"/>
      <w:r w:rsidR="00997923" w:rsidRPr="0015615B">
        <w:rPr>
          <w:rFonts w:ascii="Times New Roman" w:hAnsi="Times New Roman" w:cs="Times New Roman"/>
          <w:sz w:val="24"/>
          <w:szCs w:val="24"/>
        </w:rPr>
        <w:t xml:space="preserve"> 2014/20</w:t>
      </w:r>
      <w:r w:rsidR="005E665D" w:rsidRPr="0015615B">
        <w:rPr>
          <w:rFonts w:ascii="Times New Roman" w:hAnsi="Times New Roman" w:cs="Times New Roman"/>
          <w:sz w:val="24"/>
          <w:szCs w:val="24"/>
        </w:rPr>
        <w:t>15 houve</w:t>
      </w:r>
      <w:r w:rsidR="00F00208" w:rsidRPr="0015615B">
        <w:rPr>
          <w:rFonts w:ascii="Times New Roman" w:hAnsi="Times New Roman" w:cs="Times New Roman"/>
          <w:sz w:val="24"/>
          <w:szCs w:val="24"/>
        </w:rPr>
        <w:t xml:space="preserve"> destinação de</w:t>
      </w:r>
      <w:r w:rsidR="00997923" w:rsidRPr="0015615B">
        <w:rPr>
          <w:rFonts w:ascii="Times New Roman" w:hAnsi="Times New Roman" w:cs="Times New Roman"/>
          <w:sz w:val="24"/>
          <w:szCs w:val="24"/>
        </w:rPr>
        <w:t xml:space="preserve"> R$ </w:t>
      </w:r>
      <w:r w:rsidR="005D6A4C" w:rsidRPr="0015615B">
        <w:rPr>
          <w:rFonts w:ascii="Times New Roman" w:hAnsi="Times New Roman" w:cs="Times New Roman"/>
          <w:sz w:val="24"/>
          <w:szCs w:val="24"/>
        </w:rPr>
        <w:t xml:space="preserve">156,1 </w:t>
      </w:r>
      <w:r w:rsidR="00F00208" w:rsidRPr="0015615B">
        <w:rPr>
          <w:rFonts w:ascii="Times New Roman" w:hAnsi="Times New Roman" w:cs="Times New Roman"/>
          <w:sz w:val="24"/>
          <w:szCs w:val="24"/>
        </w:rPr>
        <w:t>bilhões em créditos para a</w:t>
      </w:r>
      <w:r w:rsidR="00997923" w:rsidRPr="0015615B">
        <w:rPr>
          <w:rFonts w:ascii="Times New Roman" w:hAnsi="Times New Roman" w:cs="Times New Roman"/>
          <w:sz w:val="24"/>
          <w:szCs w:val="24"/>
        </w:rPr>
        <w:t xml:space="preserve"> agricultura empresarial, sendo que no ano anterior haviam sido di</w:t>
      </w:r>
      <w:r w:rsidR="00F00208" w:rsidRPr="0015615B">
        <w:rPr>
          <w:rFonts w:ascii="Times New Roman" w:hAnsi="Times New Roman" w:cs="Times New Roman"/>
          <w:sz w:val="24"/>
          <w:szCs w:val="24"/>
        </w:rPr>
        <w:t>recionados R$ 136 bilhões ao</w:t>
      </w:r>
      <w:r w:rsidR="00997923" w:rsidRPr="0015615B">
        <w:rPr>
          <w:rFonts w:ascii="Times New Roman" w:hAnsi="Times New Roman" w:cs="Times New Roman"/>
          <w:sz w:val="24"/>
          <w:szCs w:val="24"/>
        </w:rPr>
        <w:t xml:space="preserve"> </w:t>
      </w:r>
      <w:r w:rsidR="005D6A4C" w:rsidRPr="0015615B">
        <w:rPr>
          <w:rFonts w:ascii="Times New Roman" w:hAnsi="Times New Roman" w:cs="Times New Roman"/>
          <w:sz w:val="24"/>
          <w:szCs w:val="24"/>
        </w:rPr>
        <w:t>mesmo setor</w:t>
      </w:r>
      <w:r w:rsidR="005E665D" w:rsidRPr="0015615B">
        <w:rPr>
          <w:rFonts w:ascii="Times New Roman" w:hAnsi="Times New Roman" w:cs="Times New Roman"/>
          <w:sz w:val="24"/>
          <w:szCs w:val="24"/>
        </w:rPr>
        <w:t>. Enquanto ist</w:t>
      </w:r>
      <w:r w:rsidR="00997923" w:rsidRPr="0015615B">
        <w:rPr>
          <w:rFonts w:ascii="Times New Roman" w:hAnsi="Times New Roman" w:cs="Times New Roman"/>
          <w:sz w:val="24"/>
          <w:szCs w:val="24"/>
        </w:rPr>
        <w:t>o</w:t>
      </w:r>
      <w:r w:rsidR="005E665D" w:rsidRPr="0015615B">
        <w:rPr>
          <w:rFonts w:ascii="Times New Roman" w:hAnsi="Times New Roman" w:cs="Times New Roman"/>
          <w:sz w:val="24"/>
          <w:szCs w:val="24"/>
        </w:rPr>
        <w:t>,</w:t>
      </w:r>
      <w:r w:rsidR="00997923" w:rsidRPr="0015615B">
        <w:rPr>
          <w:rFonts w:ascii="Times New Roman" w:hAnsi="Times New Roman" w:cs="Times New Roman"/>
          <w:sz w:val="24"/>
          <w:szCs w:val="24"/>
        </w:rPr>
        <w:t xml:space="preserve"> para a agricultura familiar </w:t>
      </w:r>
      <w:r w:rsidR="00F00208" w:rsidRPr="0015615B">
        <w:rPr>
          <w:rFonts w:ascii="Times New Roman" w:hAnsi="Times New Roman" w:cs="Times New Roman"/>
          <w:sz w:val="24"/>
          <w:szCs w:val="24"/>
        </w:rPr>
        <w:t>o plano Safra 2014/2015 garantiu</w:t>
      </w:r>
      <w:r w:rsidR="00997923" w:rsidRPr="0015615B">
        <w:rPr>
          <w:rFonts w:ascii="Times New Roman" w:hAnsi="Times New Roman" w:cs="Times New Roman"/>
          <w:sz w:val="24"/>
          <w:szCs w:val="24"/>
        </w:rPr>
        <w:t xml:space="preserve"> somente R$ 24,1 bilhões.</w:t>
      </w:r>
      <w:r w:rsidR="008D750F" w:rsidRPr="0015615B">
        <w:rPr>
          <w:rFonts w:ascii="Times New Roman" w:hAnsi="Times New Roman" w:cs="Times New Roman"/>
          <w:sz w:val="24"/>
          <w:szCs w:val="24"/>
        </w:rPr>
        <w:t xml:space="preserve"> </w:t>
      </w:r>
    </w:p>
    <w:p w:rsidR="0029175E" w:rsidRDefault="0029175E" w:rsidP="0015615B">
      <w:pPr>
        <w:spacing w:after="0" w:line="240" w:lineRule="auto"/>
        <w:ind w:firstLine="709"/>
        <w:jc w:val="both"/>
        <w:rPr>
          <w:rFonts w:ascii="Times New Roman" w:hAnsi="Times New Roman" w:cs="Times New Roman"/>
          <w:sz w:val="24"/>
          <w:szCs w:val="24"/>
        </w:rPr>
      </w:pPr>
    </w:p>
    <w:p w:rsidR="0029175E" w:rsidRPr="0015615B" w:rsidRDefault="0029175E" w:rsidP="0015615B">
      <w:pPr>
        <w:spacing w:after="0" w:line="240" w:lineRule="auto"/>
        <w:ind w:firstLine="709"/>
        <w:jc w:val="both"/>
        <w:rPr>
          <w:rFonts w:ascii="Times New Roman" w:hAnsi="Times New Roman" w:cs="Times New Roman"/>
          <w:sz w:val="24"/>
          <w:szCs w:val="24"/>
        </w:rPr>
      </w:pPr>
    </w:p>
    <w:p w:rsidR="0013595A" w:rsidRPr="0015615B" w:rsidRDefault="0013595A" w:rsidP="0015615B">
      <w:pPr>
        <w:spacing w:after="0" w:line="240" w:lineRule="auto"/>
        <w:jc w:val="both"/>
        <w:rPr>
          <w:rFonts w:ascii="Times New Roman" w:hAnsi="Times New Roman" w:cs="Times New Roman"/>
          <w:b/>
          <w:sz w:val="24"/>
          <w:szCs w:val="24"/>
        </w:rPr>
      </w:pPr>
      <w:r w:rsidRPr="0015615B">
        <w:rPr>
          <w:rFonts w:ascii="Times New Roman" w:hAnsi="Times New Roman" w:cs="Times New Roman"/>
          <w:b/>
          <w:sz w:val="24"/>
          <w:szCs w:val="24"/>
        </w:rPr>
        <w:t>Considerações finais</w:t>
      </w:r>
    </w:p>
    <w:p w:rsidR="00363476" w:rsidRPr="0015615B" w:rsidRDefault="00363476" w:rsidP="0015615B">
      <w:pPr>
        <w:spacing w:after="0" w:line="240" w:lineRule="auto"/>
        <w:jc w:val="both"/>
        <w:rPr>
          <w:rFonts w:ascii="Times New Roman" w:hAnsi="Times New Roman" w:cs="Times New Roman"/>
          <w:b/>
          <w:sz w:val="24"/>
          <w:szCs w:val="24"/>
        </w:rPr>
      </w:pPr>
    </w:p>
    <w:p w:rsidR="00A3793C" w:rsidRDefault="00D51BC7" w:rsidP="0015615B">
      <w:pPr>
        <w:spacing w:after="0" w:line="240" w:lineRule="auto"/>
        <w:jc w:val="both"/>
        <w:rPr>
          <w:rFonts w:ascii="Times New Roman" w:hAnsi="Times New Roman" w:cs="Times New Roman"/>
          <w:i/>
          <w:sz w:val="24"/>
          <w:szCs w:val="24"/>
        </w:rPr>
      </w:pPr>
      <w:r w:rsidRPr="0015615B">
        <w:rPr>
          <w:rFonts w:ascii="Times New Roman" w:hAnsi="Times New Roman" w:cs="Times New Roman"/>
          <w:b/>
          <w:sz w:val="24"/>
          <w:szCs w:val="24"/>
        </w:rPr>
        <w:tab/>
      </w:r>
      <w:r w:rsidR="00D64CDA" w:rsidRPr="0015615B">
        <w:rPr>
          <w:rFonts w:ascii="Times New Roman" w:hAnsi="Times New Roman" w:cs="Times New Roman"/>
          <w:sz w:val="24"/>
          <w:szCs w:val="24"/>
        </w:rPr>
        <w:t xml:space="preserve">Houve </w:t>
      </w:r>
      <w:r w:rsidR="008826A7" w:rsidRPr="0015615B">
        <w:rPr>
          <w:rFonts w:ascii="Times New Roman" w:hAnsi="Times New Roman" w:cs="Times New Roman"/>
          <w:sz w:val="24"/>
          <w:szCs w:val="24"/>
        </w:rPr>
        <w:t xml:space="preserve">para o período analisado </w:t>
      </w:r>
      <w:r w:rsidR="00D64CDA" w:rsidRPr="0015615B">
        <w:rPr>
          <w:rFonts w:ascii="Times New Roman" w:hAnsi="Times New Roman" w:cs="Times New Roman"/>
          <w:sz w:val="24"/>
          <w:szCs w:val="24"/>
        </w:rPr>
        <w:t>um</w:t>
      </w:r>
      <w:r w:rsidRPr="0015615B">
        <w:rPr>
          <w:rFonts w:ascii="Times New Roman" w:hAnsi="Times New Roman" w:cs="Times New Roman"/>
          <w:sz w:val="24"/>
          <w:szCs w:val="24"/>
        </w:rPr>
        <w:t xml:space="preserve">a ação do capital </w:t>
      </w:r>
      <w:r w:rsidR="00885EC8" w:rsidRPr="0015615B">
        <w:rPr>
          <w:rFonts w:ascii="Times New Roman" w:hAnsi="Times New Roman" w:cs="Times New Roman"/>
          <w:sz w:val="24"/>
          <w:szCs w:val="24"/>
        </w:rPr>
        <w:t xml:space="preserve">hegemônico </w:t>
      </w:r>
      <w:r w:rsidRPr="0015615B">
        <w:rPr>
          <w:rFonts w:ascii="Times New Roman" w:hAnsi="Times New Roman" w:cs="Times New Roman"/>
          <w:sz w:val="24"/>
          <w:szCs w:val="24"/>
        </w:rPr>
        <w:t>sobre o território de Ita</w:t>
      </w:r>
      <w:r w:rsidR="00885EC8" w:rsidRPr="0015615B">
        <w:rPr>
          <w:rFonts w:ascii="Times New Roman" w:hAnsi="Times New Roman" w:cs="Times New Roman"/>
          <w:sz w:val="24"/>
          <w:szCs w:val="24"/>
        </w:rPr>
        <w:t>puranga, que determi</w:t>
      </w:r>
      <w:r w:rsidR="00D64CDA" w:rsidRPr="0015615B">
        <w:rPr>
          <w:rFonts w:ascii="Times New Roman" w:hAnsi="Times New Roman" w:cs="Times New Roman"/>
          <w:sz w:val="24"/>
          <w:szCs w:val="24"/>
        </w:rPr>
        <w:t>nou</w:t>
      </w:r>
      <w:r w:rsidR="00885EC8" w:rsidRPr="0015615B">
        <w:rPr>
          <w:rFonts w:ascii="Times New Roman" w:hAnsi="Times New Roman" w:cs="Times New Roman"/>
          <w:sz w:val="24"/>
          <w:szCs w:val="24"/>
        </w:rPr>
        <w:t xml:space="preserve"> seu domínio e apropriação</w:t>
      </w:r>
      <w:r w:rsidR="00A3793C">
        <w:rPr>
          <w:rFonts w:ascii="Times New Roman" w:hAnsi="Times New Roman" w:cs="Times New Roman"/>
          <w:sz w:val="24"/>
          <w:szCs w:val="24"/>
        </w:rPr>
        <w:t xml:space="preserve"> pelo agronegócio</w:t>
      </w:r>
      <w:r w:rsidRPr="0015615B">
        <w:rPr>
          <w:rFonts w:ascii="Times New Roman" w:hAnsi="Times New Roman" w:cs="Times New Roman"/>
          <w:sz w:val="24"/>
          <w:szCs w:val="24"/>
        </w:rPr>
        <w:t xml:space="preserve">. </w:t>
      </w:r>
      <w:r w:rsidR="00885EC8" w:rsidRPr="0015615B">
        <w:rPr>
          <w:rFonts w:ascii="Times New Roman" w:hAnsi="Times New Roman" w:cs="Times New Roman"/>
          <w:sz w:val="24"/>
          <w:szCs w:val="24"/>
        </w:rPr>
        <w:t>E</w:t>
      </w:r>
      <w:r w:rsidR="00D64CDA" w:rsidRPr="0015615B">
        <w:rPr>
          <w:rFonts w:ascii="Times New Roman" w:hAnsi="Times New Roman" w:cs="Times New Roman"/>
          <w:sz w:val="24"/>
          <w:szCs w:val="24"/>
        </w:rPr>
        <w:t>ste uso contou</w:t>
      </w:r>
      <w:r w:rsidR="00885EC8" w:rsidRPr="0015615B">
        <w:rPr>
          <w:rFonts w:ascii="Times New Roman" w:hAnsi="Times New Roman" w:cs="Times New Roman"/>
          <w:sz w:val="24"/>
          <w:szCs w:val="24"/>
        </w:rPr>
        <w:t xml:space="preserve"> com pesados investimentos do </w:t>
      </w:r>
      <w:r w:rsidR="007D0A98" w:rsidRPr="0015615B">
        <w:rPr>
          <w:rFonts w:ascii="Times New Roman" w:hAnsi="Times New Roman" w:cs="Times New Roman"/>
          <w:sz w:val="24"/>
          <w:szCs w:val="24"/>
        </w:rPr>
        <w:t>Estado, o que</w:t>
      </w:r>
      <w:r w:rsidR="00D64CDA" w:rsidRPr="0015615B">
        <w:rPr>
          <w:rFonts w:ascii="Times New Roman" w:hAnsi="Times New Roman" w:cs="Times New Roman"/>
          <w:sz w:val="24"/>
          <w:szCs w:val="24"/>
        </w:rPr>
        <w:t xml:space="preserve"> acarretou</w:t>
      </w:r>
      <w:r w:rsidR="00885EC8" w:rsidRPr="0015615B">
        <w:rPr>
          <w:rFonts w:ascii="Times New Roman" w:hAnsi="Times New Roman" w:cs="Times New Roman"/>
          <w:sz w:val="24"/>
          <w:szCs w:val="24"/>
        </w:rPr>
        <w:t xml:space="preserve"> na monopolização do t</w:t>
      </w:r>
      <w:r w:rsidR="007D0A98" w:rsidRPr="0015615B">
        <w:rPr>
          <w:rFonts w:ascii="Times New Roman" w:hAnsi="Times New Roman" w:cs="Times New Roman"/>
          <w:sz w:val="24"/>
          <w:szCs w:val="24"/>
        </w:rPr>
        <w:t>erritório camponês</w:t>
      </w:r>
      <w:r w:rsidR="00885EC8" w:rsidRPr="0015615B">
        <w:rPr>
          <w:rFonts w:ascii="Times New Roman" w:hAnsi="Times New Roman" w:cs="Times New Roman"/>
          <w:sz w:val="24"/>
          <w:szCs w:val="24"/>
        </w:rPr>
        <w:t xml:space="preserve">, com a expansão dos arrendamentos. No entanto, </w:t>
      </w:r>
      <w:r w:rsidR="00D64CDA" w:rsidRPr="0015615B">
        <w:rPr>
          <w:rFonts w:ascii="Times New Roman" w:hAnsi="Times New Roman" w:cs="Times New Roman"/>
          <w:sz w:val="24"/>
          <w:szCs w:val="24"/>
        </w:rPr>
        <w:t xml:space="preserve">está ação não representou a extinção do campesinato, pois resistiram articulados nas suas organizações, </w:t>
      </w:r>
      <w:r w:rsidR="007D0A98" w:rsidRPr="0015615B">
        <w:rPr>
          <w:rFonts w:ascii="Times New Roman" w:hAnsi="Times New Roman" w:cs="Times New Roman"/>
          <w:sz w:val="24"/>
          <w:szCs w:val="24"/>
        </w:rPr>
        <w:t>que possibilitaram o acesso</w:t>
      </w:r>
      <w:r w:rsidR="00D64CDA" w:rsidRPr="0015615B">
        <w:rPr>
          <w:rFonts w:ascii="Times New Roman" w:hAnsi="Times New Roman" w:cs="Times New Roman"/>
          <w:sz w:val="24"/>
          <w:szCs w:val="24"/>
        </w:rPr>
        <w:t xml:space="preserve"> </w:t>
      </w:r>
      <w:r w:rsidR="00934679" w:rsidRPr="0015615B">
        <w:rPr>
          <w:rFonts w:ascii="Times New Roman" w:hAnsi="Times New Roman" w:cs="Times New Roman"/>
          <w:sz w:val="24"/>
          <w:szCs w:val="24"/>
        </w:rPr>
        <w:t xml:space="preserve">a políticas públicas, por meio de </w:t>
      </w:r>
      <w:r w:rsidR="00D64CDA" w:rsidRPr="0015615B">
        <w:rPr>
          <w:rFonts w:ascii="Times New Roman" w:hAnsi="Times New Roman" w:cs="Times New Roman"/>
          <w:sz w:val="24"/>
          <w:szCs w:val="24"/>
        </w:rPr>
        <w:t>ca</w:t>
      </w:r>
      <w:r w:rsidR="00934679" w:rsidRPr="0015615B">
        <w:rPr>
          <w:rFonts w:ascii="Times New Roman" w:hAnsi="Times New Roman" w:cs="Times New Roman"/>
          <w:sz w:val="24"/>
          <w:szCs w:val="24"/>
        </w:rPr>
        <w:t>nais de comercialização direta, como</w:t>
      </w:r>
      <w:r w:rsidR="00D64CDA" w:rsidRPr="0015615B">
        <w:rPr>
          <w:rFonts w:ascii="Times New Roman" w:hAnsi="Times New Roman" w:cs="Times New Roman"/>
          <w:sz w:val="24"/>
          <w:szCs w:val="24"/>
        </w:rPr>
        <w:t xml:space="preserve"> das compras institucionais</w:t>
      </w:r>
      <w:r w:rsidR="00934679" w:rsidRPr="0015615B">
        <w:rPr>
          <w:rFonts w:ascii="Times New Roman" w:hAnsi="Times New Roman" w:cs="Times New Roman"/>
          <w:sz w:val="24"/>
          <w:szCs w:val="24"/>
        </w:rPr>
        <w:t>, além das feiras livres</w:t>
      </w:r>
      <w:r w:rsidR="00D64CDA" w:rsidRPr="0015615B">
        <w:rPr>
          <w:rFonts w:ascii="Times New Roman" w:hAnsi="Times New Roman" w:cs="Times New Roman"/>
          <w:sz w:val="24"/>
          <w:szCs w:val="24"/>
        </w:rPr>
        <w:t xml:space="preserve"> e da comercialização de porta em porta, com</w:t>
      </w:r>
      <w:r w:rsidR="007D0A98" w:rsidRPr="0015615B">
        <w:rPr>
          <w:rFonts w:ascii="Times New Roman" w:hAnsi="Times New Roman" w:cs="Times New Roman"/>
          <w:sz w:val="24"/>
          <w:szCs w:val="24"/>
        </w:rPr>
        <w:t xml:space="preserve">o se observa com </w:t>
      </w:r>
      <w:r w:rsidR="00D64CDA" w:rsidRPr="0015615B">
        <w:rPr>
          <w:rFonts w:ascii="Times New Roman" w:hAnsi="Times New Roman" w:cs="Times New Roman"/>
          <w:sz w:val="24"/>
          <w:szCs w:val="24"/>
        </w:rPr>
        <w:t>o leite</w:t>
      </w:r>
      <w:r w:rsidR="007D0A98" w:rsidRPr="0015615B">
        <w:rPr>
          <w:rFonts w:ascii="Times New Roman" w:hAnsi="Times New Roman" w:cs="Times New Roman"/>
          <w:sz w:val="24"/>
          <w:szCs w:val="24"/>
        </w:rPr>
        <w:t>,</w:t>
      </w:r>
      <w:r w:rsidR="00D64CDA" w:rsidRPr="0015615B">
        <w:rPr>
          <w:rFonts w:ascii="Times New Roman" w:hAnsi="Times New Roman" w:cs="Times New Roman"/>
          <w:sz w:val="24"/>
          <w:szCs w:val="24"/>
        </w:rPr>
        <w:t xml:space="preserve"> vendido</w:t>
      </w:r>
      <w:r w:rsidR="00D64CDA" w:rsidRPr="0015615B">
        <w:rPr>
          <w:rFonts w:ascii="Times New Roman" w:hAnsi="Times New Roman" w:cs="Times New Roman"/>
          <w:i/>
          <w:sz w:val="24"/>
          <w:szCs w:val="24"/>
        </w:rPr>
        <w:t xml:space="preserve"> in natura </w:t>
      </w:r>
      <w:r w:rsidR="007D0A98" w:rsidRPr="0015615B">
        <w:rPr>
          <w:rFonts w:ascii="Times New Roman" w:hAnsi="Times New Roman" w:cs="Times New Roman"/>
          <w:sz w:val="24"/>
          <w:szCs w:val="24"/>
        </w:rPr>
        <w:t>no centro urbano do município</w:t>
      </w:r>
      <w:r w:rsidR="00D64CDA" w:rsidRPr="0015615B">
        <w:rPr>
          <w:rFonts w:ascii="Times New Roman" w:hAnsi="Times New Roman" w:cs="Times New Roman"/>
          <w:i/>
          <w:sz w:val="24"/>
          <w:szCs w:val="24"/>
        </w:rPr>
        <w:t>.</w:t>
      </w:r>
    </w:p>
    <w:p w:rsidR="0084655C" w:rsidRDefault="007D0A98" w:rsidP="0029175E">
      <w:pPr>
        <w:spacing w:after="0" w:line="240" w:lineRule="auto"/>
        <w:jc w:val="both"/>
        <w:rPr>
          <w:rFonts w:ascii="Times New Roman" w:hAnsi="Times New Roman" w:cs="Times New Roman"/>
          <w:sz w:val="24"/>
          <w:szCs w:val="24"/>
        </w:rPr>
      </w:pPr>
      <w:r w:rsidRPr="0015615B">
        <w:rPr>
          <w:rFonts w:ascii="Times New Roman" w:hAnsi="Times New Roman" w:cs="Times New Roman"/>
          <w:sz w:val="24"/>
          <w:szCs w:val="24"/>
        </w:rPr>
        <w:t xml:space="preserve"> </w:t>
      </w:r>
      <w:r w:rsidR="00A3793C">
        <w:rPr>
          <w:rFonts w:ascii="Times New Roman" w:hAnsi="Times New Roman" w:cs="Times New Roman"/>
          <w:sz w:val="24"/>
          <w:szCs w:val="24"/>
        </w:rPr>
        <w:tab/>
        <w:t>Ademais</w:t>
      </w:r>
      <w:r w:rsidRPr="0015615B">
        <w:rPr>
          <w:rFonts w:ascii="Times New Roman" w:hAnsi="Times New Roman" w:cs="Times New Roman"/>
          <w:sz w:val="24"/>
          <w:szCs w:val="24"/>
        </w:rPr>
        <w:t>, a pesquisa de campo demonstrou que a produção camponesa no período foi maior do que aquela retratada pelos órgãos oficiais, já que muitas mercadorias comercializadas não</w:t>
      </w:r>
      <w:r w:rsidR="00F12A99" w:rsidRPr="0015615B">
        <w:rPr>
          <w:rFonts w:ascii="Times New Roman" w:hAnsi="Times New Roman" w:cs="Times New Roman"/>
          <w:sz w:val="24"/>
          <w:szCs w:val="24"/>
        </w:rPr>
        <w:t xml:space="preserve"> aparecem nos </w:t>
      </w:r>
      <w:r w:rsidRPr="0015615B">
        <w:rPr>
          <w:rFonts w:ascii="Times New Roman" w:hAnsi="Times New Roman" w:cs="Times New Roman"/>
          <w:sz w:val="24"/>
          <w:szCs w:val="24"/>
        </w:rPr>
        <w:t>dados estatísticos</w:t>
      </w:r>
      <w:r w:rsidR="00A3793C">
        <w:rPr>
          <w:rFonts w:ascii="Times New Roman" w:hAnsi="Times New Roman" w:cs="Times New Roman"/>
          <w:sz w:val="24"/>
          <w:szCs w:val="24"/>
        </w:rPr>
        <w:t xml:space="preserve"> destas instituições</w:t>
      </w:r>
      <w:r w:rsidRPr="0015615B">
        <w:rPr>
          <w:rFonts w:ascii="Times New Roman" w:hAnsi="Times New Roman" w:cs="Times New Roman"/>
          <w:sz w:val="24"/>
          <w:szCs w:val="24"/>
        </w:rPr>
        <w:t>.</w:t>
      </w:r>
      <w:r w:rsidR="008826A7" w:rsidRPr="0015615B">
        <w:rPr>
          <w:rFonts w:ascii="Times New Roman" w:hAnsi="Times New Roman" w:cs="Times New Roman"/>
          <w:sz w:val="24"/>
          <w:szCs w:val="24"/>
        </w:rPr>
        <w:t xml:space="preserve"> Mas</w:t>
      </w:r>
      <w:r w:rsidRPr="0015615B">
        <w:rPr>
          <w:rFonts w:ascii="Times New Roman" w:hAnsi="Times New Roman" w:cs="Times New Roman"/>
          <w:sz w:val="24"/>
          <w:szCs w:val="24"/>
        </w:rPr>
        <w:t xml:space="preserve"> não se pode desconsiderar o cerco da produção camponesa em Itapuranga</w:t>
      </w:r>
      <w:r w:rsidR="00F12A99" w:rsidRPr="0015615B">
        <w:rPr>
          <w:rFonts w:ascii="Times New Roman" w:hAnsi="Times New Roman" w:cs="Times New Roman"/>
          <w:sz w:val="24"/>
          <w:szCs w:val="24"/>
        </w:rPr>
        <w:t>,</w:t>
      </w:r>
      <w:r w:rsidRPr="0015615B">
        <w:rPr>
          <w:rFonts w:ascii="Times New Roman" w:hAnsi="Times New Roman" w:cs="Times New Roman"/>
          <w:sz w:val="24"/>
          <w:szCs w:val="24"/>
        </w:rPr>
        <w:t xml:space="preserve"> representa</w:t>
      </w:r>
      <w:r w:rsidR="00F12A99" w:rsidRPr="0015615B">
        <w:rPr>
          <w:rFonts w:ascii="Times New Roman" w:hAnsi="Times New Roman" w:cs="Times New Roman"/>
          <w:sz w:val="24"/>
          <w:szCs w:val="24"/>
        </w:rPr>
        <w:t>da</w:t>
      </w:r>
      <w:r w:rsidRPr="0015615B">
        <w:rPr>
          <w:rFonts w:ascii="Times New Roman" w:hAnsi="Times New Roman" w:cs="Times New Roman"/>
          <w:sz w:val="24"/>
          <w:szCs w:val="24"/>
        </w:rPr>
        <w:t xml:space="preserve"> pelo poder </w:t>
      </w:r>
      <w:r w:rsidR="00F12A99" w:rsidRPr="0015615B">
        <w:rPr>
          <w:rFonts w:ascii="Times New Roman" w:hAnsi="Times New Roman" w:cs="Times New Roman"/>
          <w:sz w:val="24"/>
          <w:szCs w:val="24"/>
        </w:rPr>
        <w:t>político, econômico e discursivo do</w:t>
      </w:r>
      <w:r w:rsidRPr="0015615B">
        <w:rPr>
          <w:rFonts w:ascii="Times New Roman" w:hAnsi="Times New Roman" w:cs="Times New Roman"/>
          <w:sz w:val="24"/>
          <w:szCs w:val="24"/>
        </w:rPr>
        <w:t xml:space="preserve"> setor </w:t>
      </w:r>
      <w:proofErr w:type="spellStart"/>
      <w:r w:rsidRPr="0015615B">
        <w:rPr>
          <w:rFonts w:ascii="Times New Roman" w:hAnsi="Times New Roman" w:cs="Times New Roman"/>
          <w:sz w:val="24"/>
          <w:szCs w:val="24"/>
        </w:rPr>
        <w:t>agroenergético</w:t>
      </w:r>
      <w:proofErr w:type="spellEnd"/>
      <w:r w:rsidRPr="0015615B">
        <w:rPr>
          <w:rFonts w:ascii="Times New Roman" w:hAnsi="Times New Roman" w:cs="Times New Roman"/>
          <w:sz w:val="24"/>
          <w:szCs w:val="24"/>
        </w:rPr>
        <w:t>.</w:t>
      </w:r>
      <w:r w:rsidR="00A3793C">
        <w:rPr>
          <w:rFonts w:ascii="Times New Roman" w:hAnsi="Times New Roman" w:cs="Times New Roman"/>
          <w:sz w:val="24"/>
          <w:szCs w:val="24"/>
        </w:rPr>
        <w:t xml:space="preserve"> </w:t>
      </w:r>
      <w:r w:rsidR="008826A7" w:rsidRPr="0015615B">
        <w:rPr>
          <w:rFonts w:ascii="Times New Roman" w:hAnsi="Times New Roman" w:cs="Times New Roman"/>
          <w:sz w:val="24"/>
          <w:szCs w:val="24"/>
        </w:rPr>
        <w:t xml:space="preserve">Todavia, </w:t>
      </w:r>
      <w:r w:rsidR="00F12A99" w:rsidRPr="0015615B">
        <w:rPr>
          <w:rFonts w:ascii="Times New Roman" w:hAnsi="Times New Roman" w:cs="Times New Roman"/>
          <w:sz w:val="24"/>
          <w:szCs w:val="24"/>
        </w:rPr>
        <w:t>como se trata de um capital nômade, que conta com apoio do Estado, dentro de determinadas conjunturas pode diminuir seus investimentos, o que permite a retomada dos territóri</w:t>
      </w:r>
      <w:r w:rsidR="00C32B91" w:rsidRPr="0015615B">
        <w:rPr>
          <w:rFonts w:ascii="Times New Roman" w:hAnsi="Times New Roman" w:cs="Times New Roman"/>
          <w:sz w:val="24"/>
          <w:szCs w:val="24"/>
        </w:rPr>
        <w:t xml:space="preserve">os pelo </w:t>
      </w:r>
      <w:proofErr w:type="spellStart"/>
      <w:r w:rsidR="00C32B91" w:rsidRPr="0015615B">
        <w:rPr>
          <w:rFonts w:ascii="Times New Roman" w:hAnsi="Times New Roman" w:cs="Times New Roman"/>
          <w:sz w:val="24"/>
          <w:szCs w:val="24"/>
        </w:rPr>
        <w:t>campesinato</w:t>
      </w:r>
      <w:proofErr w:type="spellEnd"/>
      <w:r w:rsidR="00F12A99" w:rsidRPr="0015615B">
        <w:rPr>
          <w:rFonts w:ascii="Times New Roman" w:hAnsi="Times New Roman" w:cs="Times New Roman"/>
          <w:sz w:val="24"/>
          <w:szCs w:val="24"/>
        </w:rPr>
        <w:t>.</w:t>
      </w:r>
      <w:r w:rsidR="0084655C">
        <w:rPr>
          <w:rFonts w:ascii="Times New Roman" w:hAnsi="Times New Roman" w:cs="Times New Roman"/>
          <w:sz w:val="24"/>
          <w:szCs w:val="24"/>
        </w:rPr>
        <w:t xml:space="preserve"> </w:t>
      </w:r>
      <w:r w:rsidR="00F12A99" w:rsidRPr="0015615B">
        <w:rPr>
          <w:rFonts w:ascii="Times New Roman" w:hAnsi="Times New Roman" w:cs="Times New Roman"/>
          <w:sz w:val="24"/>
          <w:szCs w:val="24"/>
        </w:rPr>
        <w:t>Os dados relativos à Itapu</w:t>
      </w:r>
      <w:r w:rsidR="008826A7" w:rsidRPr="0015615B">
        <w:rPr>
          <w:rFonts w:ascii="Times New Roman" w:hAnsi="Times New Roman" w:cs="Times New Roman"/>
          <w:sz w:val="24"/>
          <w:szCs w:val="24"/>
        </w:rPr>
        <w:t>ranga demonstram isto</w:t>
      </w:r>
      <w:r w:rsidR="00F12A99" w:rsidRPr="0015615B">
        <w:rPr>
          <w:rFonts w:ascii="Times New Roman" w:hAnsi="Times New Roman" w:cs="Times New Roman"/>
          <w:sz w:val="24"/>
          <w:szCs w:val="24"/>
        </w:rPr>
        <w:t xml:space="preserve"> para os primeiros anos da segunda década do século XXI. </w:t>
      </w:r>
    </w:p>
    <w:p w:rsidR="00C32B91" w:rsidRDefault="0084655C" w:rsidP="002917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A72D8" w:rsidRPr="0015615B">
        <w:rPr>
          <w:rFonts w:ascii="Times New Roman" w:hAnsi="Times New Roman" w:cs="Times New Roman"/>
          <w:sz w:val="24"/>
          <w:szCs w:val="24"/>
        </w:rPr>
        <w:t>Agor</w:t>
      </w:r>
      <w:r w:rsidR="00F12A99" w:rsidRPr="0015615B">
        <w:rPr>
          <w:rFonts w:ascii="Times New Roman" w:hAnsi="Times New Roman" w:cs="Times New Roman"/>
          <w:sz w:val="24"/>
          <w:szCs w:val="24"/>
        </w:rPr>
        <w:t xml:space="preserve">a, certamente </w:t>
      </w:r>
      <w:r w:rsidR="00C32B91" w:rsidRPr="0015615B">
        <w:rPr>
          <w:rFonts w:ascii="Times New Roman" w:hAnsi="Times New Roman" w:cs="Times New Roman"/>
          <w:sz w:val="24"/>
          <w:szCs w:val="24"/>
        </w:rPr>
        <w:t xml:space="preserve">estes espaços </w:t>
      </w:r>
      <w:r w:rsidR="008826A7" w:rsidRPr="0015615B">
        <w:rPr>
          <w:rFonts w:ascii="Times New Roman" w:hAnsi="Times New Roman" w:cs="Times New Roman"/>
          <w:sz w:val="24"/>
          <w:szCs w:val="24"/>
        </w:rPr>
        <w:t>est</w:t>
      </w:r>
      <w:r w:rsidR="00F12A99" w:rsidRPr="0015615B">
        <w:rPr>
          <w:rFonts w:ascii="Times New Roman" w:hAnsi="Times New Roman" w:cs="Times New Roman"/>
          <w:sz w:val="24"/>
          <w:szCs w:val="24"/>
        </w:rPr>
        <w:t xml:space="preserve">ão degradados, exauridos e sem a infraestrutura necessária </w:t>
      </w:r>
      <w:r w:rsidR="00934679" w:rsidRPr="0015615B">
        <w:rPr>
          <w:rFonts w:ascii="Times New Roman" w:hAnsi="Times New Roman" w:cs="Times New Roman"/>
          <w:sz w:val="24"/>
          <w:szCs w:val="24"/>
        </w:rPr>
        <w:t xml:space="preserve">para </w:t>
      </w:r>
      <w:r w:rsidR="00F12A99" w:rsidRPr="0015615B">
        <w:rPr>
          <w:rFonts w:ascii="Times New Roman" w:hAnsi="Times New Roman" w:cs="Times New Roman"/>
          <w:sz w:val="24"/>
          <w:szCs w:val="24"/>
        </w:rPr>
        <w:t>a produção</w:t>
      </w:r>
      <w:r w:rsidR="00934679" w:rsidRPr="0015615B">
        <w:rPr>
          <w:rFonts w:ascii="Times New Roman" w:hAnsi="Times New Roman" w:cs="Times New Roman"/>
          <w:sz w:val="24"/>
          <w:szCs w:val="24"/>
        </w:rPr>
        <w:t>. O que remete a necessidade de</w:t>
      </w:r>
      <w:r w:rsidR="00F12A99" w:rsidRPr="0015615B">
        <w:rPr>
          <w:rFonts w:ascii="Times New Roman" w:hAnsi="Times New Roman" w:cs="Times New Roman"/>
          <w:sz w:val="24"/>
          <w:szCs w:val="24"/>
        </w:rPr>
        <w:t xml:space="preserve"> políticas públicas</w:t>
      </w:r>
      <w:r w:rsidR="00934679" w:rsidRPr="0015615B">
        <w:rPr>
          <w:rFonts w:ascii="Times New Roman" w:hAnsi="Times New Roman" w:cs="Times New Roman"/>
          <w:sz w:val="24"/>
          <w:szCs w:val="24"/>
        </w:rPr>
        <w:t xml:space="preserve"> conjuntas</w:t>
      </w:r>
      <w:r w:rsidR="00F12A99" w:rsidRPr="0015615B">
        <w:rPr>
          <w:rFonts w:ascii="Times New Roman" w:hAnsi="Times New Roman" w:cs="Times New Roman"/>
          <w:sz w:val="24"/>
          <w:szCs w:val="24"/>
        </w:rPr>
        <w:t xml:space="preserve"> voltadas para a produção camponesa.</w:t>
      </w:r>
      <w:r w:rsidR="00C32B91" w:rsidRPr="0015615B">
        <w:rPr>
          <w:rFonts w:ascii="Times New Roman" w:hAnsi="Times New Roman" w:cs="Times New Roman"/>
          <w:sz w:val="24"/>
          <w:szCs w:val="24"/>
        </w:rPr>
        <w:t xml:space="preserve"> No entanto, o que se depreende da a</w:t>
      </w:r>
      <w:r w:rsidR="008826A7" w:rsidRPr="0015615B">
        <w:rPr>
          <w:rFonts w:ascii="Times New Roman" w:hAnsi="Times New Roman" w:cs="Times New Roman"/>
          <w:sz w:val="24"/>
          <w:szCs w:val="24"/>
        </w:rPr>
        <w:t>nálise é que</w:t>
      </w:r>
      <w:r w:rsidR="00C32B91" w:rsidRPr="0015615B">
        <w:rPr>
          <w:rFonts w:ascii="Times New Roman" w:hAnsi="Times New Roman" w:cs="Times New Roman"/>
          <w:sz w:val="24"/>
          <w:szCs w:val="24"/>
        </w:rPr>
        <w:t xml:space="preserve"> no </w:t>
      </w:r>
      <w:r w:rsidR="00C32B91" w:rsidRPr="0015615B">
        <w:rPr>
          <w:rFonts w:ascii="Times New Roman" w:hAnsi="Times New Roman" w:cs="Times New Roman"/>
          <w:sz w:val="24"/>
          <w:szCs w:val="24"/>
        </w:rPr>
        <w:lastRenderedPageBreak/>
        <w:t>Brasil</w:t>
      </w:r>
      <w:r w:rsidR="008826A7" w:rsidRPr="0015615B">
        <w:rPr>
          <w:rFonts w:ascii="Times New Roman" w:hAnsi="Times New Roman" w:cs="Times New Roman"/>
          <w:sz w:val="24"/>
          <w:szCs w:val="24"/>
        </w:rPr>
        <w:t xml:space="preserve"> há</w:t>
      </w:r>
      <w:r w:rsidR="00C32B91" w:rsidRPr="0015615B">
        <w:rPr>
          <w:rFonts w:ascii="Times New Roman" w:hAnsi="Times New Roman" w:cs="Times New Roman"/>
          <w:sz w:val="24"/>
          <w:szCs w:val="24"/>
        </w:rPr>
        <w:t xml:space="preserve"> políticas setoriais, que privilegiam determinados produtos, produtores e regiões, não</w:t>
      </w:r>
      <w:r w:rsidR="00934679" w:rsidRPr="0015615B">
        <w:rPr>
          <w:rFonts w:ascii="Times New Roman" w:hAnsi="Times New Roman" w:cs="Times New Roman"/>
          <w:sz w:val="24"/>
          <w:szCs w:val="24"/>
        </w:rPr>
        <w:t xml:space="preserve"> preferencialmente</w:t>
      </w:r>
      <w:r w:rsidR="00C32B91" w:rsidRPr="0015615B">
        <w:rPr>
          <w:rFonts w:ascii="Times New Roman" w:hAnsi="Times New Roman" w:cs="Times New Roman"/>
          <w:sz w:val="24"/>
          <w:szCs w:val="24"/>
        </w:rPr>
        <w:t xml:space="preserve"> políticas territoriais, que levem em conta os sujeitos presentes nos territórios. </w:t>
      </w:r>
      <w:r w:rsidR="00FB216A">
        <w:rPr>
          <w:rFonts w:ascii="Times New Roman" w:hAnsi="Times New Roman" w:cs="Times New Roman"/>
          <w:sz w:val="24"/>
          <w:szCs w:val="24"/>
        </w:rPr>
        <w:t>É fato que as políti</w:t>
      </w:r>
      <w:r>
        <w:rPr>
          <w:rFonts w:ascii="Times New Roman" w:hAnsi="Times New Roman" w:cs="Times New Roman"/>
          <w:sz w:val="24"/>
          <w:szCs w:val="24"/>
        </w:rPr>
        <w:t>ca</w:t>
      </w:r>
      <w:r w:rsidR="00FB216A">
        <w:rPr>
          <w:rFonts w:ascii="Times New Roman" w:hAnsi="Times New Roman" w:cs="Times New Roman"/>
          <w:sz w:val="24"/>
          <w:szCs w:val="24"/>
        </w:rPr>
        <w:t>s de comerciali</w:t>
      </w:r>
      <w:r>
        <w:rPr>
          <w:rFonts w:ascii="Times New Roman" w:hAnsi="Times New Roman" w:cs="Times New Roman"/>
          <w:sz w:val="24"/>
          <w:szCs w:val="24"/>
        </w:rPr>
        <w:t>zação</w:t>
      </w:r>
      <w:r w:rsidR="00FB216A">
        <w:rPr>
          <w:rFonts w:ascii="Times New Roman" w:hAnsi="Times New Roman" w:cs="Times New Roman"/>
          <w:sz w:val="24"/>
          <w:szCs w:val="24"/>
        </w:rPr>
        <w:t xml:space="preserve"> </w:t>
      </w:r>
      <w:r>
        <w:rPr>
          <w:rFonts w:ascii="Times New Roman" w:hAnsi="Times New Roman" w:cs="Times New Roman"/>
          <w:sz w:val="24"/>
          <w:szCs w:val="24"/>
        </w:rPr>
        <w:t>por meio de</w:t>
      </w:r>
      <w:r w:rsidR="00FB216A">
        <w:rPr>
          <w:rFonts w:ascii="Times New Roman" w:hAnsi="Times New Roman" w:cs="Times New Roman"/>
          <w:sz w:val="24"/>
          <w:szCs w:val="24"/>
        </w:rPr>
        <w:t xml:space="preserve"> compra</w:t>
      </w:r>
      <w:r>
        <w:rPr>
          <w:rFonts w:ascii="Times New Roman" w:hAnsi="Times New Roman" w:cs="Times New Roman"/>
          <w:sz w:val="24"/>
          <w:szCs w:val="24"/>
        </w:rPr>
        <w:t>s institucionais</w:t>
      </w:r>
      <w:r w:rsidR="00FB216A">
        <w:rPr>
          <w:rFonts w:ascii="Times New Roman" w:hAnsi="Times New Roman" w:cs="Times New Roman"/>
          <w:sz w:val="24"/>
          <w:szCs w:val="24"/>
        </w:rPr>
        <w:t xml:space="preserve"> tem sido importantes, mas se </w:t>
      </w:r>
      <w:r>
        <w:rPr>
          <w:rFonts w:ascii="Times New Roman" w:hAnsi="Times New Roman" w:cs="Times New Roman"/>
          <w:sz w:val="24"/>
          <w:szCs w:val="24"/>
        </w:rPr>
        <w:t>mostra</w:t>
      </w:r>
      <w:r w:rsidR="00FB216A">
        <w:rPr>
          <w:rFonts w:ascii="Times New Roman" w:hAnsi="Times New Roman" w:cs="Times New Roman"/>
          <w:sz w:val="24"/>
          <w:szCs w:val="24"/>
        </w:rPr>
        <w:t xml:space="preserve"> insuficientes, diante da necessidade de apoio ao beneficiamento</w:t>
      </w:r>
      <w:r>
        <w:rPr>
          <w:rFonts w:ascii="Times New Roman" w:hAnsi="Times New Roman" w:cs="Times New Roman"/>
          <w:sz w:val="24"/>
          <w:szCs w:val="24"/>
        </w:rPr>
        <w:t xml:space="preserve"> da produção</w:t>
      </w:r>
      <w:r w:rsidR="00FB216A">
        <w:rPr>
          <w:rFonts w:ascii="Times New Roman" w:hAnsi="Times New Roman" w:cs="Times New Roman"/>
          <w:sz w:val="24"/>
          <w:szCs w:val="24"/>
        </w:rPr>
        <w:t xml:space="preserve">, </w:t>
      </w:r>
      <w:r>
        <w:rPr>
          <w:rFonts w:ascii="Times New Roman" w:hAnsi="Times New Roman" w:cs="Times New Roman"/>
          <w:sz w:val="24"/>
          <w:szCs w:val="24"/>
        </w:rPr>
        <w:t>à</w:t>
      </w:r>
      <w:r w:rsidR="00FB216A">
        <w:rPr>
          <w:rFonts w:ascii="Times New Roman" w:hAnsi="Times New Roman" w:cs="Times New Roman"/>
          <w:sz w:val="24"/>
          <w:szCs w:val="24"/>
        </w:rPr>
        <w:t xml:space="preserve"> logística </w:t>
      </w:r>
      <w:r>
        <w:rPr>
          <w:rFonts w:ascii="Times New Roman" w:hAnsi="Times New Roman" w:cs="Times New Roman"/>
          <w:sz w:val="24"/>
          <w:szCs w:val="24"/>
        </w:rPr>
        <w:t xml:space="preserve">de transporte, enfim </w:t>
      </w:r>
      <w:r w:rsidR="00FB216A">
        <w:rPr>
          <w:rFonts w:ascii="Times New Roman" w:hAnsi="Times New Roman" w:cs="Times New Roman"/>
          <w:sz w:val="24"/>
          <w:szCs w:val="24"/>
        </w:rPr>
        <w:t>a desburocratização do acesso ao créd</w:t>
      </w:r>
      <w:r>
        <w:rPr>
          <w:rFonts w:ascii="Times New Roman" w:hAnsi="Times New Roman" w:cs="Times New Roman"/>
          <w:sz w:val="24"/>
          <w:szCs w:val="24"/>
        </w:rPr>
        <w:t>ito para a produção camponesa.</w:t>
      </w:r>
      <w:r w:rsidR="00FB216A">
        <w:rPr>
          <w:rFonts w:ascii="Times New Roman" w:hAnsi="Times New Roman" w:cs="Times New Roman"/>
          <w:sz w:val="24"/>
          <w:szCs w:val="24"/>
        </w:rPr>
        <w:t xml:space="preserve"> </w:t>
      </w:r>
      <w:r w:rsidR="00C32B91" w:rsidRPr="0015615B">
        <w:rPr>
          <w:rFonts w:ascii="Times New Roman" w:hAnsi="Times New Roman" w:cs="Times New Roman"/>
          <w:sz w:val="24"/>
          <w:szCs w:val="24"/>
        </w:rPr>
        <w:t xml:space="preserve">Cabe aos “não convidados para a festa” se perguntar: este projeto tem produzido uma sociedade melhor? Por que mais justa, mais democrática, mais igualitária? Se não, cabe a eles apresentar </w:t>
      </w:r>
      <w:r w:rsidR="008826A7" w:rsidRPr="0015615B">
        <w:rPr>
          <w:rFonts w:ascii="Times New Roman" w:hAnsi="Times New Roman" w:cs="Times New Roman"/>
          <w:sz w:val="24"/>
          <w:szCs w:val="24"/>
        </w:rPr>
        <w:t>outro projeto</w:t>
      </w:r>
      <w:r w:rsidR="00C32B91" w:rsidRPr="0015615B">
        <w:rPr>
          <w:rFonts w:ascii="Times New Roman" w:hAnsi="Times New Roman" w:cs="Times New Roman"/>
          <w:sz w:val="24"/>
          <w:szCs w:val="24"/>
        </w:rPr>
        <w:t xml:space="preserve"> e lutar pela </w:t>
      </w:r>
      <w:r w:rsidR="008826A7" w:rsidRPr="0015615B">
        <w:rPr>
          <w:rFonts w:ascii="Times New Roman" w:hAnsi="Times New Roman" w:cs="Times New Roman"/>
          <w:sz w:val="24"/>
          <w:szCs w:val="24"/>
        </w:rPr>
        <w:t xml:space="preserve">sua </w:t>
      </w:r>
      <w:r w:rsidR="00C32B91" w:rsidRPr="0015615B">
        <w:rPr>
          <w:rFonts w:ascii="Times New Roman" w:hAnsi="Times New Roman" w:cs="Times New Roman"/>
          <w:sz w:val="24"/>
          <w:szCs w:val="24"/>
        </w:rPr>
        <w:t>materialização no território</w:t>
      </w:r>
      <w:r w:rsidR="008826A7" w:rsidRPr="0015615B">
        <w:rPr>
          <w:rFonts w:ascii="Times New Roman" w:hAnsi="Times New Roman" w:cs="Times New Roman"/>
          <w:sz w:val="24"/>
          <w:szCs w:val="24"/>
        </w:rPr>
        <w:t xml:space="preserve"> itapuranguense</w:t>
      </w:r>
      <w:r w:rsidR="00C32B91" w:rsidRPr="0015615B">
        <w:rPr>
          <w:rFonts w:ascii="Times New Roman" w:hAnsi="Times New Roman" w:cs="Times New Roman"/>
          <w:sz w:val="24"/>
          <w:szCs w:val="24"/>
        </w:rPr>
        <w:t>.</w:t>
      </w:r>
    </w:p>
    <w:p w:rsidR="0029175E" w:rsidRDefault="0029175E" w:rsidP="0029175E">
      <w:pPr>
        <w:spacing w:after="0" w:line="240" w:lineRule="auto"/>
        <w:jc w:val="both"/>
        <w:rPr>
          <w:rFonts w:ascii="Times New Roman" w:hAnsi="Times New Roman" w:cs="Times New Roman"/>
          <w:sz w:val="24"/>
          <w:szCs w:val="24"/>
        </w:rPr>
      </w:pPr>
    </w:p>
    <w:p w:rsidR="0029175E" w:rsidRPr="0015615B" w:rsidRDefault="0029175E" w:rsidP="0029175E">
      <w:pPr>
        <w:spacing w:after="0" w:line="240" w:lineRule="auto"/>
        <w:jc w:val="both"/>
        <w:rPr>
          <w:rFonts w:ascii="Times New Roman" w:hAnsi="Times New Roman" w:cs="Times New Roman"/>
          <w:sz w:val="24"/>
          <w:szCs w:val="24"/>
        </w:rPr>
      </w:pPr>
    </w:p>
    <w:p w:rsidR="00D9169B" w:rsidRPr="0015615B" w:rsidRDefault="00D9169B" w:rsidP="0029175E">
      <w:pPr>
        <w:spacing w:after="0" w:line="240" w:lineRule="auto"/>
        <w:jc w:val="center"/>
        <w:rPr>
          <w:rFonts w:ascii="Times New Roman" w:hAnsi="Times New Roman" w:cs="Times New Roman"/>
          <w:b/>
          <w:sz w:val="24"/>
          <w:szCs w:val="24"/>
        </w:rPr>
      </w:pPr>
      <w:r w:rsidRPr="0015615B">
        <w:rPr>
          <w:rFonts w:ascii="Times New Roman" w:hAnsi="Times New Roman" w:cs="Times New Roman"/>
          <w:b/>
          <w:sz w:val="24"/>
          <w:szCs w:val="24"/>
        </w:rPr>
        <w:t>Referências</w:t>
      </w:r>
    </w:p>
    <w:p w:rsidR="0013633C" w:rsidRPr="0015615B" w:rsidRDefault="0013633C" w:rsidP="0015615B">
      <w:pPr>
        <w:spacing w:after="0" w:line="240" w:lineRule="auto"/>
        <w:jc w:val="both"/>
        <w:rPr>
          <w:rFonts w:ascii="Times New Roman" w:hAnsi="Times New Roman" w:cs="Times New Roman"/>
          <w:b/>
          <w:sz w:val="24"/>
          <w:szCs w:val="24"/>
        </w:rPr>
      </w:pPr>
    </w:p>
    <w:p w:rsidR="0013633C" w:rsidRPr="0015615B" w:rsidRDefault="0013633C" w:rsidP="0015615B">
      <w:pPr>
        <w:tabs>
          <w:tab w:val="left" w:pos="195"/>
        </w:tabs>
        <w:spacing w:after="0" w:line="240" w:lineRule="auto"/>
        <w:jc w:val="both"/>
        <w:rPr>
          <w:rFonts w:ascii="Times New Roman" w:hAnsi="Times New Roman" w:cs="Times New Roman"/>
          <w:sz w:val="24"/>
          <w:szCs w:val="24"/>
        </w:rPr>
      </w:pPr>
      <w:r w:rsidRPr="0015615B">
        <w:rPr>
          <w:rFonts w:ascii="Times New Roman" w:hAnsi="Times New Roman" w:cs="Times New Roman"/>
          <w:sz w:val="24"/>
          <w:szCs w:val="24"/>
        </w:rPr>
        <w:t xml:space="preserve">ALMEIDA, Rosemeire Aparecida de. </w:t>
      </w:r>
      <w:r w:rsidRPr="0015615B">
        <w:rPr>
          <w:rFonts w:ascii="Times New Roman" w:hAnsi="Times New Roman" w:cs="Times New Roman"/>
          <w:b/>
          <w:bCs/>
          <w:sz w:val="24"/>
          <w:szCs w:val="24"/>
        </w:rPr>
        <w:t xml:space="preserve">(Re) criação do campesinato, identidade e distinção: </w:t>
      </w:r>
      <w:r w:rsidRPr="0015615B">
        <w:rPr>
          <w:rFonts w:ascii="Times New Roman" w:hAnsi="Times New Roman" w:cs="Times New Roman"/>
          <w:sz w:val="24"/>
          <w:szCs w:val="24"/>
        </w:rPr>
        <w:t xml:space="preserve">A luta pela terra e o </w:t>
      </w:r>
      <w:proofErr w:type="spellStart"/>
      <w:r w:rsidRPr="0015615B">
        <w:rPr>
          <w:rFonts w:ascii="Times New Roman" w:hAnsi="Times New Roman" w:cs="Times New Roman"/>
          <w:i/>
          <w:iCs/>
          <w:sz w:val="24"/>
          <w:szCs w:val="24"/>
        </w:rPr>
        <w:t>habitus</w:t>
      </w:r>
      <w:proofErr w:type="spellEnd"/>
      <w:r w:rsidRPr="0015615B">
        <w:rPr>
          <w:rFonts w:ascii="Times New Roman" w:hAnsi="Times New Roman" w:cs="Times New Roman"/>
          <w:i/>
          <w:iCs/>
          <w:sz w:val="24"/>
          <w:szCs w:val="24"/>
        </w:rPr>
        <w:t xml:space="preserve"> </w:t>
      </w:r>
      <w:r w:rsidRPr="0015615B">
        <w:rPr>
          <w:rFonts w:ascii="Times New Roman" w:hAnsi="Times New Roman" w:cs="Times New Roman"/>
          <w:sz w:val="24"/>
          <w:szCs w:val="24"/>
        </w:rPr>
        <w:t>de classe. São Paulo: editora UNESP, 2006. 377 p.</w:t>
      </w:r>
    </w:p>
    <w:p w:rsidR="0013633C" w:rsidRPr="0015615B" w:rsidRDefault="0013633C" w:rsidP="0015615B">
      <w:pPr>
        <w:tabs>
          <w:tab w:val="left" w:pos="195"/>
        </w:tabs>
        <w:spacing w:after="0" w:line="240" w:lineRule="auto"/>
        <w:jc w:val="both"/>
        <w:rPr>
          <w:rFonts w:ascii="Times New Roman" w:hAnsi="Times New Roman" w:cs="Times New Roman"/>
          <w:sz w:val="24"/>
          <w:szCs w:val="24"/>
        </w:rPr>
      </w:pPr>
    </w:p>
    <w:p w:rsidR="0013633C" w:rsidRPr="0015615B" w:rsidRDefault="0013633C" w:rsidP="0015615B">
      <w:pPr>
        <w:pStyle w:val="Default"/>
        <w:jc w:val="both"/>
        <w:rPr>
          <w:rFonts w:ascii="Times New Roman" w:hAnsi="Times New Roman" w:cs="Times New Roman"/>
          <w:color w:val="auto"/>
        </w:rPr>
      </w:pPr>
      <w:r w:rsidRPr="0015615B">
        <w:rPr>
          <w:rFonts w:ascii="Times New Roman" w:hAnsi="Times New Roman" w:cs="Times New Roman"/>
          <w:color w:val="auto"/>
        </w:rPr>
        <w:t xml:space="preserve">ALVES, Eliseu; BUAINAIN, Antônio M. </w:t>
      </w:r>
      <w:proofErr w:type="gramStart"/>
      <w:r w:rsidRPr="0015615B">
        <w:rPr>
          <w:rFonts w:ascii="Times New Roman" w:hAnsi="Times New Roman" w:cs="Times New Roman"/>
          <w:i/>
          <w:iCs/>
          <w:color w:val="auto"/>
        </w:rPr>
        <w:t>et</w:t>
      </w:r>
      <w:proofErr w:type="gramEnd"/>
      <w:r w:rsidRPr="0015615B">
        <w:rPr>
          <w:rFonts w:ascii="Times New Roman" w:hAnsi="Times New Roman" w:cs="Times New Roman"/>
          <w:i/>
          <w:iCs/>
          <w:color w:val="auto"/>
        </w:rPr>
        <w:t xml:space="preserve"> al</w:t>
      </w:r>
      <w:r w:rsidRPr="0015615B">
        <w:rPr>
          <w:rFonts w:ascii="Times New Roman" w:hAnsi="Times New Roman" w:cs="Times New Roman"/>
          <w:color w:val="auto"/>
        </w:rPr>
        <w:t xml:space="preserve">. Sete teses sobre o mundo rural brasileiro. </w:t>
      </w:r>
      <w:r w:rsidRPr="0015615B">
        <w:rPr>
          <w:rFonts w:ascii="Times New Roman" w:hAnsi="Times New Roman" w:cs="Times New Roman"/>
          <w:b/>
          <w:bCs/>
          <w:color w:val="auto"/>
        </w:rPr>
        <w:t>Revista de Política Agrícola</w:t>
      </w:r>
      <w:r w:rsidRPr="0015615B">
        <w:rPr>
          <w:rFonts w:ascii="Times New Roman" w:hAnsi="Times New Roman" w:cs="Times New Roman"/>
          <w:color w:val="auto"/>
        </w:rPr>
        <w:t xml:space="preserve">, v. 22, nº. </w:t>
      </w:r>
      <w:proofErr w:type="gramStart"/>
      <w:r w:rsidRPr="0015615B">
        <w:rPr>
          <w:rFonts w:ascii="Times New Roman" w:hAnsi="Times New Roman" w:cs="Times New Roman"/>
          <w:color w:val="auto"/>
        </w:rPr>
        <w:t>2</w:t>
      </w:r>
      <w:proofErr w:type="gramEnd"/>
      <w:r w:rsidRPr="0015615B">
        <w:rPr>
          <w:rFonts w:ascii="Times New Roman" w:hAnsi="Times New Roman" w:cs="Times New Roman"/>
          <w:color w:val="auto"/>
        </w:rPr>
        <w:t xml:space="preserve">, p. 105-121. 2013. </w:t>
      </w:r>
    </w:p>
    <w:p w:rsidR="00D9169B" w:rsidRPr="0015615B" w:rsidRDefault="00D9169B" w:rsidP="0015615B">
      <w:pPr>
        <w:pStyle w:val="Default"/>
        <w:jc w:val="both"/>
        <w:rPr>
          <w:rFonts w:ascii="Times New Roman" w:hAnsi="Times New Roman" w:cs="Times New Roman"/>
        </w:rPr>
      </w:pPr>
    </w:p>
    <w:p w:rsidR="00D9169B" w:rsidRPr="0015615B" w:rsidRDefault="00D9169B" w:rsidP="0015615B">
      <w:pPr>
        <w:pStyle w:val="Default"/>
        <w:jc w:val="both"/>
        <w:rPr>
          <w:rFonts w:ascii="Times New Roman" w:hAnsi="Times New Roman" w:cs="Times New Roman"/>
          <w:color w:val="auto"/>
        </w:rPr>
      </w:pPr>
      <w:r w:rsidRPr="0015615B">
        <w:rPr>
          <w:rFonts w:ascii="Times New Roman" w:hAnsi="Times New Roman" w:cs="Times New Roman"/>
          <w:color w:val="auto"/>
        </w:rPr>
        <w:t xml:space="preserve">BEZERRA, Juscelino E. Agronegócio e ideologia: contribuições teóricas. In: </w:t>
      </w:r>
      <w:r w:rsidRPr="0015615B">
        <w:rPr>
          <w:rFonts w:ascii="Times New Roman" w:hAnsi="Times New Roman" w:cs="Times New Roman"/>
          <w:b/>
          <w:bCs/>
          <w:color w:val="auto"/>
        </w:rPr>
        <w:t>Revista NERA</w:t>
      </w:r>
      <w:r w:rsidRPr="0015615B">
        <w:rPr>
          <w:rFonts w:ascii="Times New Roman" w:hAnsi="Times New Roman" w:cs="Times New Roman"/>
          <w:color w:val="auto"/>
        </w:rPr>
        <w:t xml:space="preserve">. Ano 12, nº. 14. P. 112-124. Jan./Jun., 2009. </w:t>
      </w:r>
    </w:p>
    <w:p w:rsidR="00363476" w:rsidRPr="0015615B" w:rsidRDefault="00363476" w:rsidP="0015615B">
      <w:pPr>
        <w:pStyle w:val="Default"/>
        <w:jc w:val="both"/>
        <w:rPr>
          <w:rFonts w:ascii="Times New Roman" w:hAnsi="Times New Roman" w:cs="Times New Roman"/>
          <w:color w:val="auto"/>
        </w:rPr>
      </w:pPr>
    </w:p>
    <w:p w:rsidR="0013633C" w:rsidRPr="0015615B" w:rsidRDefault="00363476" w:rsidP="0015615B">
      <w:pPr>
        <w:spacing w:line="240" w:lineRule="auto"/>
        <w:jc w:val="both"/>
        <w:rPr>
          <w:rFonts w:ascii="Times New Roman" w:hAnsi="Times New Roman" w:cs="Times New Roman"/>
          <w:sz w:val="24"/>
          <w:szCs w:val="24"/>
        </w:rPr>
      </w:pPr>
      <w:r w:rsidRPr="0015615B">
        <w:rPr>
          <w:rFonts w:ascii="Times New Roman" w:hAnsi="Times New Roman" w:cs="Times New Roman"/>
          <w:sz w:val="24"/>
          <w:szCs w:val="24"/>
        </w:rPr>
        <w:t xml:space="preserve">BRANDÃO, Carlos Rodrigues. Tempos e espaços nos mundos rurais do Brasil: Um breve olhar para ontem e hoje. </w:t>
      </w:r>
      <w:r w:rsidRPr="0015615B">
        <w:rPr>
          <w:rFonts w:ascii="Times New Roman" w:hAnsi="Times New Roman" w:cs="Times New Roman"/>
          <w:i/>
          <w:sz w:val="24"/>
          <w:szCs w:val="24"/>
        </w:rPr>
        <w:t xml:space="preserve">In:______. </w:t>
      </w:r>
      <w:r w:rsidRPr="0015615B">
        <w:rPr>
          <w:rFonts w:ascii="Times New Roman" w:hAnsi="Times New Roman" w:cs="Times New Roman"/>
          <w:b/>
          <w:i/>
          <w:sz w:val="24"/>
          <w:szCs w:val="24"/>
        </w:rPr>
        <w:t>“</w:t>
      </w:r>
      <w:r w:rsidRPr="0015615B">
        <w:rPr>
          <w:rFonts w:ascii="Times New Roman" w:hAnsi="Times New Roman" w:cs="Times New Roman"/>
          <w:b/>
          <w:sz w:val="24"/>
          <w:szCs w:val="24"/>
        </w:rPr>
        <w:t>No</w:t>
      </w:r>
      <w:r w:rsidRPr="0015615B">
        <w:rPr>
          <w:rFonts w:ascii="Times New Roman" w:hAnsi="Times New Roman" w:cs="Times New Roman"/>
          <w:b/>
          <w:i/>
          <w:sz w:val="24"/>
          <w:szCs w:val="24"/>
        </w:rPr>
        <w:t xml:space="preserve"> </w:t>
      </w:r>
      <w:r w:rsidRPr="0015615B">
        <w:rPr>
          <w:rFonts w:ascii="Times New Roman" w:hAnsi="Times New Roman" w:cs="Times New Roman"/>
          <w:b/>
          <w:sz w:val="24"/>
          <w:szCs w:val="24"/>
        </w:rPr>
        <w:t>Rancho Fundo”:</w:t>
      </w:r>
      <w:r w:rsidRPr="0015615B">
        <w:rPr>
          <w:rFonts w:ascii="Times New Roman" w:hAnsi="Times New Roman" w:cs="Times New Roman"/>
          <w:sz w:val="24"/>
          <w:szCs w:val="24"/>
        </w:rPr>
        <w:t xml:space="preserve"> espaços e tempos no mundo rural. Uberlândia: EDUFU, 2009. 244 p.</w:t>
      </w:r>
    </w:p>
    <w:p w:rsidR="0013633C" w:rsidRPr="0015615B" w:rsidRDefault="00363476" w:rsidP="0015615B">
      <w:pPr>
        <w:pStyle w:val="Default"/>
        <w:jc w:val="both"/>
        <w:rPr>
          <w:rFonts w:ascii="Times New Roman" w:hAnsi="Times New Roman" w:cs="Times New Roman"/>
          <w:color w:val="auto"/>
        </w:rPr>
      </w:pPr>
      <w:r w:rsidRPr="0015615B">
        <w:rPr>
          <w:rFonts w:ascii="Times New Roman" w:hAnsi="Times New Roman" w:cs="Times New Roman"/>
        </w:rPr>
        <w:t>______</w:t>
      </w:r>
      <w:r w:rsidR="0013633C" w:rsidRPr="0015615B">
        <w:rPr>
          <w:rFonts w:ascii="Times New Roman" w:hAnsi="Times New Roman" w:cs="Times New Roman"/>
        </w:rPr>
        <w:t xml:space="preserve">. Parentes e Parceiros: relações de parentesco e relações familiares de produção entre camponeses de </w:t>
      </w:r>
      <w:proofErr w:type="spellStart"/>
      <w:r w:rsidR="0013633C" w:rsidRPr="0015615B">
        <w:rPr>
          <w:rFonts w:ascii="Times New Roman" w:hAnsi="Times New Roman" w:cs="Times New Roman"/>
        </w:rPr>
        <w:t>Diolândia</w:t>
      </w:r>
      <w:proofErr w:type="spellEnd"/>
      <w:r w:rsidR="0013633C" w:rsidRPr="0015615B">
        <w:rPr>
          <w:rFonts w:ascii="Times New Roman" w:hAnsi="Times New Roman" w:cs="Times New Roman"/>
        </w:rPr>
        <w:t xml:space="preserve">. </w:t>
      </w:r>
      <w:r w:rsidR="0013633C" w:rsidRPr="0015615B">
        <w:rPr>
          <w:rFonts w:ascii="Times New Roman" w:hAnsi="Times New Roman" w:cs="Times New Roman"/>
          <w:i/>
          <w:iCs/>
        </w:rPr>
        <w:t xml:space="preserve">In: </w:t>
      </w:r>
      <w:r w:rsidR="0013633C" w:rsidRPr="0015615B">
        <w:rPr>
          <w:rFonts w:ascii="Times New Roman" w:hAnsi="Times New Roman" w:cs="Times New Roman"/>
        </w:rPr>
        <w:t xml:space="preserve">BRANDÃO, Carlos Rodrigues; RAMALHO, José Ricardo. </w:t>
      </w:r>
      <w:r w:rsidR="0013633C" w:rsidRPr="0015615B">
        <w:rPr>
          <w:rFonts w:ascii="Times New Roman" w:hAnsi="Times New Roman" w:cs="Times New Roman"/>
          <w:b/>
          <w:bCs/>
        </w:rPr>
        <w:t xml:space="preserve">Campesinato goiano. </w:t>
      </w:r>
      <w:r w:rsidR="0013633C" w:rsidRPr="0015615B">
        <w:rPr>
          <w:rFonts w:ascii="Times New Roman" w:hAnsi="Times New Roman" w:cs="Times New Roman"/>
        </w:rPr>
        <w:t>Goiânia: Editora da UFG, 1986. 15-81 p.</w:t>
      </w:r>
    </w:p>
    <w:p w:rsidR="00D9169B" w:rsidRPr="0015615B" w:rsidRDefault="00D9169B" w:rsidP="0015615B">
      <w:pPr>
        <w:pStyle w:val="Default"/>
        <w:jc w:val="both"/>
        <w:rPr>
          <w:rFonts w:ascii="Times New Roman" w:hAnsi="Times New Roman" w:cs="Times New Roman"/>
          <w:color w:val="auto"/>
        </w:rPr>
      </w:pPr>
    </w:p>
    <w:p w:rsidR="008B0F9E" w:rsidRPr="0015615B" w:rsidRDefault="008B0F9E" w:rsidP="0015615B">
      <w:pPr>
        <w:pStyle w:val="Default"/>
        <w:jc w:val="both"/>
        <w:rPr>
          <w:rFonts w:ascii="Times New Roman" w:hAnsi="Times New Roman" w:cs="Times New Roman"/>
        </w:rPr>
      </w:pPr>
      <w:r w:rsidRPr="0015615B">
        <w:rPr>
          <w:rFonts w:ascii="Times New Roman" w:hAnsi="Times New Roman" w:cs="Times New Roman"/>
        </w:rPr>
        <w:t xml:space="preserve">CALAÇA, Manoel. Territorialização do capital: biotecnologia, biodiversidade e seus impactos no Cerrado. </w:t>
      </w:r>
      <w:r w:rsidRPr="0015615B">
        <w:rPr>
          <w:rFonts w:ascii="Times New Roman" w:hAnsi="Times New Roman" w:cs="Times New Roman"/>
          <w:i/>
        </w:rPr>
        <w:t xml:space="preserve">In: </w:t>
      </w:r>
      <w:r w:rsidRPr="0015615B">
        <w:rPr>
          <w:rFonts w:ascii="Times New Roman" w:hAnsi="Times New Roman" w:cs="Times New Roman"/>
          <w:b/>
          <w:bCs/>
        </w:rPr>
        <w:t>Ateliê Geográfico</w:t>
      </w:r>
      <w:r w:rsidRPr="0015615B">
        <w:rPr>
          <w:rFonts w:ascii="Times New Roman" w:hAnsi="Times New Roman" w:cs="Times New Roman"/>
        </w:rPr>
        <w:t>, Goiânia, v. 01, nº 01, fev./ 2010, 18 p.</w:t>
      </w:r>
    </w:p>
    <w:p w:rsidR="008B0F9E" w:rsidRPr="0015615B" w:rsidRDefault="008B0F9E" w:rsidP="0015615B">
      <w:pPr>
        <w:pStyle w:val="Default"/>
        <w:jc w:val="both"/>
        <w:rPr>
          <w:rFonts w:ascii="Times New Roman" w:hAnsi="Times New Roman" w:cs="Times New Roman"/>
          <w:color w:val="auto"/>
        </w:rPr>
      </w:pPr>
    </w:p>
    <w:p w:rsidR="00D9169B" w:rsidRPr="0015615B" w:rsidRDefault="00D9169B" w:rsidP="0015615B">
      <w:pPr>
        <w:pStyle w:val="Default"/>
        <w:jc w:val="both"/>
        <w:rPr>
          <w:rFonts w:ascii="Times New Roman" w:hAnsi="Times New Roman" w:cs="Times New Roman"/>
          <w:color w:val="auto"/>
        </w:rPr>
      </w:pPr>
      <w:r w:rsidRPr="0015615B">
        <w:rPr>
          <w:rFonts w:ascii="Times New Roman" w:hAnsi="Times New Roman" w:cs="Times New Roman"/>
          <w:color w:val="auto"/>
        </w:rPr>
        <w:t xml:space="preserve">CARVALHO, Horácio Martins de. A expansão do capitalismo no campo e a desnacionalização do agrário no Brasil. In: </w:t>
      </w:r>
      <w:r w:rsidRPr="0015615B">
        <w:rPr>
          <w:rFonts w:ascii="Times New Roman" w:hAnsi="Times New Roman" w:cs="Times New Roman"/>
          <w:b/>
          <w:bCs/>
          <w:color w:val="auto"/>
        </w:rPr>
        <w:t>Revista da Associação Brasileira de Reforma Agrária</w:t>
      </w:r>
      <w:r w:rsidRPr="0015615B">
        <w:rPr>
          <w:rFonts w:ascii="Times New Roman" w:hAnsi="Times New Roman" w:cs="Times New Roman"/>
          <w:color w:val="auto"/>
        </w:rPr>
        <w:t>. Edição Especial. P. 31- 44. Jul./ 13.</w:t>
      </w:r>
    </w:p>
    <w:p w:rsidR="00D9169B" w:rsidRPr="0015615B" w:rsidRDefault="00D9169B" w:rsidP="0015615B">
      <w:pPr>
        <w:pStyle w:val="Default"/>
        <w:jc w:val="both"/>
        <w:rPr>
          <w:rFonts w:ascii="Times New Roman" w:hAnsi="Times New Roman" w:cs="Times New Roman"/>
          <w:color w:val="auto"/>
        </w:rPr>
      </w:pPr>
      <w:r w:rsidRPr="0015615B">
        <w:rPr>
          <w:rFonts w:ascii="Times New Roman" w:hAnsi="Times New Roman" w:cs="Times New Roman"/>
          <w:color w:val="auto"/>
        </w:rPr>
        <w:t xml:space="preserve"> </w:t>
      </w:r>
    </w:p>
    <w:p w:rsidR="00D9169B" w:rsidRPr="0015615B" w:rsidRDefault="00D9169B" w:rsidP="0015615B">
      <w:pPr>
        <w:pStyle w:val="Default"/>
        <w:jc w:val="both"/>
        <w:rPr>
          <w:rFonts w:ascii="Times New Roman" w:hAnsi="Times New Roman" w:cs="Times New Roman"/>
          <w:color w:val="auto"/>
        </w:rPr>
      </w:pPr>
      <w:r w:rsidRPr="0015615B">
        <w:rPr>
          <w:rFonts w:ascii="Times New Roman" w:hAnsi="Times New Roman" w:cs="Times New Roman"/>
          <w:color w:val="auto"/>
        </w:rPr>
        <w:t xml:space="preserve">COSTA, Francisco Assis. Sete teses sobre o mundo rural brasileiro: antíteses. In: </w:t>
      </w:r>
      <w:r w:rsidRPr="0015615B">
        <w:rPr>
          <w:rFonts w:ascii="Times New Roman" w:hAnsi="Times New Roman" w:cs="Times New Roman"/>
          <w:b/>
          <w:bCs/>
          <w:color w:val="auto"/>
        </w:rPr>
        <w:t>Revista da Associação Brasileira de Reforma Agrária</w:t>
      </w:r>
      <w:r w:rsidRPr="0015615B">
        <w:rPr>
          <w:rFonts w:ascii="Times New Roman" w:hAnsi="Times New Roman" w:cs="Times New Roman"/>
          <w:color w:val="auto"/>
        </w:rPr>
        <w:t xml:space="preserve">. Edição Especial. P. 45-60. Jul./ 13. </w:t>
      </w:r>
    </w:p>
    <w:p w:rsidR="00D9169B" w:rsidRPr="0015615B" w:rsidRDefault="00D9169B" w:rsidP="0015615B">
      <w:pPr>
        <w:pStyle w:val="Default"/>
        <w:jc w:val="both"/>
        <w:rPr>
          <w:rFonts w:ascii="Times New Roman" w:hAnsi="Times New Roman" w:cs="Times New Roman"/>
          <w:color w:val="auto"/>
        </w:rPr>
      </w:pPr>
    </w:p>
    <w:p w:rsidR="0013633C" w:rsidRPr="0015615B" w:rsidRDefault="00D9169B" w:rsidP="0015615B">
      <w:pPr>
        <w:spacing w:after="0" w:line="240" w:lineRule="auto"/>
        <w:jc w:val="both"/>
        <w:rPr>
          <w:rFonts w:ascii="Times New Roman" w:hAnsi="Times New Roman" w:cs="Times New Roman"/>
          <w:sz w:val="24"/>
          <w:szCs w:val="24"/>
        </w:rPr>
      </w:pPr>
      <w:r w:rsidRPr="0015615B">
        <w:rPr>
          <w:rFonts w:ascii="Times New Roman" w:hAnsi="Times New Roman" w:cs="Times New Roman"/>
          <w:sz w:val="24"/>
          <w:szCs w:val="24"/>
        </w:rPr>
        <w:t xml:space="preserve">DELGADO, Guilherme Costa. Economia do agronegócio (2000) como pacto de poder com os donos da terra. In: </w:t>
      </w:r>
      <w:r w:rsidRPr="0015615B">
        <w:rPr>
          <w:rFonts w:ascii="Times New Roman" w:hAnsi="Times New Roman" w:cs="Times New Roman"/>
          <w:b/>
          <w:bCs/>
          <w:sz w:val="24"/>
          <w:szCs w:val="24"/>
        </w:rPr>
        <w:t>Revista da Associação Brasileira de Reforma Agrária</w:t>
      </w:r>
      <w:r w:rsidRPr="0015615B">
        <w:rPr>
          <w:rFonts w:ascii="Times New Roman" w:hAnsi="Times New Roman" w:cs="Times New Roman"/>
          <w:sz w:val="24"/>
          <w:szCs w:val="24"/>
        </w:rPr>
        <w:t>. Edição Especial. P. 60-68. Jul./ 13.</w:t>
      </w:r>
    </w:p>
    <w:p w:rsidR="008B0F9E" w:rsidRPr="0015615B" w:rsidRDefault="008B0F9E" w:rsidP="0015615B">
      <w:pPr>
        <w:spacing w:after="0" w:line="240" w:lineRule="auto"/>
        <w:jc w:val="both"/>
        <w:rPr>
          <w:rFonts w:ascii="Times New Roman" w:hAnsi="Times New Roman" w:cs="Times New Roman"/>
          <w:sz w:val="24"/>
          <w:szCs w:val="24"/>
        </w:rPr>
      </w:pPr>
    </w:p>
    <w:p w:rsidR="008B0F9E" w:rsidRPr="0015615B" w:rsidRDefault="008B0F9E" w:rsidP="0015615B">
      <w:pPr>
        <w:spacing w:after="0" w:line="240" w:lineRule="auto"/>
        <w:jc w:val="both"/>
        <w:rPr>
          <w:rFonts w:ascii="Times New Roman" w:hAnsi="Times New Roman" w:cs="Times New Roman"/>
          <w:sz w:val="24"/>
          <w:szCs w:val="24"/>
        </w:rPr>
      </w:pPr>
      <w:r w:rsidRPr="0015615B">
        <w:rPr>
          <w:rFonts w:ascii="Times New Roman" w:hAnsi="Times New Roman" w:cs="Times New Roman"/>
          <w:sz w:val="24"/>
          <w:szCs w:val="24"/>
        </w:rPr>
        <w:t xml:space="preserve">FERNANDES, Bernardo </w:t>
      </w:r>
      <w:proofErr w:type="spellStart"/>
      <w:r w:rsidRPr="0015615B">
        <w:rPr>
          <w:rFonts w:ascii="Times New Roman" w:hAnsi="Times New Roman" w:cs="Times New Roman"/>
          <w:sz w:val="24"/>
          <w:szCs w:val="24"/>
        </w:rPr>
        <w:t>Mançano</w:t>
      </w:r>
      <w:proofErr w:type="spellEnd"/>
      <w:r w:rsidRPr="0015615B">
        <w:rPr>
          <w:rFonts w:ascii="Times New Roman" w:hAnsi="Times New Roman" w:cs="Times New Roman"/>
          <w:sz w:val="24"/>
          <w:szCs w:val="24"/>
        </w:rPr>
        <w:t xml:space="preserve">; </w:t>
      </w:r>
      <w:proofErr w:type="spellStart"/>
      <w:r w:rsidRPr="0015615B">
        <w:rPr>
          <w:rFonts w:ascii="Times New Roman" w:hAnsi="Times New Roman" w:cs="Times New Roman"/>
          <w:sz w:val="24"/>
          <w:szCs w:val="24"/>
        </w:rPr>
        <w:t>WELCH</w:t>
      </w:r>
      <w:proofErr w:type="spellEnd"/>
      <w:r w:rsidRPr="0015615B">
        <w:rPr>
          <w:rFonts w:ascii="Times New Roman" w:hAnsi="Times New Roman" w:cs="Times New Roman"/>
          <w:sz w:val="24"/>
          <w:szCs w:val="24"/>
        </w:rPr>
        <w:t xml:space="preserve">, Clifford Andrew. Campesinato e agronegócio da laranja nos EUA e Brasil. </w:t>
      </w:r>
      <w:r w:rsidRPr="0015615B">
        <w:rPr>
          <w:rFonts w:ascii="Times New Roman" w:hAnsi="Times New Roman" w:cs="Times New Roman"/>
          <w:i/>
          <w:iCs/>
          <w:sz w:val="24"/>
          <w:szCs w:val="24"/>
        </w:rPr>
        <w:t xml:space="preserve">In: </w:t>
      </w:r>
      <w:r w:rsidRPr="0015615B">
        <w:rPr>
          <w:rFonts w:ascii="Times New Roman" w:hAnsi="Times New Roman" w:cs="Times New Roman"/>
          <w:sz w:val="24"/>
          <w:szCs w:val="24"/>
        </w:rPr>
        <w:t xml:space="preserve">FERNANDES, Bernardo </w:t>
      </w:r>
      <w:proofErr w:type="spellStart"/>
      <w:r w:rsidRPr="0015615B">
        <w:rPr>
          <w:rFonts w:ascii="Times New Roman" w:hAnsi="Times New Roman" w:cs="Times New Roman"/>
          <w:sz w:val="24"/>
          <w:szCs w:val="24"/>
        </w:rPr>
        <w:t>Mançano</w:t>
      </w:r>
      <w:proofErr w:type="spellEnd"/>
      <w:r w:rsidRPr="0015615B">
        <w:rPr>
          <w:rFonts w:ascii="Times New Roman" w:hAnsi="Times New Roman" w:cs="Times New Roman"/>
          <w:sz w:val="24"/>
          <w:szCs w:val="24"/>
        </w:rPr>
        <w:t xml:space="preserve"> (</w:t>
      </w:r>
      <w:proofErr w:type="spellStart"/>
      <w:r w:rsidRPr="0015615B">
        <w:rPr>
          <w:rFonts w:ascii="Times New Roman" w:hAnsi="Times New Roman" w:cs="Times New Roman"/>
          <w:sz w:val="24"/>
          <w:szCs w:val="24"/>
        </w:rPr>
        <w:t>orgs</w:t>
      </w:r>
      <w:proofErr w:type="spellEnd"/>
      <w:r w:rsidRPr="0015615B">
        <w:rPr>
          <w:rFonts w:ascii="Times New Roman" w:hAnsi="Times New Roman" w:cs="Times New Roman"/>
          <w:sz w:val="24"/>
          <w:szCs w:val="24"/>
        </w:rPr>
        <w:t xml:space="preserve">.). </w:t>
      </w:r>
      <w:r w:rsidRPr="0015615B">
        <w:rPr>
          <w:rFonts w:ascii="Times New Roman" w:hAnsi="Times New Roman" w:cs="Times New Roman"/>
          <w:b/>
          <w:bCs/>
          <w:sz w:val="24"/>
          <w:szCs w:val="24"/>
        </w:rPr>
        <w:t xml:space="preserve">Campesinato e Agronegócio na América Latina: </w:t>
      </w:r>
      <w:r w:rsidRPr="0015615B">
        <w:rPr>
          <w:rFonts w:ascii="Times New Roman" w:hAnsi="Times New Roman" w:cs="Times New Roman"/>
          <w:sz w:val="24"/>
          <w:szCs w:val="24"/>
        </w:rPr>
        <w:t>a questão agrária atual. São Paulo: Expressão Popular, 2008. 45-69 p.</w:t>
      </w:r>
    </w:p>
    <w:p w:rsidR="0013633C" w:rsidRPr="0015615B" w:rsidRDefault="0013633C" w:rsidP="0015615B">
      <w:pPr>
        <w:spacing w:after="0" w:line="240" w:lineRule="auto"/>
        <w:jc w:val="both"/>
        <w:rPr>
          <w:rFonts w:ascii="Times New Roman" w:hAnsi="Times New Roman" w:cs="Times New Roman"/>
          <w:sz w:val="24"/>
          <w:szCs w:val="24"/>
        </w:rPr>
      </w:pPr>
    </w:p>
    <w:p w:rsidR="0013633C" w:rsidRPr="0015615B" w:rsidRDefault="0013633C" w:rsidP="0015615B">
      <w:pPr>
        <w:spacing w:after="0" w:line="240" w:lineRule="auto"/>
        <w:jc w:val="both"/>
        <w:rPr>
          <w:rFonts w:ascii="Times New Roman" w:hAnsi="Times New Roman" w:cs="Times New Roman"/>
          <w:sz w:val="24"/>
          <w:szCs w:val="24"/>
        </w:rPr>
      </w:pPr>
      <w:r w:rsidRPr="0015615B">
        <w:rPr>
          <w:rFonts w:ascii="Times New Roman" w:hAnsi="Times New Roman" w:cs="Times New Roman"/>
          <w:sz w:val="24"/>
          <w:szCs w:val="24"/>
        </w:rPr>
        <w:lastRenderedPageBreak/>
        <w:t xml:space="preserve">FERNANDES, Uelton F.; INTINI, João M.. Bancada ruralista: a face política do agronegócio. In: </w:t>
      </w:r>
      <w:r w:rsidRPr="0015615B">
        <w:rPr>
          <w:rFonts w:ascii="Times New Roman" w:hAnsi="Times New Roman" w:cs="Times New Roman"/>
          <w:b/>
          <w:bCs/>
          <w:sz w:val="24"/>
          <w:szCs w:val="24"/>
        </w:rPr>
        <w:t>Revista da Associação Brasileira de Reforma Agrária</w:t>
      </w:r>
      <w:r w:rsidRPr="0015615B">
        <w:rPr>
          <w:rFonts w:ascii="Times New Roman" w:hAnsi="Times New Roman" w:cs="Times New Roman"/>
          <w:sz w:val="24"/>
          <w:szCs w:val="24"/>
        </w:rPr>
        <w:t xml:space="preserve">. Edição Especial. P. 70-86. Jul./ 13. </w:t>
      </w:r>
    </w:p>
    <w:p w:rsidR="00246E71" w:rsidRPr="0015615B" w:rsidRDefault="00246E71" w:rsidP="0015615B">
      <w:pPr>
        <w:spacing w:after="0" w:line="240" w:lineRule="auto"/>
        <w:jc w:val="both"/>
        <w:rPr>
          <w:rFonts w:ascii="Times New Roman" w:hAnsi="Times New Roman" w:cs="Times New Roman"/>
          <w:sz w:val="24"/>
          <w:szCs w:val="24"/>
        </w:rPr>
      </w:pPr>
    </w:p>
    <w:p w:rsidR="00246E71" w:rsidRPr="0015615B" w:rsidRDefault="00246E71" w:rsidP="0015615B">
      <w:pPr>
        <w:spacing w:after="0" w:line="240" w:lineRule="auto"/>
        <w:jc w:val="both"/>
        <w:rPr>
          <w:rFonts w:ascii="Times New Roman" w:hAnsi="Times New Roman" w:cs="Times New Roman"/>
          <w:i/>
          <w:sz w:val="24"/>
          <w:szCs w:val="24"/>
        </w:rPr>
      </w:pPr>
      <w:r w:rsidRPr="0015615B">
        <w:rPr>
          <w:rStyle w:val="CitaoHTML"/>
          <w:rFonts w:ascii="Times New Roman" w:hAnsi="Times New Roman" w:cs="Times New Roman"/>
          <w:i w:val="0"/>
          <w:sz w:val="24"/>
          <w:szCs w:val="24"/>
          <w:lang w:val="pt-PT"/>
        </w:rPr>
        <w:t xml:space="preserve">GRUPO FARIAS. </w:t>
      </w:r>
      <w:hyperlink r:id="rId11" w:history="1">
        <w:r w:rsidRPr="0015615B">
          <w:rPr>
            <w:rStyle w:val="Hyperlink"/>
            <w:rFonts w:ascii="Times New Roman" w:hAnsi="Times New Roman" w:cs="Times New Roman"/>
            <w:sz w:val="24"/>
            <w:szCs w:val="24"/>
            <w:lang w:val="pt-PT"/>
          </w:rPr>
          <w:t>www.</w:t>
        </w:r>
        <w:r w:rsidRPr="0015615B">
          <w:rPr>
            <w:rStyle w:val="Hyperlink"/>
            <w:rFonts w:ascii="Times New Roman" w:hAnsi="Times New Roman" w:cs="Times New Roman"/>
            <w:b/>
            <w:bCs/>
            <w:sz w:val="24"/>
            <w:szCs w:val="24"/>
            <w:lang w:val="pt-PT"/>
          </w:rPr>
          <w:t>grupofarias</w:t>
        </w:r>
        <w:r w:rsidRPr="0015615B">
          <w:rPr>
            <w:rStyle w:val="Hyperlink"/>
            <w:rFonts w:ascii="Times New Roman" w:hAnsi="Times New Roman" w:cs="Times New Roman"/>
            <w:sz w:val="24"/>
            <w:szCs w:val="24"/>
            <w:lang w:val="pt-PT"/>
          </w:rPr>
          <w:t>.com.br</w:t>
        </w:r>
      </w:hyperlink>
      <w:r w:rsidRPr="0015615B">
        <w:rPr>
          <w:rStyle w:val="CitaoHTML"/>
          <w:rFonts w:ascii="Times New Roman" w:hAnsi="Times New Roman" w:cs="Times New Roman"/>
          <w:i w:val="0"/>
          <w:sz w:val="24"/>
          <w:szCs w:val="24"/>
          <w:lang w:val="pt-PT"/>
        </w:rPr>
        <w:t xml:space="preserve"> .</w:t>
      </w:r>
      <w:r w:rsidR="00432215" w:rsidRPr="0015615B">
        <w:rPr>
          <w:rStyle w:val="CitaoHTML"/>
          <w:rFonts w:ascii="Times New Roman" w:hAnsi="Times New Roman" w:cs="Times New Roman"/>
          <w:i w:val="0"/>
          <w:sz w:val="24"/>
          <w:szCs w:val="24"/>
          <w:lang w:val="pt-PT"/>
        </w:rPr>
        <w:t xml:space="preserve"> Recife, Brasil. Acessado em: 10 de Maio de 2015.</w:t>
      </w:r>
    </w:p>
    <w:p w:rsidR="0013633C" w:rsidRPr="0015615B" w:rsidRDefault="0013633C" w:rsidP="0015615B">
      <w:pPr>
        <w:spacing w:after="0" w:line="240" w:lineRule="auto"/>
        <w:jc w:val="both"/>
        <w:rPr>
          <w:rFonts w:ascii="Times New Roman" w:hAnsi="Times New Roman" w:cs="Times New Roman"/>
          <w:sz w:val="24"/>
          <w:szCs w:val="24"/>
        </w:rPr>
      </w:pPr>
    </w:p>
    <w:p w:rsidR="008B0F9E" w:rsidRPr="0015615B" w:rsidRDefault="008B0F9E" w:rsidP="0015615B">
      <w:pPr>
        <w:spacing w:after="0" w:line="240" w:lineRule="auto"/>
        <w:jc w:val="both"/>
        <w:rPr>
          <w:rFonts w:ascii="Times New Roman" w:hAnsi="Times New Roman" w:cs="Times New Roman"/>
          <w:sz w:val="24"/>
          <w:szCs w:val="24"/>
        </w:rPr>
      </w:pPr>
      <w:r w:rsidRPr="0015615B">
        <w:rPr>
          <w:rFonts w:ascii="Times New Roman" w:hAnsi="Times New Roman" w:cs="Times New Roman"/>
          <w:sz w:val="24"/>
          <w:szCs w:val="24"/>
        </w:rPr>
        <w:t xml:space="preserve">GUZMÁN, Eduardo Sevilla; MOLINA, Manuel González de. </w:t>
      </w:r>
      <w:r w:rsidRPr="0015615B">
        <w:rPr>
          <w:rFonts w:ascii="Times New Roman" w:hAnsi="Times New Roman" w:cs="Times New Roman"/>
          <w:b/>
          <w:bCs/>
          <w:sz w:val="24"/>
          <w:szCs w:val="24"/>
        </w:rPr>
        <w:t xml:space="preserve">Sobre a evolução do conceito de campesinato. </w:t>
      </w:r>
      <w:r w:rsidRPr="0015615B">
        <w:rPr>
          <w:rFonts w:ascii="Times New Roman" w:hAnsi="Times New Roman" w:cs="Times New Roman"/>
          <w:sz w:val="24"/>
          <w:szCs w:val="24"/>
        </w:rPr>
        <w:t>São Paulo: Expressão Popular, 2005. 96 p.</w:t>
      </w:r>
    </w:p>
    <w:p w:rsidR="00246E71" w:rsidRPr="0015615B" w:rsidRDefault="00246E71" w:rsidP="0015615B">
      <w:pPr>
        <w:spacing w:after="0" w:line="240" w:lineRule="auto"/>
        <w:jc w:val="both"/>
        <w:rPr>
          <w:rFonts w:ascii="Times New Roman" w:hAnsi="Times New Roman" w:cs="Times New Roman"/>
          <w:sz w:val="24"/>
          <w:szCs w:val="24"/>
        </w:rPr>
      </w:pPr>
    </w:p>
    <w:p w:rsidR="00246E71" w:rsidRPr="0015615B" w:rsidRDefault="00246E71" w:rsidP="0015615B">
      <w:pPr>
        <w:spacing w:after="0" w:line="240" w:lineRule="auto"/>
        <w:jc w:val="both"/>
        <w:rPr>
          <w:rFonts w:ascii="Times New Roman" w:hAnsi="Times New Roman" w:cs="Times New Roman"/>
          <w:sz w:val="24"/>
          <w:szCs w:val="24"/>
        </w:rPr>
      </w:pPr>
      <w:r w:rsidRPr="0015615B">
        <w:rPr>
          <w:rStyle w:val="CitaoHTML"/>
          <w:rFonts w:ascii="Times New Roman" w:hAnsi="Times New Roman" w:cs="Times New Roman"/>
          <w:i w:val="0"/>
          <w:sz w:val="24"/>
          <w:szCs w:val="24"/>
          <w:lang w:val="pt-PT"/>
        </w:rPr>
        <w:t xml:space="preserve">INSTITUTO NACIONAL DE COLONIZAÇÃO DE REFORMA AGRÁRIA. </w:t>
      </w:r>
      <w:hyperlink r:id="rId12" w:history="1">
        <w:r w:rsidRPr="0015615B">
          <w:rPr>
            <w:rStyle w:val="Hyperlink"/>
            <w:rFonts w:ascii="Times New Roman" w:hAnsi="Times New Roman" w:cs="Times New Roman"/>
            <w:sz w:val="24"/>
            <w:szCs w:val="24"/>
            <w:lang w:val="pt-PT"/>
          </w:rPr>
          <w:t>www.</w:t>
        </w:r>
        <w:r w:rsidRPr="0015615B">
          <w:rPr>
            <w:rStyle w:val="Hyperlink"/>
            <w:rFonts w:ascii="Times New Roman" w:hAnsi="Times New Roman" w:cs="Times New Roman"/>
            <w:b/>
            <w:bCs/>
            <w:sz w:val="24"/>
            <w:szCs w:val="24"/>
            <w:lang w:val="pt-PT"/>
          </w:rPr>
          <w:t>incra</w:t>
        </w:r>
        <w:r w:rsidRPr="0015615B">
          <w:rPr>
            <w:rStyle w:val="Hyperlink"/>
            <w:rFonts w:ascii="Times New Roman" w:hAnsi="Times New Roman" w:cs="Times New Roman"/>
            <w:sz w:val="24"/>
            <w:szCs w:val="24"/>
            <w:lang w:val="pt-PT"/>
          </w:rPr>
          <w:t>.gov.br</w:t>
        </w:r>
      </w:hyperlink>
      <w:r w:rsidR="00432215" w:rsidRPr="0015615B">
        <w:rPr>
          <w:rStyle w:val="CitaoHTML"/>
          <w:rFonts w:ascii="Times New Roman" w:hAnsi="Times New Roman" w:cs="Times New Roman"/>
          <w:i w:val="0"/>
          <w:sz w:val="24"/>
          <w:szCs w:val="24"/>
          <w:lang w:val="pt-PT"/>
        </w:rPr>
        <w:t xml:space="preserve"> . Brasília,</w:t>
      </w:r>
      <w:r w:rsidRPr="0015615B">
        <w:rPr>
          <w:rStyle w:val="CitaoHTML"/>
          <w:rFonts w:ascii="Times New Roman" w:hAnsi="Times New Roman" w:cs="Times New Roman"/>
          <w:i w:val="0"/>
          <w:sz w:val="24"/>
          <w:szCs w:val="24"/>
          <w:lang w:val="pt-PT"/>
        </w:rPr>
        <w:t xml:space="preserve"> Brasil. Acesso em: 08 de Maio de 2015.</w:t>
      </w:r>
    </w:p>
    <w:p w:rsidR="008B0F9E" w:rsidRPr="0015615B" w:rsidRDefault="008B0F9E" w:rsidP="0015615B">
      <w:pPr>
        <w:spacing w:after="0" w:line="240" w:lineRule="auto"/>
        <w:jc w:val="both"/>
        <w:rPr>
          <w:rFonts w:ascii="Times New Roman" w:hAnsi="Times New Roman" w:cs="Times New Roman"/>
          <w:sz w:val="24"/>
          <w:szCs w:val="24"/>
        </w:rPr>
      </w:pPr>
    </w:p>
    <w:p w:rsidR="0013633C" w:rsidRPr="0015615B" w:rsidRDefault="0013633C" w:rsidP="0015615B">
      <w:pPr>
        <w:spacing w:after="0" w:line="240" w:lineRule="auto"/>
        <w:jc w:val="both"/>
        <w:rPr>
          <w:rFonts w:ascii="Times New Roman" w:hAnsi="Times New Roman" w:cs="Times New Roman"/>
          <w:sz w:val="24"/>
          <w:szCs w:val="24"/>
        </w:rPr>
      </w:pPr>
      <w:r w:rsidRPr="0015615B">
        <w:rPr>
          <w:rFonts w:ascii="Times New Roman" w:hAnsi="Times New Roman" w:cs="Times New Roman"/>
          <w:sz w:val="24"/>
          <w:szCs w:val="24"/>
        </w:rPr>
        <w:t xml:space="preserve">INSTITUTO BRASILEIRO DE GEOGRAFIA E ESTATÍSTICA. </w:t>
      </w:r>
      <w:r w:rsidRPr="0015615B">
        <w:rPr>
          <w:rFonts w:ascii="Times New Roman" w:hAnsi="Times New Roman" w:cs="Times New Roman"/>
          <w:b/>
          <w:bCs/>
          <w:sz w:val="24"/>
          <w:szCs w:val="24"/>
        </w:rPr>
        <w:t xml:space="preserve">Censo Agropecuário 2006: </w:t>
      </w:r>
      <w:r w:rsidRPr="0015615B">
        <w:rPr>
          <w:rFonts w:ascii="Times New Roman" w:hAnsi="Times New Roman" w:cs="Times New Roman"/>
          <w:sz w:val="24"/>
          <w:szCs w:val="24"/>
        </w:rPr>
        <w:t xml:space="preserve">Brasil, grandes regiões e unidades da federação. Rio de Janeiro: IBGE, 2006. Disponível em: </w:t>
      </w:r>
      <w:r w:rsidRPr="0015615B">
        <w:rPr>
          <w:rFonts w:ascii="Times New Roman" w:hAnsi="Times New Roman" w:cs="Times New Roman"/>
          <w:color w:val="0000FF"/>
          <w:sz w:val="24"/>
          <w:szCs w:val="24"/>
        </w:rPr>
        <w:t>www.ibge.gov.br</w:t>
      </w:r>
      <w:r w:rsidR="008B0F9E" w:rsidRPr="0015615B">
        <w:rPr>
          <w:rFonts w:ascii="Times New Roman" w:hAnsi="Times New Roman" w:cs="Times New Roman"/>
          <w:sz w:val="24"/>
          <w:szCs w:val="24"/>
        </w:rPr>
        <w:t>. Acesso em: 08 Abr. 2015</w:t>
      </w:r>
      <w:r w:rsidRPr="0015615B">
        <w:rPr>
          <w:rFonts w:ascii="Times New Roman" w:hAnsi="Times New Roman" w:cs="Times New Roman"/>
          <w:sz w:val="24"/>
          <w:szCs w:val="24"/>
        </w:rPr>
        <w:t>. 775 p.</w:t>
      </w:r>
    </w:p>
    <w:p w:rsidR="00246E71" w:rsidRPr="0015615B" w:rsidRDefault="00246E71" w:rsidP="0015615B">
      <w:pPr>
        <w:spacing w:after="0" w:line="240" w:lineRule="auto"/>
        <w:jc w:val="both"/>
        <w:rPr>
          <w:rFonts w:ascii="Times New Roman" w:hAnsi="Times New Roman" w:cs="Times New Roman"/>
          <w:sz w:val="24"/>
          <w:szCs w:val="24"/>
        </w:rPr>
      </w:pPr>
    </w:p>
    <w:p w:rsidR="00246E71" w:rsidRPr="0015615B" w:rsidRDefault="00246E71" w:rsidP="0015615B">
      <w:pPr>
        <w:spacing w:after="0" w:line="240" w:lineRule="auto"/>
        <w:jc w:val="both"/>
        <w:rPr>
          <w:rFonts w:ascii="Times New Roman" w:hAnsi="Times New Roman" w:cs="Times New Roman"/>
          <w:i/>
          <w:sz w:val="24"/>
          <w:szCs w:val="24"/>
        </w:rPr>
      </w:pPr>
      <w:r w:rsidRPr="0015615B">
        <w:rPr>
          <w:rFonts w:ascii="Times New Roman" w:hAnsi="Times New Roman" w:cs="Times New Roman"/>
          <w:sz w:val="24"/>
          <w:szCs w:val="24"/>
        </w:rPr>
        <w:t xml:space="preserve">______. </w:t>
      </w:r>
      <w:r w:rsidRPr="0015615B">
        <w:rPr>
          <w:rStyle w:val="CitaoHTML"/>
          <w:rFonts w:ascii="Times New Roman" w:hAnsi="Times New Roman" w:cs="Times New Roman"/>
          <w:b/>
          <w:bCs/>
          <w:i w:val="0"/>
          <w:sz w:val="24"/>
          <w:szCs w:val="24"/>
          <w:lang w:val="pt-PT"/>
        </w:rPr>
        <w:t>cidades</w:t>
      </w:r>
      <w:r w:rsidRPr="0015615B">
        <w:rPr>
          <w:rStyle w:val="CitaoHTML"/>
          <w:rFonts w:ascii="Times New Roman" w:hAnsi="Times New Roman" w:cs="Times New Roman"/>
          <w:i w:val="0"/>
          <w:sz w:val="24"/>
          <w:szCs w:val="24"/>
          <w:lang w:val="pt-PT"/>
        </w:rPr>
        <w:t>.</w:t>
      </w:r>
      <w:r w:rsidRPr="0015615B">
        <w:rPr>
          <w:rStyle w:val="CitaoHTML"/>
          <w:rFonts w:ascii="Times New Roman" w:hAnsi="Times New Roman" w:cs="Times New Roman"/>
          <w:b/>
          <w:bCs/>
          <w:i w:val="0"/>
          <w:sz w:val="24"/>
          <w:szCs w:val="24"/>
          <w:lang w:val="pt-PT"/>
        </w:rPr>
        <w:t>ibge</w:t>
      </w:r>
      <w:r w:rsidRPr="0015615B">
        <w:rPr>
          <w:rStyle w:val="CitaoHTML"/>
          <w:rFonts w:ascii="Times New Roman" w:hAnsi="Times New Roman" w:cs="Times New Roman"/>
          <w:i w:val="0"/>
          <w:sz w:val="24"/>
          <w:szCs w:val="24"/>
          <w:lang w:val="pt-PT"/>
        </w:rPr>
        <w:t xml:space="preserve">.gov.br. </w:t>
      </w:r>
      <w:r w:rsidR="00432215" w:rsidRPr="0015615B">
        <w:rPr>
          <w:rStyle w:val="CitaoHTML"/>
          <w:rFonts w:ascii="Times New Roman" w:hAnsi="Times New Roman" w:cs="Times New Roman"/>
          <w:i w:val="0"/>
          <w:sz w:val="24"/>
          <w:szCs w:val="24"/>
          <w:lang w:val="pt-PT"/>
        </w:rPr>
        <w:t>Brasilia,</w:t>
      </w:r>
      <w:r w:rsidRPr="0015615B">
        <w:rPr>
          <w:rStyle w:val="CitaoHTML"/>
          <w:rFonts w:ascii="Times New Roman" w:hAnsi="Times New Roman" w:cs="Times New Roman"/>
          <w:i w:val="0"/>
          <w:sz w:val="24"/>
          <w:szCs w:val="24"/>
          <w:lang w:val="pt-PT"/>
        </w:rPr>
        <w:t xml:space="preserve"> Brasil. Acesso em: 08 de Maio de 2015.</w:t>
      </w:r>
    </w:p>
    <w:p w:rsidR="00363476" w:rsidRPr="0015615B" w:rsidRDefault="00363476" w:rsidP="0015615B">
      <w:pPr>
        <w:spacing w:after="0" w:line="240" w:lineRule="auto"/>
        <w:jc w:val="both"/>
        <w:rPr>
          <w:rFonts w:ascii="Times New Roman" w:hAnsi="Times New Roman" w:cs="Times New Roman"/>
          <w:sz w:val="24"/>
          <w:szCs w:val="24"/>
        </w:rPr>
      </w:pPr>
    </w:p>
    <w:p w:rsidR="00363476" w:rsidRPr="0015615B" w:rsidRDefault="00363476" w:rsidP="0015615B">
      <w:pPr>
        <w:spacing w:after="0" w:line="240" w:lineRule="auto"/>
        <w:jc w:val="both"/>
        <w:rPr>
          <w:rStyle w:val="CitaoHTML"/>
          <w:rFonts w:ascii="Times New Roman" w:hAnsi="Times New Roman" w:cs="Times New Roman"/>
          <w:i w:val="0"/>
          <w:sz w:val="24"/>
          <w:szCs w:val="24"/>
          <w:lang w:val="pt-PT"/>
        </w:rPr>
      </w:pPr>
      <w:r w:rsidRPr="0015615B">
        <w:rPr>
          <w:rFonts w:ascii="Times New Roman" w:hAnsi="Times New Roman" w:cs="Times New Roman"/>
          <w:sz w:val="24"/>
          <w:szCs w:val="24"/>
        </w:rPr>
        <w:t>INSTITUTO MAURO BORGES.</w:t>
      </w:r>
      <w:r w:rsidR="00246E71" w:rsidRPr="0015615B">
        <w:rPr>
          <w:rFonts w:ascii="Times New Roman" w:hAnsi="Times New Roman" w:cs="Times New Roman"/>
          <w:sz w:val="24"/>
          <w:szCs w:val="24"/>
        </w:rPr>
        <w:t xml:space="preserve"> </w:t>
      </w:r>
      <w:r w:rsidR="00246E71" w:rsidRPr="0015615B">
        <w:rPr>
          <w:rFonts w:ascii="Times New Roman" w:hAnsi="Times New Roman" w:cs="Times New Roman"/>
          <w:b/>
          <w:sz w:val="24"/>
          <w:szCs w:val="24"/>
        </w:rPr>
        <w:t>Estatísticas Municipais:</w:t>
      </w:r>
      <w:r w:rsidR="00246E71" w:rsidRPr="0015615B">
        <w:rPr>
          <w:rFonts w:ascii="Times New Roman" w:hAnsi="Times New Roman" w:cs="Times New Roman"/>
          <w:sz w:val="24"/>
          <w:szCs w:val="24"/>
        </w:rPr>
        <w:t xml:space="preserve"> séries históricas. Goiânia: IMB, 2015. Disponível em: </w:t>
      </w:r>
      <w:r w:rsidRPr="0015615B">
        <w:rPr>
          <w:rFonts w:ascii="Times New Roman" w:hAnsi="Times New Roman" w:cs="Times New Roman"/>
          <w:sz w:val="24"/>
          <w:szCs w:val="24"/>
        </w:rPr>
        <w:t xml:space="preserve"> </w:t>
      </w:r>
      <w:hyperlink r:id="rId13" w:history="1">
        <w:r w:rsidRPr="0015615B">
          <w:rPr>
            <w:rStyle w:val="Hyperlink"/>
            <w:rFonts w:ascii="Times New Roman" w:hAnsi="Times New Roman" w:cs="Times New Roman"/>
            <w:sz w:val="24"/>
            <w:szCs w:val="24"/>
            <w:lang w:val="pt-PT"/>
          </w:rPr>
          <w:t>www.imb.go.gov.br</w:t>
        </w:r>
      </w:hyperlink>
      <w:r w:rsidR="00246E71" w:rsidRPr="0015615B">
        <w:rPr>
          <w:rStyle w:val="CitaoHTML"/>
          <w:rFonts w:ascii="Times New Roman" w:hAnsi="Times New Roman" w:cs="Times New Roman"/>
          <w:i w:val="0"/>
          <w:sz w:val="24"/>
          <w:szCs w:val="24"/>
          <w:lang w:val="pt-PT"/>
        </w:rPr>
        <w:t>. Acesso em: 08 de Abril de 2015.</w:t>
      </w:r>
    </w:p>
    <w:p w:rsidR="00246E71" w:rsidRPr="0015615B" w:rsidRDefault="00246E71" w:rsidP="0015615B">
      <w:pPr>
        <w:spacing w:after="0" w:line="240" w:lineRule="auto"/>
        <w:jc w:val="both"/>
        <w:rPr>
          <w:rFonts w:ascii="Times New Roman" w:hAnsi="Times New Roman" w:cs="Times New Roman"/>
          <w:sz w:val="24"/>
          <w:szCs w:val="24"/>
        </w:rPr>
      </w:pPr>
    </w:p>
    <w:p w:rsidR="008B0F9E" w:rsidRPr="0015615B" w:rsidRDefault="008B0F9E" w:rsidP="0015615B">
      <w:pPr>
        <w:autoSpaceDE w:val="0"/>
        <w:autoSpaceDN w:val="0"/>
        <w:adjustRightInd w:val="0"/>
        <w:spacing w:after="0" w:line="240" w:lineRule="auto"/>
        <w:jc w:val="both"/>
        <w:rPr>
          <w:rFonts w:ascii="Times New Roman" w:hAnsi="Times New Roman" w:cs="Times New Roman"/>
          <w:color w:val="000000"/>
          <w:sz w:val="24"/>
          <w:szCs w:val="24"/>
        </w:rPr>
      </w:pPr>
      <w:r w:rsidRPr="0015615B">
        <w:rPr>
          <w:rFonts w:ascii="Times New Roman" w:hAnsi="Times New Roman" w:cs="Times New Roman"/>
          <w:color w:val="000000"/>
          <w:sz w:val="24"/>
          <w:szCs w:val="24"/>
        </w:rPr>
        <w:t xml:space="preserve">KAUTSKY, Karl. </w:t>
      </w:r>
      <w:r w:rsidRPr="0015615B">
        <w:rPr>
          <w:rFonts w:ascii="Times New Roman" w:hAnsi="Times New Roman" w:cs="Times New Roman"/>
          <w:b/>
          <w:bCs/>
          <w:color w:val="000000"/>
          <w:sz w:val="24"/>
          <w:szCs w:val="24"/>
        </w:rPr>
        <w:t xml:space="preserve">A questão agrária. </w:t>
      </w:r>
      <w:r w:rsidRPr="0015615B">
        <w:rPr>
          <w:rFonts w:ascii="Times New Roman" w:hAnsi="Times New Roman" w:cs="Times New Roman"/>
          <w:color w:val="000000"/>
          <w:sz w:val="24"/>
          <w:szCs w:val="24"/>
        </w:rPr>
        <w:t xml:space="preserve">Brasília: Instituto Teotônio Vilela, 1998. 586 p. </w:t>
      </w:r>
    </w:p>
    <w:p w:rsidR="008B0F9E" w:rsidRPr="0015615B" w:rsidRDefault="008B0F9E" w:rsidP="0015615B">
      <w:pPr>
        <w:autoSpaceDE w:val="0"/>
        <w:autoSpaceDN w:val="0"/>
        <w:adjustRightInd w:val="0"/>
        <w:spacing w:after="0" w:line="240" w:lineRule="auto"/>
        <w:jc w:val="both"/>
        <w:rPr>
          <w:rFonts w:ascii="Times New Roman" w:hAnsi="Times New Roman" w:cs="Times New Roman"/>
          <w:color w:val="000000"/>
          <w:sz w:val="24"/>
          <w:szCs w:val="24"/>
        </w:rPr>
      </w:pPr>
    </w:p>
    <w:p w:rsidR="008B0F9E" w:rsidRPr="0015615B" w:rsidRDefault="008B0F9E" w:rsidP="0015615B">
      <w:pPr>
        <w:spacing w:after="0" w:line="240" w:lineRule="auto"/>
        <w:jc w:val="both"/>
        <w:rPr>
          <w:rFonts w:ascii="Times New Roman" w:hAnsi="Times New Roman" w:cs="Times New Roman"/>
          <w:color w:val="000000"/>
          <w:sz w:val="24"/>
          <w:szCs w:val="24"/>
        </w:rPr>
      </w:pPr>
      <w:r w:rsidRPr="0015615B">
        <w:rPr>
          <w:rFonts w:ascii="Times New Roman" w:hAnsi="Times New Roman" w:cs="Times New Roman"/>
          <w:color w:val="000000"/>
          <w:sz w:val="24"/>
          <w:szCs w:val="24"/>
        </w:rPr>
        <w:t xml:space="preserve">LEITE, Sergio Pereira; MEDEIROS, </w:t>
      </w:r>
      <w:proofErr w:type="spellStart"/>
      <w:r w:rsidRPr="0015615B">
        <w:rPr>
          <w:rFonts w:ascii="Times New Roman" w:hAnsi="Times New Roman" w:cs="Times New Roman"/>
          <w:color w:val="000000"/>
          <w:sz w:val="24"/>
          <w:szCs w:val="24"/>
        </w:rPr>
        <w:t>Leonilde</w:t>
      </w:r>
      <w:proofErr w:type="spellEnd"/>
      <w:r w:rsidRPr="0015615B">
        <w:rPr>
          <w:rFonts w:ascii="Times New Roman" w:hAnsi="Times New Roman" w:cs="Times New Roman"/>
          <w:color w:val="000000"/>
          <w:sz w:val="24"/>
          <w:szCs w:val="24"/>
        </w:rPr>
        <w:t xml:space="preserve"> </w:t>
      </w:r>
      <w:proofErr w:type="spellStart"/>
      <w:r w:rsidRPr="0015615B">
        <w:rPr>
          <w:rFonts w:ascii="Times New Roman" w:hAnsi="Times New Roman" w:cs="Times New Roman"/>
          <w:color w:val="000000"/>
          <w:sz w:val="24"/>
          <w:szCs w:val="24"/>
        </w:rPr>
        <w:t>Servolo</w:t>
      </w:r>
      <w:proofErr w:type="spellEnd"/>
      <w:r w:rsidRPr="0015615B">
        <w:rPr>
          <w:rFonts w:ascii="Times New Roman" w:hAnsi="Times New Roman" w:cs="Times New Roman"/>
          <w:color w:val="000000"/>
          <w:sz w:val="24"/>
          <w:szCs w:val="24"/>
        </w:rPr>
        <w:t xml:space="preserve"> de. Agronegócio. </w:t>
      </w:r>
      <w:r w:rsidRPr="0015615B">
        <w:rPr>
          <w:rFonts w:ascii="Times New Roman" w:hAnsi="Times New Roman" w:cs="Times New Roman"/>
          <w:i/>
          <w:iCs/>
          <w:color w:val="000000"/>
          <w:sz w:val="24"/>
          <w:szCs w:val="24"/>
        </w:rPr>
        <w:t xml:space="preserve">In: </w:t>
      </w:r>
      <w:r w:rsidRPr="0015615B">
        <w:rPr>
          <w:rFonts w:ascii="Times New Roman" w:hAnsi="Times New Roman" w:cs="Times New Roman"/>
          <w:color w:val="000000"/>
          <w:sz w:val="24"/>
          <w:szCs w:val="24"/>
        </w:rPr>
        <w:t xml:space="preserve">ALENTEJANO, Paulo; CALDART, Roseli Salete et. </w:t>
      </w:r>
      <w:proofErr w:type="spellStart"/>
      <w:proofErr w:type="gramStart"/>
      <w:r w:rsidRPr="0015615B">
        <w:rPr>
          <w:rFonts w:ascii="Times New Roman" w:hAnsi="Times New Roman" w:cs="Times New Roman"/>
          <w:color w:val="000000"/>
          <w:sz w:val="24"/>
          <w:szCs w:val="24"/>
        </w:rPr>
        <w:t>al</w:t>
      </w:r>
      <w:proofErr w:type="spellEnd"/>
      <w:proofErr w:type="gramEnd"/>
      <w:r w:rsidRPr="0015615B">
        <w:rPr>
          <w:rFonts w:ascii="Times New Roman" w:hAnsi="Times New Roman" w:cs="Times New Roman"/>
          <w:color w:val="000000"/>
          <w:sz w:val="24"/>
          <w:szCs w:val="24"/>
        </w:rPr>
        <w:t xml:space="preserve"> (</w:t>
      </w:r>
      <w:proofErr w:type="spellStart"/>
      <w:r w:rsidRPr="0015615B">
        <w:rPr>
          <w:rFonts w:ascii="Times New Roman" w:hAnsi="Times New Roman" w:cs="Times New Roman"/>
          <w:color w:val="000000"/>
          <w:sz w:val="24"/>
          <w:szCs w:val="24"/>
        </w:rPr>
        <w:t>orgs</w:t>
      </w:r>
      <w:proofErr w:type="spellEnd"/>
      <w:r w:rsidRPr="0015615B">
        <w:rPr>
          <w:rFonts w:ascii="Times New Roman" w:hAnsi="Times New Roman" w:cs="Times New Roman"/>
          <w:color w:val="000000"/>
          <w:sz w:val="24"/>
          <w:szCs w:val="24"/>
        </w:rPr>
        <w:t xml:space="preserve">.). </w:t>
      </w:r>
      <w:r w:rsidRPr="0015615B">
        <w:rPr>
          <w:rFonts w:ascii="Times New Roman" w:hAnsi="Times New Roman" w:cs="Times New Roman"/>
          <w:b/>
          <w:bCs/>
          <w:color w:val="000000"/>
          <w:sz w:val="24"/>
          <w:szCs w:val="24"/>
        </w:rPr>
        <w:t xml:space="preserve">Dicionário da Educação do Campo. </w:t>
      </w:r>
      <w:r w:rsidRPr="0015615B">
        <w:rPr>
          <w:rFonts w:ascii="Times New Roman" w:hAnsi="Times New Roman" w:cs="Times New Roman"/>
          <w:color w:val="000000"/>
          <w:sz w:val="24"/>
          <w:szCs w:val="24"/>
        </w:rPr>
        <w:t>Rio de Janeiro: Expressão Popular, 2012. 79-85 p.</w:t>
      </w:r>
    </w:p>
    <w:p w:rsidR="008B0F9E" w:rsidRPr="0015615B" w:rsidRDefault="008B0F9E" w:rsidP="0015615B">
      <w:pPr>
        <w:spacing w:after="0" w:line="240" w:lineRule="auto"/>
        <w:jc w:val="both"/>
        <w:rPr>
          <w:rFonts w:ascii="Times New Roman" w:hAnsi="Times New Roman" w:cs="Times New Roman"/>
          <w:sz w:val="24"/>
          <w:szCs w:val="24"/>
        </w:rPr>
      </w:pPr>
    </w:p>
    <w:p w:rsidR="008B0F9E" w:rsidRPr="0015615B" w:rsidRDefault="008B0F9E" w:rsidP="0015615B">
      <w:pPr>
        <w:spacing w:after="0" w:line="240" w:lineRule="auto"/>
        <w:jc w:val="both"/>
        <w:rPr>
          <w:rFonts w:ascii="Times New Roman" w:hAnsi="Times New Roman" w:cs="Times New Roman"/>
          <w:sz w:val="24"/>
          <w:szCs w:val="24"/>
        </w:rPr>
      </w:pPr>
      <w:r w:rsidRPr="0015615B">
        <w:rPr>
          <w:rFonts w:ascii="Times New Roman" w:hAnsi="Times New Roman" w:cs="Times New Roman"/>
          <w:sz w:val="24"/>
          <w:szCs w:val="24"/>
        </w:rPr>
        <w:t xml:space="preserve">LUXEMBURGO, Rosa. </w:t>
      </w:r>
      <w:r w:rsidRPr="0015615B">
        <w:rPr>
          <w:rFonts w:ascii="Times New Roman" w:hAnsi="Times New Roman" w:cs="Times New Roman"/>
          <w:b/>
          <w:bCs/>
          <w:sz w:val="24"/>
          <w:szCs w:val="24"/>
        </w:rPr>
        <w:t xml:space="preserve">A Acumulação do Capital: </w:t>
      </w:r>
      <w:r w:rsidRPr="0015615B">
        <w:rPr>
          <w:rFonts w:ascii="Times New Roman" w:hAnsi="Times New Roman" w:cs="Times New Roman"/>
          <w:sz w:val="24"/>
          <w:szCs w:val="24"/>
        </w:rPr>
        <w:t xml:space="preserve">contribuição ao estudo econômico do imperialismo. (Tradução de </w:t>
      </w:r>
      <w:proofErr w:type="spellStart"/>
      <w:r w:rsidRPr="0015615B">
        <w:rPr>
          <w:rFonts w:ascii="Times New Roman" w:hAnsi="Times New Roman" w:cs="Times New Roman"/>
          <w:sz w:val="24"/>
          <w:szCs w:val="24"/>
        </w:rPr>
        <w:t>Marijane</w:t>
      </w:r>
      <w:proofErr w:type="spellEnd"/>
      <w:r w:rsidRPr="0015615B">
        <w:rPr>
          <w:rFonts w:ascii="Times New Roman" w:hAnsi="Times New Roman" w:cs="Times New Roman"/>
          <w:sz w:val="24"/>
          <w:szCs w:val="24"/>
        </w:rPr>
        <w:t xml:space="preserve"> Vieira Lisboa e Otto Erich Walter Mass). São Paulo: Nova Cultural, 1985. 415 p.</w:t>
      </w:r>
    </w:p>
    <w:p w:rsidR="008F4571" w:rsidRPr="0015615B" w:rsidRDefault="008F4571" w:rsidP="0015615B">
      <w:pPr>
        <w:spacing w:after="0" w:line="240" w:lineRule="auto"/>
        <w:jc w:val="both"/>
        <w:rPr>
          <w:rFonts w:ascii="Times New Roman" w:hAnsi="Times New Roman" w:cs="Times New Roman"/>
          <w:sz w:val="24"/>
          <w:szCs w:val="24"/>
        </w:rPr>
      </w:pPr>
    </w:p>
    <w:p w:rsidR="008B0F9E" w:rsidRPr="0015615B" w:rsidRDefault="008F4571" w:rsidP="0015615B">
      <w:pPr>
        <w:spacing w:after="0" w:line="240" w:lineRule="auto"/>
        <w:jc w:val="both"/>
        <w:rPr>
          <w:rStyle w:val="CitaoHTML"/>
          <w:rFonts w:ascii="Times New Roman" w:hAnsi="Times New Roman" w:cs="Times New Roman"/>
          <w:i w:val="0"/>
          <w:sz w:val="24"/>
          <w:szCs w:val="24"/>
          <w:lang w:val="pt-PT"/>
        </w:rPr>
      </w:pPr>
      <w:r w:rsidRPr="0015615B">
        <w:rPr>
          <w:rFonts w:ascii="Times New Roman" w:hAnsi="Times New Roman" w:cs="Times New Roman"/>
          <w:sz w:val="24"/>
          <w:szCs w:val="24"/>
        </w:rPr>
        <w:t xml:space="preserve">MACHADO, </w:t>
      </w:r>
      <w:proofErr w:type="spellStart"/>
      <w:r w:rsidRPr="0015615B">
        <w:rPr>
          <w:rFonts w:ascii="Times New Roman" w:hAnsi="Times New Roman" w:cs="Times New Roman"/>
          <w:sz w:val="24"/>
          <w:szCs w:val="24"/>
        </w:rPr>
        <w:t>Waltuir</w:t>
      </w:r>
      <w:proofErr w:type="spellEnd"/>
      <w:r w:rsidRPr="0015615B">
        <w:rPr>
          <w:rFonts w:ascii="Times New Roman" w:hAnsi="Times New Roman" w:cs="Times New Roman"/>
          <w:sz w:val="24"/>
          <w:szCs w:val="24"/>
        </w:rPr>
        <w:t xml:space="preserve"> Batista; ALMEIDA, Luis Manoel de Moraes Camargo. Financiamento agrícola: particularidades da agricultura familiar sob a perspectiva dos produtores beneficiários e não beneficiários do PRONAF no município de Itapuranga-Goiás.</w:t>
      </w:r>
      <w:r w:rsidRPr="0015615B">
        <w:rPr>
          <w:rFonts w:ascii="Times New Roman" w:hAnsi="Times New Roman" w:cs="Times New Roman"/>
          <w:i/>
          <w:sz w:val="24"/>
          <w:szCs w:val="24"/>
        </w:rPr>
        <w:t xml:space="preserve"> In:</w:t>
      </w:r>
      <w:r w:rsidRPr="0015615B">
        <w:rPr>
          <w:rFonts w:ascii="Times New Roman" w:hAnsi="Times New Roman" w:cs="Times New Roman"/>
          <w:sz w:val="24"/>
          <w:szCs w:val="24"/>
        </w:rPr>
        <w:t xml:space="preserve"> </w:t>
      </w:r>
      <w:r w:rsidRPr="0015615B">
        <w:rPr>
          <w:rFonts w:ascii="Times New Roman" w:hAnsi="Times New Roman" w:cs="Times New Roman"/>
          <w:b/>
          <w:sz w:val="24"/>
          <w:szCs w:val="24"/>
        </w:rPr>
        <w:t>Conjuntura econômica goiana, junho/2012.</w:t>
      </w:r>
      <w:r w:rsidRPr="0015615B">
        <w:rPr>
          <w:rFonts w:ascii="Times New Roman" w:hAnsi="Times New Roman" w:cs="Times New Roman"/>
          <w:sz w:val="24"/>
          <w:szCs w:val="24"/>
        </w:rPr>
        <w:t xml:space="preserve"> Goiânia: SEEGPLAN, 2012, p. 1-13. </w:t>
      </w:r>
      <w:proofErr w:type="spellStart"/>
      <w:r w:rsidRPr="0015615B">
        <w:rPr>
          <w:rFonts w:ascii="Times New Roman" w:hAnsi="Times New Roman" w:cs="Times New Roman"/>
          <w:sz w:val="24"/>
          <w:szCs w:val="24"/>
        </w:rPr>
        <w:t>Disponivel</w:t>
      </w:r>
      <w:proofErr w:type="spellEnd"/>
      <w:r w:rsidRPr="0015615B">
        <w:rPr>
          <w:rFonts w:ascii="Times New Roman" w:hAnsi="Times New Roman" w:cs="Times New Roman"/>
          <w:sz w:val="24"/>
          <w:szCs w:val="24"/>
        </w:rPr>
        <w:t xml:space="preserve"> em: </w:t>
      </w:r>
      <w:hyperlink r:id="rId14" w:history="1">
        <w:r w:rsidRPr="0015615B">
          <w:rPr>
            <w:rStyle w:val="Hyperlink"/>
            <w:rFonts w:ascii="Times New Roman" w:hAnsi="Times New Roman" w:cs="Times New Roman"/>
            <w:sz w:val="24"/>
            <w:szCs w:val="24"/>
            <w:lang w:val="pt-PT"/>
          </w:rPr>
          <w:t>www.seplan.go.gov.br</w:t>
        </w:r>
      </w:hyperlink>
      <w:proofErr w:type="gramStart"/>
      <w:r w:rsidRPr="0015615B">
        <w:rPr>
          <w:rStyle w:val="CitaoHTML"/>
          <w:rFonts w:ascii="Times New Roman" w:hAnsi="Times New Roman" w:cs="Times New Roman"/>
          <w:i w:val="0"/>
          <w:sz w:val="24"/>
          <w:szCs w:val="24"/>
          <w:lang w:val="pt-PT"/>
        </w:rPr>
        <w:t xml:space="preserve"> .</w:t>
      </w:r>
      <w:proofErr w:type="gramEnd"/>
      <w:r w:rsidRPr="0015615B">
        <w:rPr>
          <w:rStyle w:val="CitaoHTML"/>
          <w:rFonts w:ascii="Times New Roman" w:hAnsi="Times New Roman" w:cs="Times New Roman"/>
          <w:i w:val="0"/>
          <w:sz w:val="24"/>
          <w:szCs w:val="24"/>
          <w:lang w:val="pt-PT"/>
        </w:rPr>
        <w:t xml:space="preserve"> Acesso em: 10 de Maio de 2015.</w:t>
      </w:r>
    </w:p>
    <w:p w:rsidR="008F4571" w:rsidRPr="0015615B" w:rsidRDefault="008F4571" w:rsidP="0015615B">
      <w:pPr>
        <w:spacing w:after="0" w:line="240" w:lineRule="auto"/>
        <w:jc w:val="both"/>
        <w:rPr>
          <w:rFonts w:ascii="Times New Roman" w:hAnsi="Times New Roman" w:cs="Times New Roman"/>
          <w:sz w:val="24"/>
          <w:szCs w:val="24"/>
        </w:rPr>
      </w:pPr>
    </w:p>
    <w:p w:rsidR="008B0F9E" w:rsidRPr="0015615B" w:rsidRDefault="008B0F9E" w:rsidP="0015615B">
      <w:pPr>
        <w:spacing w:after="0" w:line="240" w:lineRule="auto"/>
        <w:jc w:val="both"/>
        <w:rPr>
          <w:rFonts w:ascii="Times New Roman" w:hAnsi="Times New Roman" w:cs="Times New Roman"/>
          <w:sz w:val="24"/>
          <w:szCs w:val="24"/>
        </w:rPr>
      </w:pPr>
      <w:r w:rsidRPr="0015615B">
        <w:rPr>
          <w:rFonts w:ascii="Times New Roman" w:hAnsi="Times New Roman" w:cs="Times New Roman"/>
          <w:sz w:val="24"/>
          <w:szCs w:val="24"/>
        </w:rPr>
        <w:t xml:space="preserve">MARTINS, Adalberto. A Agroecologia na Estratégia do MST como Parte da Contraposição ao Agronegócio. </w:t>
      </w:r>
      <w:r w:rsidRPr="0015615B">
        <w:rPr>
          <w:rFonts w:ascii="Times New Roman" w:hAnsi="Times New Roman" w:cs="Times New Roman"/>
          <w:i/>
          <w:iCs/>
          <w:sz w:val="24"/>
          <w:szCs w:val="24"/>
        </w:rPr>
        <w:t xml:space="preserve">In: </w:t>
      </w:r>
      <w:r w:rsidRPr="0015615B">
        <w:rPr>
          <w:rFonts w:ascii="Times New Roman" w:hAnsi="Times New Roman" w:cs="Times New Roman"/>
          <w:b/>
          <w:bCs/>
          <w:sz w:val="24"/>
          <w:szCs w:val="24"/>
        </w:rPr>
        <w:t xml:space="preserve">Seminário da região Sul sobre a Agroecologia. </w:t>
      </w:r>
      <w:r w:rsidRPr="0015615B">
        <w:rPr>
          <w:rFonts w:ascii="Times New Roman" w:hAnsi="Times New Roman" w:cs="Times New Roman"/>
          <w:sz w:val="24"/>
          <w:szCs w:val="24"/>
        </w:rPr>
        <w:t>Porto Alegre: Setembro de 2012. 10 p.</w:t>
      </w:r>
    </w:p>
    <w:p w:rsidR="008B0F9E" w:rsidRPr="0015615B" w:rsidRDefault="008B0F9E" w:rsidP="0015615B">
      <w:pPr>
        <w:spacing w:after="0" w:line="240" w:lineRule="auto"/>
        <w:jc w:val="both"/>
        <w:rPr>
          <w:rFonts w:ascii="Times New Roman" w:hAnsi="Times New Roman" w:cs="Times New Roman"/>
          <w:sz w:val="24"/>
          <w:szCs w:val="24"/>
        </w:rPr>
      </w:pPr>
    </w:p>
    <w:p w:rsidR="008B0F9E" w:rsidRPr="0015615B" w:rsidRDefault="008B0F9E" w:rsidP="0015615B">
      <w:pPr>
        <w:spacing w:after="0" w:line="240" w:lineRule="auto"/>
        <w:jc w:val="both"/>
        <w:rPr>
          <w:rFonts w:ascii="Times New Roman" w:hAnsi="Times New Roman" w:cs="Times New Roman"/>
          <w:sz w:val="24"/>
          <w:szCs w:val="24"/>
        </w:rPr>
      </w:pPr>
      <w:r w:rsidRPr="0015615B">
        <w:rPr>
          <w:rFonts w:ascii="Times New Roman" w:hAnsi="Times New Roman" w:cs="Times New Roman"/>
          <w:sz w:val="24"/>
          <w:szCs w:val="24"/>
        </w:rPr>
        <w:t xml:space="preserve">MARX, Karl. Rascunhos da Carta à Vera </w:t>
      </w:r>
      <w:proofErr w:type="spellStart"/>
      <w:r w:rsidRPr="0015615B">
        <w:rPr>
          <w:rFonts w:ascii="Times New Roman" w:hAnsi="Times New Roman" w:cs="Times New Roman"/>
          <w:sz w:val="24"/>
          <w:szCs w:val="24"/>
        </w:rPr>
        <w:t>Sassulitch</w:t>
      </w:r>
      <w:proofErr w:type="spellEnd"/>
      <w:r w:rsidRPr="0015615B">
        <w:rPr>
          <w:rFonts w:ascii="Times New Roman" w:hAnsi="Times New Roman" w:cs="Times New Roman"/>
          <w:sz w:val="24"/>
          <w:szCs w:val="24"/>
        </w:rPr>
        <w:t xml:space="preserve"> de 1881. (Tradução de Edgard </w:t>
      </w:r>
      <w:proofErr w:type="spellStart"/>
      <w:r w:rsidRPr="0015615B">
        <w:rPr>
          <w:rFonts w:ascii="Times New Roman" w:hAnsi="Times New Roman" w:cs="Times New Roman"/>
          <w:sz w:val="24"/>
          <w:szCs w:val="24"/>
        </w:rPr>
        <w:t>Malagodi</w:t>
      </w:r>
      <w:proofErr w:type="spellEnd"/>
      <w:r w:rsidRPr="0015615B">
        <w:rPr>
          <w:rFonts w:ascii="Times New Roman" w:hAnsi="Times New Roman" w:cs="Times New Roman"/>
          <w:sz w:val="24"/>
          <w:szCs w:val="24"/>
        </w:rPr>
        <w:t xml:space="preserve"> e Rogério Silva Bezerra). </w:t>
      </w:r>
      <w:r w:rsidRPr="0015615B">
        <w:rPr>
          <w:rFonts w:ascii="Times New Roman" w:hAnsi="Times New Roman" w:cs="Times New Roman"/>
          <w:i/>
          <w:iCs/>
          <w:sz w:val="24"/>
          <w:szCs w:val="24"/>
        </w:rPr>
        <w:t xml:space="preserve">In: </w:t>
      </w:r>
      <w:r w:rsidRPr="0015615B">
        <w:rPr>
          <w:rFonts w:ascii="Times New Roman" w:hAnsi="Times New Roman" w:cs="Times New Roman"/>
          <w:b/>
          <w:bCs/>
          <w:sz w:val="24"/>
          <w:szCs w:val="24"/>
        </w:rPr>
        <w:t xml:space="preserve">Raízes, </w:t>
      </w:r>
      <w:r w:rsidRPr="0015615B">
        <w:rPr>
          <w:rFonts w:ascii="Times New Roman" w:hAnsi="Times New Roman" w:cs="Times New Roman"/>
          <w:sz w:val="24"/>
          <w:szCs w:val="24"/>
        </w:rPr>
        <w:t>Campina Grande, vol. 22, nº. 02, jul./dez. 2005. 110-123 p.</w:t>
      </w:r>
    </w:p>
    <w:p w:rsidR="008B0F9E" w:rsidRPr="0015615B" w:rsidRDefault="008B0F9E" w:rsidP="0015615B">
      <w:pPr>
        <w:spacing w:after="0" w:line="240" w:lineRule="auto"/>
        <w:jc w:val="both"/>
        <w:rPr>
          <w:rFonts w:ascii="Times New Roman" w:hAnsi="Times New Roman" w:cs="Times New Roman"/>
          <w:sz w:val="24"/>
          <w:szCs w:val="24"/>
        </w:rPr>
      </w:pPr>
    </w:p>
    <w:p w:rsidR="001415B2" w:rsidRPr="0015615B" w:rsidRDefault="0013633C" w:rsidP="0015615B">
      <w:pPr>
        <w:pStyle w:val="Default"/>
        <w:jc w:val="both"/>
        <w:rPr>
          <w:rFonts w:ascii="Times New Roman" w:hAnsi="Times New Roman" w:cs="Times New Roman"/>
          <w:color w:val="auto"/>
        </w:rPr>
      </w:pPr>
      <w:r w:rsidRPr="0015615B">
        <w:rPr>
          <w:rFonts w:ascii="Times New Roman" w:hAnsi="Times New Roman" w:cs="Times New Roman"/>
          <w:color w:val="auto"/>
        </w:rPr>
        <w:t xml:space="preserve">MATTEI, Lauro. Considerações Acerca de Teses Recentes sobre o Mundo Rural Brasileiro. In: </w:t>
      </w:r>
      <w:r w:rsidRPr="0015615B">
        <w:rPr>
          <w:rFonts w:ascii="Times New Roman" w:hAnsi="Times New Roman" w:cs="Times New Roman"/>
          <w:b/>
          <w:bCs/>
          <w:color w:val="auto"/>
        </w:rPr>
        <w:t>Revista de economia e sociologia rural</w:t>
      </w:r>
      <w:r w:rsidRPr="0015615B">
        <w:rPr>
          <w:rFonts w:ascii="Times New Roman" w:hAnsi="Times New Roman" w:cs="Times New Roman"/>
        </w:rPr>
        <w:t>. Piracicaba, V. 52, Supl. 1, p. 105-</w:t>
      </w:r>
      <w:r w:rsidRPr="0015615B">
        <w:rPr>
          <w:rFonts w:ascii="Times New Roman" w:hAnsi="Times New Roman" w:cs="Times New Roman"/>
          <w:color w:val="auto"/>
        </w:rPr>
        <w:t>124. Fev. 2015.</w:t>
      </w:r>
    </w:p>
    <w:p w:rsidR="0013633C" w:rsidRPr="0015615B" w:rsidRDefault="0013633C" w:rsidP="0015615B">
      <w:pPr>
        <w:pStyle w:val="Default"/>
        <w:jc w:val="both"/>
        <w:rPr>
          <w:rFonts w:ascii="Times New Roman" w:hAnsi="Times New Roman" w:cs="Times New Roman"/>
        </w:rPr>
      </w:pPr>
      <w:r w:rsidRPr="0015615B">
        <w:rPr>
          <w:rFonts w:ascii="Times New Roman" w:hAnsi="Times New Roman" w:cs="Times New Roman"/>
        </w:rPr>
        <w:t xml:space="preserve"> </w:t>
      </w:r>
    </w:p>
    <w:p w:rsidR="00363476" w:rsidRPr="0015615B" w:rsidRDefault="00432215" w:rsidP="0015615B">
      <w:pPr>
        <w:pStyle w:val="Default"/>
        <w:jc w:val="both"/>
        <w:rPr>
          <w:rStyle w:val="CitaoHTML"/>
          <w:rFonts w:ascii="Times New Roman" w:hAnsi="Times New Roman" w:cs="Times New Roman"/>
          <w:i w:val="0"/>
          <w:color w:val="auto"/>
          <w:lang w:val="pt-PT"/>
        </w:rPr>
      </w:pPr>
      <w:r w:rsidRPr="0015615B">
        <w:rPr>
          <w:rFonts w:ascii="Times New Roman" w:hAnsi="Times New Roman" w:cs="Times New Roman"/>
        </w:rPr>
        <w:lastRenderedPageBreak/>
        <w:t xml:space="preserve">MINISTÉRIO DA AGRICULTURA, PECUÁRIA E ABASTECIMENTO. </w:t>
      </w:r>
      <w:hyperlink r:id="rId15" w:history="1">
        <w:r w:rsidRPr="0015615B">
          <w:rPr>
            <w:rStyle w:val="Hyperlink"/>
            <w:rFonts w:ascii="Times New Roman" w:hAnsi="Times New Roman" w:cs="Times New Roman"/>
            <w:lang w:val="pt-PT"/>
          </w:rPr>
          <w:t>www.agricultura.gov.br</w:t>
        </w:r>
      </w:hyperlink>
      <w:r w:rsidRPr="0015615B">
        <w:rPr>
          <w:rStyle w:val="CitaoHTML"/>
          <w:rFonts w:ascii="Times New Roman" w:hAnsi="Times New Roman" w:cs="Times New Roman"/>
          <w:i w:val="0"/>
          <w:color w:val="auto"/>
          <w:lang w:val="pt-PT"/>
        </w:rPr>
        <w:t xml:space="preserve"> . Brasília, Brasil. Acesso em: 10 de Maio de 2015. </w:t>
      </w:r>
    </w:p>
    <w:p w:rsidR="001415B2" w:rsidRPr="0015615B" w:rsidRDefault="001415B2" w:rsidP="0015615B">
      <w:pPr>
        <w:pStyle w:val="Default"/>
        <w:jc w:val="both"/>
        <w:rPr>
          <w:rStyle w:val="CitaoHTML"/>
          <w:rFonts w:ascii="Times New Roman" w:hAnsi="Times New Roman" w:cs="Times New Roman"/>
          <w:i w:val="0"/>
          <w:color w:val="auto"/>
          <w:lang w:val="pt-PT"/>
        </w:rPr>
      </w:pPr>
    </w:p>
    <w:p w:rsidR="001415B2" w:rsidRPr="0015615B" w:rsidRDefault="001415B2" w:rsidP="0015615B">
      <w:pPr>
        <w:pStyle w:val="Default"/>
        <w:jc w:val="both"/>
        <w:rPr>
          <w:rFonts w:ascii="Times New Roman" w:hAnsi="Times New Roman" w:cs="Times New Roman"/>
        </w:rPr>
      </w:pPr>
      <w:r w:rsidRPr="0015615B">
        <w:rPr>
          <w:rStyle w:val="CitaoHTML"/>
          <w:rFonts w:ascii="Times New Roman" w:hAnsi="Times New Roman" w:cs="Times New Roman"/>
          <w:i w:val="0"/>
          <w:color w:val="auto"/>
          <w:lang w:val="pt-PT"/>
        </w:rPr>
        <w:t xml:space="preserve">PROGRAMA DE ACELERAÇÃO DO CRESCIMENTO. </w:t>
      </w:r>
      <w:r w:rsidRPr="0015615B">
        <w:rPr>
          <w:rStyle w:val="CitaoHTML"/>
          <w:rFonts w:ascii="Times New Roman" w:hAnsi="Times New Roman" w:cs="Times New Roman"/>
          <w:b/>
          <w:i w:val="0"/>
          <w:color w:val="auto"/>
          <w:lang w:val="pt-PT"/>
        </w:rPr>
        <w:t>Cartilha Estadual:</w:t>
      </w:r>
      <w:r w:rsidRPr="0015615B">
        <w:rPr>
          <w:rStyle w:val="CitaoHTML"/>
          <w:rFonts w:ascii="Times New Roman" w:hAnsi="Times New Roman" w:cs="Times New Roman"/>
          <w:i w:val="0"/>
          <w:color w:val="auto"/>
          <w:lang w:val="pt-PT"/>
        </w:rPr>
        <w:t xml:space="preserve"> 10º balanco/janeiro a abril de 2010. Brasília: Ministério do Planejamento (MINTER), 2010, 48 p. </w:t>
      </w:r>
    </w:p>
    <w:p w:rsidR="00432215" w:rsidRPr="0015615B" w:rsidRDefault="00432215" w:rsidP="0015615B">
      <w:pPr>
        <w:pStyle w:val="Default"/>
        <w:jc w:val="both"/>
        <w:rPr>
          <w:rFonts w:ascii="Times New Roman" w:hAnsi="Times New Roman" w:cs="Times New Roman"/>
        </w:rPr>
      </w:pPr>
    </w:p>
    <w:p w:rsidR="00363476" w:rsidRPr="0015615B" w:rsidRDefault="00363476" w:rsidP="0015615B">
      <w:pPr>
        <w:pStyle w:val="Default"/>
        <w:jc w:val="both"/>
        <w:rPr>
          <w:rFonts w:ascii="Times New Roman" w:hAnsi="Times New Roman" w:cs="Times New Roman"/>
        </w:rPr>
      </w:pPr>
      <w:r w:rsidRPr="0015615B">
        <w:rPr>
          <w:rFonts w:ascii="Times New Roman" w:hAnsi="Times New Roman" w:cs="Times New Roman"/>
        </w:rPr>
        <w:t xml:space="preserve">SANTOS, Milton. </w:t>
      </w:r>
      <w:r w:rsidRPr="0015615B">
        <w:rPr>
          <w:rFonts w:ascii="Times New Roman" w:hAnsi="Times New Roman" w:cs="Times New Roman"/>
          <w:b/>
          <w:bCs/>
        </w:rPr>
        <w:t xml:space="preserve">A natureza do espaço: </w:t>
      </w:r>
      <w:r w:rsidRPr="0015615B">
        <w:rPr>
          <w:rFonts w:ascii="Times New Roman" w:hAnsi="Times New Roman" w:cs="Times New Roman"/>
        </w:rPr>
        <w:t xml:space="preserve">técnica e tempo, razão e emoção. São Paulo: </w:t>
      </w:r>
      <w:proofErr w:type="spellStart"/>
      <w:r w:rsidRPr="0015615B">
        <w:rPr>
          <w:rFonts w:ascii="Times New Roman" w:hAnsi="Times New Roman" w:cs="Times New Roman"/>
        </w:rPr>
        <w:t>Hucitec</w:t>
      </w:r>
      <w:proofErr w:type="spellEnd"/>
      <w:r w:rsidRPr="0015615B">
        <w:rPr>
          <w:rFonts w:ascii="Times New Roman" w:hAnsi="Times New Roman" w:cs="Times New Roman"/>
        </w:rPr>
        <w:t>, 1996. 308 p.</w:t>
      </w:r>
    </w:p>
    <w:p w:rsidR="00363476" w:rsidRPr="0015615B" w:rsidRDefault="00363476" w:rsidP="0015615B">
      <w:pPr>
        <w:pStyle w:val="Default"/>
        <w:jc w:val="both"/>
        <w:rPr>
          <w:rFonts w:ascii="Times New Roman" w:hAnsi="Times New Roman" w:cs="Times New Roman"/>
        </w:rPr>
      </w:pPr>
    </w:p>
    <w:p w:rsidR="00363476" w:rsidRPr="0015615B" w:rsidRDefault="00363476" w:rsidP="0015615B">
      <w:pPr>
        <w:pStyle w:val="Default"/>
        <w:jc w:val="both"/>
        <w:rPr>
          <w:rFonts w:ascii="Times New Roman" w:hAnsi="Times New Roman" w:cs="Times New Roman"/>
        </w:rPr>
      </w:pPr>
      <w:proofErr w:type="spellStart"/>
      <w:r w:rsidRPr="0015615B">
        <w:rPr>
          <w:rFonts w:ascii="Times New Roman" w:hAnsi="Times New Roman" w:cs="Times New Roman"/>
        </w:rPr>
        <w:t>SHANIN</w:t>
      </w:r>
      <w:proofErr w:type="spellEnd"/>
      <w:r w:rsidRPr="0015615B">
        <w:rPr>
          <w:rFonts w:ascii="Times New Roman" w:hAnsi="Times New Roman" w:cs="Times New Roman"/>
        </w:rPr>
        <w:t xml:space="preserve">, </w:t>
      </w:r>
      <w:proofErr w:type="spellStart"/>
      <w:r w:rsidRPr="0015615B">
        <w:rPr>
          <w:rFonts w:ascii="Times New Roman" w:hAnsi="Times New Roman" w:cs="Times New Roman"/>
        </w:rPr>
        <w:t>Teodor</w:t>
      </w:r>
      <w:proofErr w:type="spellEnd"/>
      <w:r w:rsidRPr="0015615B">
        <w:rPr>
          <w:rFonts w:ascii="Times New Roman" w:hAnsi="Times New Roman" w:cs="Times New Roman"/>
        </w:rPr>
        <w:t xml:space="preserve">. A definição de camponês: conceituações e </w:t>
      </w:r>
      <w:proofErr w:type="spellStart"/>
      <w:r w:rsidRPr="0015615B">
        <w:rPr>
          <w:rFonts w:ascii="Times New Roman" w:hAnsi="Times New Roman" w:cs="Times New Roman"/>
        </w:rPr>
        <w:t>desconceituações</w:t>
      </w:r>
      <w:proofErr w:type="spellEnd"/>
      <w:r w:rsidRPr="0015615B">
        <w:rPr>
          <w:rFonts w:ascii="Times New Roman" w:hAnsi="Times New Roman" w:cs="Times New Roman"/>
        </w:rPr>
        <w:t xml:space="preserve">- o velho e o novo em uma discussão marxista. In: </w:t>
      </w:r>
      <w:r w:rsidRPr="0015615B">
        <w:rPr>
          <w:rFonts w:ascii="Times New Roman" w:hAnsi="Times New Roman" w:cs="Times New Roman"/>
          <w:b/>
          <w:bCs/>
        </w:rPr>
        <w:t xml:space="preserve">Revista </w:t>
      </w:r>
      <w:proofErr w:type="spellStart"/>
      <w:r w:rsidRPr="0015615B">
        <w:rPr>
          <w:rFonts w:ascii="Times New Roman" w:hAnsi="Times New Roman" w:cs="Times New Roman"/>
          <w:b/>
          <w:bCs/>
        </w:rPr>
        <w:t>Nera</w:t>
      </w:r>
      <w:proofErr w:type="spellEnd"/>
      <w:r w:rsidRPr="0015615B">
        <w:rPr>
          <w:rFonts w:ascii="Times New Roman" w:hAnsi="Times New Roman" w:cs="Times New Roman"/>
        </w:rPr>
        <w:t xml:space="preserve">, nº 07, jul./dez 2005, 21 p. Disponível em: </w:t>
      </w:r>
      <w:proofErr w:type="gramStart"/>
      <w:r w:rsidRPr="0015615B">
        <w:rPr>
          <w:rFonts w:ascii="Times New Roman" w:hAnsi="Times New Roman" w:cs="Times New Roman"/>
        </w:rPr>
        <w:t>revista.</w:t>
      </w:r>
      <w:proofErr w:type="spellStart"/>
      <w:proofErr w:type="gramEnd"/>
      <w:r w:rsidRPr="0015615B">
        <w:rPr>
          <w:rFonts w:ascii="Times New Roman" w:hAnsi="Times New Roman" w:cs="Times New Roman"/>
        </w:rPr>
        <w:t>fct</w:t>
      </w:r>
      <w:proofErr w:type="spellEnd"/>
      <w:r w:rsidRPr="0015615B">
        <w:rPr>
          <w:rFonts w:ascii="Times New Roman" w:hAnsi="Times New Roman" w:cs="Times New Roman"/>
        </w:rPr>
        <w:t>.</w:t>
      </w:r>
      <w:proofErr w:type="spellStart"/>
      <w:r w:rsidRPr="0015615B">
        <w:rPr>
          <w:rFonts w:ascii="Times New Roman" w:hAnsi="Times New Roman" w:cs="Times New Roman"/>
        </w:rPr>
        <w:t>unesp</w:t>
      </w:r>
      <w:proofErr w:type="spellEnd"/>
      <w:r w:rsidRPr="0015615B">
        <w:rPr>
          <w:rFonts w:ascii="Times New Roman" w:hAnsi="Times New Roman" w:cs="Times New Roman"/>
        </w:rPr>
        <w:t>.</w:t>
      </w:r>
      <w:proofErr w:type="spellStart"/>
      <w:r w:rsidRPr="0015615B">
        <w:rPr>
          <w:rFonts w:ascii="Times New Roman" w:hAnsi="Times New Roman" w:cs="Times New Roman"/>
        </w:rPr>
        <w:t>br</w:t>
      </w:r>
      <w:proofErr w:type="spellEnd"/>
      <w:r w:rsidRPr="0015615B">
        <w:rPr>
          <w:rFonts w:ascii="Times New Roman" w:hAnsi="Times New Roman" w:cs="Times New Roman"/>
        </w:rPr>
        <w:t>/</w:t>
      </w:r>
      <w:proofErr w:type="spellStart"/>
      <w:r w:rsidRPr="0015615B">
        <w:rPr>
          <w:rFonts w:ascii="Times New Roman" w:hAnsi="Times New Roman" w:cs="Times New Roman"/>
        </w:rPr>
        <w:t>index</w:t>
      </w:r>
      <w:proofErr w:type="spellEnd"/>
      <w:r w:rsidRPr="0015615B">
        <w:rPr>
          <w:rFonts w:ascii="Times New Roman" w:hAnsi="Times New Roman" w:cs="Times New Roman"/>
        </w:rPr>
        <w:t>.</w:t>
      </w:r>
      <w:proofErr w:type="spellStart"/>
      <w:r w:rsidRPr="0015615B">
        <w:rPr>
          <w:rFonts w:ascii="Times New Roman" w:hAnsi="Times New Roman" w:cs="Times New Roman"/>
        </w:rPr>
        <w:t>php</w:t>
      </w:r>
      <w:proofErr w:type="spellEnd"/>
      <w:r w:rsidRPr="0015615B">
        <w:rPr>
          <w:rFonts w:ascii="Times New Roman" w:hAnsi="Times New Roman" w:cs="Times New Roman"/>
        </w:rPr>
        <w:t>/</w:t>
      </w:r>
      <w:proofErr w:type="spellStart"/>
      <w:r w:rsidRPr="0015615B">
        <w:rPr>
          <w:rFonts w:ascii="Times New Roman" w:hAnsi="Times New Roman" w:cs="Times New Roman"/>
        </w:rPr>
        <w:t>nera</w:t>
      </w:r>
      <w:proofErr w:type="spellEnd"/>
      <w:r w:rsidRPr="0015615B">
        <w:rPr>
          <w:rFonts w:ascii="Times New Roman" w:hAnsi="Times New Roman" w:cs="Times New Roman"/>
        </w:rPr>
        <w:t>. Acesso em: 15 Fev. 2013.</w:t>
      </w:r>
    </w:p>
    <w:p w:rsidR="0013633C" w:rsidRPr="0015615B" w:rsidRDefault="0013633C" w:rsidP="0015615B">
      <w:pPr>
        <w:pStyle w:val="Default"/>
        <w:jc w:val="both"/>
        <w:rPr>
          <w:rFonts w:ascii="Times New Roman" w:hAnsi="Times New Roman" w:cs="Times New Roman"/>
        </w:rPr>
      </w:pPr>
    </w:p>
    <w:p w:rsidR="0013633C" w:rsidRPr="0015615B" w:rsidRDefault="0013633C" w:rsidP="0015615B">
      <w:pPr>
        <w:pStyle w:val="Default"/>
        <w:jc w:val="both"/>
        <w:rPr>
          <w:rFonts w:ascii="Times New Roman" w:hAnsi="Times New Roman" w:cs="Times New Roman"/>
          <w:color w:val="auto"/>
        </w:rPr>
      </w:pPr>
      <w:r w:rsidRPr="0015615B">
        <w:rPr>
          <w:rFonts w:ascii="Times New Roman" w:hAnsi="Times New Roman" w:cs="Times New Roman"/>
          <w:color w:val="auto"/>
        </w:rPr>
        <w:t xml:space="preserve">TEIXEIRA, Gerson. A sustentação política e econômica do agronegócio no Brasil. In: </w:t>
      </w:r>
      <w:r w:rsidRPr="0015615B">
        <w:rPr>
          <w:rFonts w:ascii="Times New Roman" w:hAnsi="Times New Roman" w:cs="Times New Roman"/>
          <w:b/>
          <w:bCs/>
          <w:color w:val="auto"/>
        </w:rPr>
        <w:t>Revista da Associação Brasileira de Reforma Agrária</w:t>
      </w:r>
      <w:r w:rsidRPr="0015615B">
        <w:rPr>
          <w:rFonts w:ascii="Times New Roman" w:hAnsi="Times New Roman" w:cs="Times New Roman"/>
          <w:color w:val="auto"/>
        </w:rPr>
        <w:t xml:space="preserve">. Edição Especial. P. 13-30. Jul./ 13. </w:t>
      </w:r>
    </w:p>
    <w:p w:rsidR="00363476" w:rsidRPr="0015615B" w:rsidRDefault="00363476" w:rsidP="0015615B">
      <w:pPr>
        <w:pStyle w:val="Default"/>
        <w:jc w:val="both"/>
        <w:rPr>
          <w:rFonts w:ascii="Times New Roman" w:hAnsi="Times New Roman" w:cs="Times New Roman"/>
          <w:color w:val="auto"/>
        </w:rPr>
      </w:pPr>
    </w:p>
    <w:p w:rsidR="00363476" w:rsidRPr="0015615B" w:rsidRDefault="00363476" w:rsidP="0015615B">
      <w:pPr>
        <w:pStyle w:val="Default"/>
        <w:jc w:val="both"/>
        <w:rPr>
          <w:rFonts w:ascii="Times New Roman" w:hAnsi="Times New Roman" w:cs="Times New Roman"/>
          <w:color w:val="auto"/>
        </w:rPr>
      </w:pPr>
      <w:proofErr w:type="spellStart"/>
      <w:r w:rsidRPr="0015615B">
        <w:rPr>
          <w:rFonts w:ascii="Times New Roman" w:hAnsi="Times New Roman" w:cs="Times New Roman"/>
        </w:rPr>
        <w:t>VERGÉS</w:t>
      </w:r>
      <w:proofErr w:type="spellEnd"/>
      <w:r w:rsidRPr="0015615B">
        <w:rPr>
          <w:rFonts w:ascii="Times New Roman" w:hAnsi="Times New Roman" w:cs="Times New Roman"/>
        </w:rPr>
        <w:t xml:space="preserve">, Armando </w:t>
      </w:r>
      <w:proofErr w:type="spellStart"/>
      <w:r w:rsidRPr="0015615B">
        <w:rPr>
          <w:rFonts w:ascii="Times New Roman" w:hAnsi="Times New Roman" w:cs="Times New Roman"/>
        </w:rPr>
        <w:t>Bartra</w:t>
      </w:r>
      <w:proofErr w:type="spellEnd"/>
      <w:r w:rsidRPr="0015615B">
        <w:rPr>
          <w:rFonts w:ascii="Times New Roman" w:hAnsi="Times New Roman" w:cs="Times New Roman"/>
        </w:rPr>
        <w:t xml:space="preserve">. </w:t>
      </w:r>
      <w:r w:rsidRPr="0015615B">
        <w:rPr>
          <w:rFonts w:ascii="Times New Roman" w:hAnsi="Times New Roman" w:cs="Times New Roman"/>
          <w:b/>
          <w:bCs/>
        </w:rPr>
        <w:t xml:space="preserve">Os novos camponeses: </w:t>
      </w:r>
      <w:r w:rsidRPr="0015615B">
        <w:rPr>
          <w:rFonts w:ascii="Times New Roman" w:hAnsi="Times New Roman" w:cs="Times New Roman"/>
        </w:rPr>
        <w:t xml:space="preserve">leituras a partir do México profundo. (Tradução de Maria Angélica </w:t>
      </w:r>
      <w:proofErr w:type="spellStart"/>
      <w:r w:rsidRPr="0015615B">
        <w:rPr>
          <w:rFonts w:ascii="Times New Roman" w:hAnsi="Times New Roman" w:cs="Times New Roman"/>
        </w:rPr>
        <w:t>Pandolfi</w:t>
      </w:r>
      <w:proofErr w:type="spellEnd"/>
      <w:r w:rsidRPr="0015615B">
        <w:rPr>
          <w:rFonts w:ascii="Times New Roman" w:hAnsi="Times New Roman" w:cs="Times New Roman"/>
        </w:rPr>
        <w:t xml:space="preserve">). São Paulo: Cultura Acadêmica; </w:t>
      </w:r>
      <w:proofErr w:type="spellStart"/>
      <w:r w:rsidRPr="0015615B">
        <w:rPr>
          <w:rFonts w:ascii="Times New Roman" w:hAnsi="Times New Roman" w:cs="Times New Roman"/>
        </w:rPr>
        <w:t>Catédra</w:t>
      </w:r>
      <w:proofErr w:type="spellEnd"/>
      <w:r w:rsidRPr="0015615B">
        <w:rPr>
          <w:rFonts w:ascii="Times New Roman" w:hAnsi="Times New Roman" w:cs="Times New Roman"/>
        </w:rPr>
        <w:t xml:space="preserve"> </w:t>
      </w:r>
      <w:proofErr w:type="spellStart"/>
      <w:proofErr w:type="gramStart"/>
      <w:r w:rsidRPr="0015615B">
        <w:rPr>
          <w:rFonts w:ascii="Times New Roman" w:hAnsi="Times New Roman" w:cs="Times New Roman"/>
        </w:rPr>
        <w:t>Unesco</w:t>
      </w:r>
      <w:proofErr w:type="spellEnd"/>
      <w:proofErr w:type="gramEnd"/>
      <w:r w:rsidRPr="0015615B">
        <w:rPr>
          <w:rFonts w:ascii="Times New Roman" w:hAnsi="Times New Roman" w:cs="Times New Roman"/>
        </w:rPr>
        <w:t xml:space="preserve"> de Educação do Campo e Desenvolvimento Rural, 2011. 339 p.</w:t>
      </w:r>
    </w:p>
    <w:p w:rsidR="0013633C" w:rsidRPr="0015615B" w:rsidRDefault="0013633C" w:rsidP="0015615B">
      <w:pPr>
        <w:pStyle w:val="Default"/>
        <w:jc w:val="both"/>
        <w:rPr>
          <w:rFonts w:ascii="Times New Roman" w:hAnsi="Times New Roman" w:cs="Times New Roman"/>
          <w:color w:val="auto"/>
        </w:rPr>
      </w:pPr>
    </w:p>
    <w:p w:rsidR="0013633C" w:rsidRPr="0015615B" w:rsidRDefault="0013633C" w:rsidP="0015615B">
      <w:pPr>
        <w:spacing w:after="0" w:line="240" w:lineRule="auto"/>
        <w:jc w:val="both"/>
        <w:rPr>
          <w:rFonts w:ascii="Times New Roman" w:hAnsi="Times New Roman" w:cs="Times New Roman"/>
          <w:sz w:val="24"/>
          <w:szCs w:val="24"/>
        </w:rPr>
      </w:pPr>
      <w:r w:rsidRPr="0015615B">
        <w:rPr>
          <w:rFonts w:ascii="Times New Roman" w:hAnsi="Times New Roman" w:cs="Times New Roman"/>
          <w:sz w:val="24"/>
          <w:szCs w:val="24"/>
        </w:rPr>
        <w:t xml:space="preserve">WANDERLEY, Maria de N. </w:t>
      </w:r>
      <w:proofErr w:type="spellStart"/>
      <w:r w:rsidRPr="0015615B">
        <w:rPr>
          <w:rFonts w:ascii="Times New Roman" w:hAnsi="Times New Roman" w:cs="Times New Roman"/>
          <w:sz w:val="24"/>
          <w:szCs w:val="24"/>
        </w:rPr>
        <w:t>Baudel</w:t>
      </w:r>
      <w:proofErr w:type="spellEnd"/>
      <w:r w:rsidRPr="0015615B">
        <w:rPr>
          <w:rFonts w:ascii="Times New Roman" w:hAnsi="Times New Roman" w:cs="Times New Roman"/>
          <w:sz w:val="24"/>
          <w:szCs w:val="24"/>
        </w:rPr>
        <w:t xml:space="preserve">. O Campesinato Brasileiro: uma história de resistência. In: </w:t>
      </w:r>
      <w:r w:rsidRPr="0015615B">
        <w:rPr>
          <w:rFonts w:ascii="Times New Roman" w:hAnsi="Times New Roman" w:cs="Times New Roman"/>
          <w:b/>
          <w:bCs/>
          <w:sz w:val="24"/>
          <w:szCs w:val="24"/>
        </w:rPr>
        <w:t>Revista de economia e sociologia rural</w:t>
      </w:r>
      <w:r w:rsidRPr="0015615B">
        <w:rPr>
          <w:rFonts w:ascii="Times New Roman" w:hAnsi="Times New Roman" w:cs="Times New Roman"/>
          <w:sz w:val="24"/>
          <w:szCs w:val="24"/>
        </w:rPr>
        <w:t>. Piracicaba, V. 52, Supl. 1, p. 025-044. Fev. 2015.</w:t>
      </w:r>
    </w:p>
    <w:p w:rsidR="0013633C" w:rsidRPr="0015615B" w:rsidRDefault="0013633C" w:rsidP="0015615B">
      <w:pPr>
        <w:spacing w:after="0" w:line="240" w:lineRule="auto"/>
        <w:jc w:val="both"/>
        <w:rPr>
          <w:rFonts w:ascii="Times New Roman" w:hAnsi="Times New Roman" w:cs="Times New Roman"/>
          <w:sz w:val="24"/>
          <w:szCs w:val="24"/>
        </w:rPr>
      </w:pPr>
    </w:p>
    <w:p w:rsidR="00363476" w:rsidRPr="0015615B" w:rsidRDefault="00363476" w:rsidP="0015615B">
      <w:pPr>
        <w:spacing w:after="0" w:line="240" w:lineRule="auto"/>
        <w:jc w:val="both"/>
        <w:rPr>
          <w:rFonts w:ascii="Times New Roman" w:hAnsi="Times New Roman" w:cs="Times New Roman"/>
          <w:sz w:val="24"/>
          <w:szCs w:val="24"/>
        </w:rPr>
      </w:pPr>
      <w:proofErr w:type="spellStart"/>
      <w:r w:rsidRPr="0015615B">
        <w:rPr>
          <w:rFonts w:ascii="Times New Roman" w:hAnsi="Times New Roman" w:cs="Times New Roman"/>
          <w:sz w:val="24"/>
          <w:szCs w:val="24"/>
        </w:rPr>
        <w:t>WOORTMANN</w:t>
      </w:r>
      <w:proofErr w:type="spellEnd"/>
      <w:r w:rsidRPr="0015615B">
        <w:rPr>
          <w:rFonts w:ascii="Times New Roman" w:hAnsi="Times New Roman" w:cs="Times New Roman"/>
          <w:sz w:val="24"/>
          <w:szCs w:val="24"/>
        </w:rPr>
        <w:t xml:space="preserve">, </w:t>
      </w:r>
      <w:proofErr w:type="spellStart"/>
      <w:r w:rsidRPr="0015615B">
        <w:rPr>
          <w:rFonts w:ascii="Times New Roman" w:hAnsi="Times New Roman" w:cs="Times New Roman"/>
          <w:sz w:val="24"/>
          <w:szCs w:val="24"/>
        </w:rPr>
        <w:t>Klass</w:t>
      </w:r>
      <w:proofErr w:type="spellEnd"/>
      <w:r w:rsidRPr="0015615B">
        <w:rPr>
          <w:rFonts w:ascii="Times New Roman" w:hAnsi="Times New Roman" w:cs="Times New Roman"/>
          <w:sz w:val="24"/>
          <w:szCs w:val="24"/>
        </w:rPr>
        <w:t xml:space="preserve">. Com parente não se </w:t>
      </w:r>
      <w:proofErr w:type="spellStart"/>
      <w:r w:rsidRPr="0015615B">
        <w:rPr>
          <w:rFonts w:ascii="Times New Roman" w:hAnsi="Times New Roman" w:cs="Times New Roman"/>
          <w:sz w:val="24"/>
          <w:szCs w:val="24"/>
        </w:rPr>
        <w:t>neguceia</w:t>
      </w:r>
      <w:proofErr w:type="spellEnd"/>
      <w:r w:rsidRPr="0015615B">
        <w:rPr>
          <w:rFonts w:ascii="Times New Roman" w:hAnsi="Times New Roman" w:cs="Times New Roman"/>
          <w:sz w:val="24"/>
          <w:szCs w:val="24"/>
        </w:rPr>
        <w:t xml:space="preserve">. – O campesinato como ordem Moral. </w:t>
      </w:r>
      <w:r w:rsidRPr="0015615B">
        <w:rPr>
          <w:rFonts w:ascii="Times New Roman" w:hAnsi="Times New Roman" w:cs="Times New Roman"/>
          <w:i/>
          <w:iCs/>
          <w:sz w:val="24"/>
          <w:szCs w:val="24"/>
        </w:rPr>
        <w:t xml:space="preserve">In: </w:t>
      </w:r>
      <w:r w:rsidRPr="0015615B">
        <w:rPr>
          <w:rFonts w:ascii="Times New Roman" w:hAnsi="Times New Roman" w:cs="Times New Roman"/>
          <w:b/>
          <w:bCs/>
          <w:sz w:val="24"/>
          <w:szCs w:val="24"/>
        </w:rPr>
        <w:t>Anuário A</w:t>
      </w:r>
      <w:bookmarkStart w:id="0" w:name="_GoBack"/>
      <w:bookmarkEnd w:id="0"/>
      <w:r w:rsidRPr="0015615B">
        <w:rPr>
          <w:rFonts w:ascii="Times New Roman" w:hAnsi="Times New Roman" w:cs="Times New Roman"/>
          <w:b/>
          <w:bCs/>
          <w:sz w:val="24"/>
          <w:szCs w:val="24"/>
        </w:rPr>
        <w:t xml:space="preserve">ntropológico. </w:t>
      </w:r>
      <w:r w:rsidRPr="0015615B">
        <w:rPr>
          <w:rFonts w:ascii="Times New Roman" w:hAnsi="Times New Roman" w:cs="Times New Roman"/>
          <w:sz w:val="24"/>
          <w:szCs w:val="24"/>
        </w:rPr>
        <w:t>Ed. UNB- tempo brasileiro, 1990. 71 p</w:t>
      </w:r>
      <w:r w:rsidR="008D750F" w:rsidRPr="0015615B">
        <w:rPr>
          <w:rFonts w:ascii="Times New Roman" w:hAnsi="Times New Roman" w:cs="Times New Roman"/>
          <w:sz w:val="24"/>
          <w:szCs w:val="24"/>
        </w:rPr>
        <w:t>.</w:t>
      </w:r>
    </w:p>
    <w:sectPr w:rsidR="00363476" w:rsidRPr="0015615B" w:rsidSect="0015615B">
      <w:pgSz w:w="11906" w:h="16838"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3DE5" w:rsidRDefault="00B43DE5" w:rsidP="00FF694E">
      <w:pPr>
        <w:spacing w:after="0" w:line="240" w:lineRule="auto"/>
      </w:pPr>
      <w:r>
        <w:separator/>
      </w:r>
    </w:p>
  </w:endnote>
  <w:endnote w:type="continuationSeparator" w:id="0">
    <w:p w:rsidR="00B43DE5" w:rsidRDefault="00B43DE5" w:rsidP="00FF69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ejaVu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3DE5" w:rsidRDefault="00B43DE5" w:rsidP="00FF694E">
      <w:pPr>
        <w:spacing w:after="0" w:line="240" w:lineRule="auto"/>
      </w:pPr>
      <w:r>
        <w:separator/>
      </w:r>
    </w:p>
  </w:footnote>
  <w:footnote w:type="continuationSeparator" w:id="0">
    <w:p w:rsidR="00B43DE5" w:rsidRDefault="00B43DE5" w:rsidP="00FF694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13595A"/>
    <w:rsid w:val="00030296"/>
    <w:rsid w:val="00031345"/>
    <w:rsid w:val="0003664D"/>
    <w:rsid w:val="0004472B"/>
    <w:rsid w:val="00060C92"/>
    <w:rsid w:val="000629FE"/>
    <w:rsid w:val="0006765E"/>
    <w:rsid w:val="000920F5"/>
    <w:rsid w:val="000C7060"/>
    <w:rsid w:val="000D4E93"/>
    <w:rsid w:val="000E3AC0"/>
    <w:rsid w:val="000E4B86"/>
    <w:rsid w:val="000F6B1B"/>
    <w:rsid w:val="001024A4"/>
    <w:rsid w:val="0010702D"/>
    <w:rsid w:val="00124BCC"/>
    <w:rsid w:val="001267BD"/>
    <w:rsid w:val="0013595A"/>
    <w:rsid w:val="0013633C"/>
    <w:rsid w:val="001415B2"/>
    <w:rsid w:val="00143046"/>
    <w:rsid w:val="00143FC3"/>
    <w:rsid w:val="00153822"/>
    <w:rsid w:val="0015615B"/>
    <w:rsid w:val="00156D94"/>
    <w:rsid w:val="001669DE"/>
    <w:rsid w:val="00170B26"/>
    <w:rsid w:val="00173A75"/>
    <w:rsid w:val="0018210A"/>
    <w:rsid w:val="00182F8A"/>
    <w:rsid w:val="00185B45"/>
    <w:rsid w:val="0018626E"/>
    <w:rsid w:val="00197245"/>
    <w:rsid w:val="001A54BB"/>
    <w:rsid w:val="001C7871"/>
    <w:rsid w:val="001D7CEF"/>
    <w:rsid w:val="001F267F"/>
    <w:rsid w:val="001F6ED4"/>
    <w:rsid w:val="0021194F"/>
    <w:rsid w:val="00220715"/>
    <w:rsid w:val="00221A74"/>
    <w:rsid w:val="00223283"/>
    <w:rsid w:val="002243F3"/>
    <w:rsid w:val="00235EA7"/>
    <w:rsid w:val="00246E71"/>
    <w:rsid w:val="0025260A"/>
    <w:rsid w:val="002604D5"/>
    <w:rsid w:val="00277DC3"/>
    <w:rsid w:val="00280EAD"/>
    <w:rsid w:val="0029175E"/>
    <w:rsid w:val="002A0DCE"/>
    <w:rsid w:val="002A72D8"/>
    <w:rsid w:val="002B01EF"/>
    <w:rsid w:val="002C55BA"/>
    <w:rsid w:val="002D2383"/>
    <w:rsid w:val="002E565C"/>
    <w:rsid w:val="002F46AA"/>
    <w:rsid w:val="002F60F8"/>
    <w:rsid w:val="002F7AD2"/>
    <w:rsid w:val="00317111"/>
    <w:rsid w:val="00321E3E"/>
    <w:rsid w:val="00363476"/>
    <w:rsid w:val="00374EF8"/>
    <w:rsid w:val="00385694"/>
    <w:rsid w:val="00386DFC"/>
    <w:rsid w:val="003A242D"/>
    <w:rsid w:val="003B0D3F"/>
    <w:rsid w:val="003B2941"/>
    <w:rsid w:val="003D32B4"/>
    <w:rsid w:val="003F0BBB"/>
    <w:rsid w:val="003F53F3"/>
    <w:rsid w:val="003F5ED6"/>
    <w:rsid w:val="00413B16"/>
    <w:rsid w:val="0042392D"/>
    <w:rsid w:val="00432215"/>
    <w:rsid w:val="00434FC4"/>
    <w:rsid w:val="00441F44"/>
    <w:rsid w:val="00445170"/>
    <w:rsid w:val="00484DEA"/>
    <w:rsid w:val="004867C8"/>
    <w:rsid w:val="004A285E"/>
    <w:rsid w:val="004A49BA"/>
    <w:rsid w:val="004D5AF3"/>
    <w:rsid w:val="004D71D0"/>
    <w:rsid w:val="004E3BC6"/>
    <w:rsid w:val="004E60DF"/>
    <w:rsid w:val="004F265C"/>
    <w:rsid w:val="0051593B"/>
    <w:rsid w:val="00517F3F"/>
    <w:rsid w:val="00551C6E"/>
    <w:rsid w:val="005538F0"/>
    <w:rsid w:val="005677CA"/>
    <w:rsid w:val="00572F7C"/>
    <w:rsid w:val="00573389"/>
    <w:rsid w:val="00574DDD"/>
    <w:rsid w:val="005842C1"/>
    <w:rsid w:val="005D2C0D"/>
    <w:rsid w:val="005D6A4C"/>
    <w:rsid w:val="005E5A95"/>
    <w:rsid w:val="005E665D"/>
    <w:rsid w:val="00603B29"/>
    <w:rsid w:val="006263AA"/>
    <w:rsid w:val="0064477D"/>
    <w:rsid w:val="00662510"/>
    <w:rsid w:val="00682BEA"/>
    <w:rsid w:val="0068460E"/>
    <w:rsid w:val="006947A6"/>
    <w:rsid w:val="006A1069"/>
    <w:rsid w:val="006E1190"/>
    <w:rsid w:val="007057E1"/>
    <w:rsid w:val="00707DC6"/>
    <w:rsid w:val="0072228D"/>
    <w:rsid w:val="00734DF2"/>
    <w:rsid w:val="00745E2D"/>
    <w:rsid w:val="00760EC4"/>
    <w:rsid w:val="007622DE"/>
    <w:rsid w:val="0076467D"/>
    <w:rsid w:val="00784B3B"/>
    <w:rsid w:val="0079598D"/>
    <w:rsid w:val="0079699E"/>
    <w:rsid w:val="007B0122"/>
    <w:rsid w:val="007B6358"/>
    <w:rsid w:val="007D0A98"/>
    <w:rsid w:val="007E4B5A"/>
    <w:rsid w:val="007F22DA"/>
    <w:rsid w:val="0080627A"/>
    <w:rsid w:val="00811E33"/>
    <w:rsid w:val="00821DE5"/>
    <w:rsid w:val="00826F48"/>
    <w:rsid w:val="00834F02"/>
    <w:rsid w:val="00841BD0"/>
    <w:rsid w:val="00844A5F"/>
    <w:rsid w:val="0084655C"/>
    <w:rsid w:val="00860E85"/>
    <w:rsid w:val="008763B9"/>
    <w:rsid w:val="008826A7"/>
    <w:rsid w:val="008844BA"/>
    <w:rsid w:val="00885EC8"/>
    <w:rsid w:val="00887759"/>
    <w:rsid w:val="008A25A6"/>
    <w:rsid w:val="008A51F1"/>
    <w:rsid w:val="008A71E9"/>
    <w:rsid w:val="008B0F9E"/>
    <w:rsid w:val="008B3244"/>
    <w:rsid w:val="008C6F2F"/>
    <w:rsid w:val="008D02A5"/>
    <w:rsid w:val="008D5C22"/>
    <w:rsid w:val="008D750F"/>
    <w:rsid w:val="008E3663"/>
    <w:rsid w:val="008F4571"/>
    <w:rsid w:val="00907105"/>
    <w:rsid w:val="00934679"/>
    <w:rsid w:val="009379F4"/>
    <w:rsid w:val="00943976"/>
    <w:rsid w:val="00950492"/>
    <w:rsid w:val="00966EFB"/>
    <w:rsid w:val="00970694"/>
    <w:rsid w:val="0097112C"/>
    <w:rsid w:val="009835E1"/>
    <w:rsid w:val="00997923"/>
    <w:rsid w:val="009A46E5"/>
    <w:rsid w:val="009B0D28"/>
    <w:rsid w:val="009C4E79"/>
    <w:rsid w:val="009D43AF"/>
    <w:rsid w:val="009D61F9"/>
    <w:rsid w:val="009E36FF"/>
    <w:rsid w:val="00A033EA"/>
    <w:rsid w:val="00A1596F"/>
    <w:rsid w:val="00A33637"/>
    <w:rsid w:val="00A3793C"/>
    <w:rsid w:val="00A419A4"/>
    <w:rsid w:val="00A62E4E"/>
    <w:rsid w:val="00A75C28"/>
    <w:rsid w:val="00AA0E09"/>
    <w:rsid w:val="00AA51B9"/>
    <w:rsid w:val="00AB02C0"/>
    <w:rsid w:val="00AF0D18"/>
    <w:rsid w:val="00B02FBD"/>
    <w:rsid w:val="00B0768C"/>
    <w:rsid w:val="00B11526"/>
    <w:rsid w:val="00B138FC"/>
    <w:rsid w:val="00B22C92"/>
    <w:rsid w:val="00B43DE5"/>
    <w:rsid w:val="00B45949"/>
    <w:rsid w:val="00B56615"/>
    <w:rsid w:val="00B614B7"/>
    <w:rsid w:val="00B61F7D"/>
    <w:rsid w:val="00B76026"/>
    <w:rsid w:val="00B76B1E"/>
    <w:rsid w:val="00B814D9"/>
    <w:rsid w:val="00B850E0"/>
    <w:rsid w:val="00B92C28"/>
    <w:rsid w:val="00BA18DE"/>
    <w:rsid w:val="00BC1C3D"/>
    <w:rsid w:val="00BC6814"/>
    <w:rsid w:val="00BD56D5"/>
    <w:rsid w:val="00BD717E"/>
    <w:rsid w:val="00BE547A"/>
    <w:rsid w:val="00C00193"/>
    <w:rsid w:val="00C02D04"/>
    <w:rsid w:val="00C04ACD"/>
    <w:rsid w:val="00C04E39"/>
    <w:rsid w:val="00C13108"/>
    <w:rsid w:val="00C2335F"/>
    <w:rsid w:val="00C32B91"/>
    <w:rsid w:val="00C3545B"/>
    <w:rsid w:val="00C35746"/>
    <w:rsid w:val="00C55EDD"/>
    <w:rsid w:val="00C62D2C"/>
    <w:rsid w:val="00C721E7"/>
    <w:rsid w:val="00C82BC8"/>
    <w:rsid w:val="00C86048"/>
    <w:rsid w:val="00C86476"/>
    <w:rsid w:val="00CB2D45"/>
    <w:rsid w:val="00CF3C71"/>
    <w:rsid w:val="00D0560D"/>
    <w:rsid w:val="00D16194"/>
    <w:rsid w:val="00D2403C"/>
    <w:rsid w:val="00D4130A"/>
    <w:rsid w:val="00D51BC7"/>
    <w:rsid w:val="00D64CDA"/>
    <w:rsid w:val="00D76D7F"/>
    <w:rsid w:val="00D80940"/>
    <w:rsid w:val="00D9169B"/>
    <w:rsid w:val="00D91DA0"/>
    <w:rsid w:val="00D9541C"/>
    <w:rsid w:val="00DB0E0A"/>
    <w:rsid w:val="00DC0444"/>
    <w:rsid w:val="00DE295C"/>
    <w:rsid w:val="00DE4222"/>
    <w:rsid w:val="00DF1AED"/>
    <w:rsid w:val="00E012FA"/>
    <w:rsid w:val="00E120C6"/>
    <w:rsid w:val="00E20917"/>
    <w:rsid w:val="00E21513"/>
    <w:rsid w:val="00E21AC1"/>
    <w:rsid w:val="00E237AC"/>
    <w:rsid w:val="00E25FA5"/>
    <w:rsid w:val="00E26E37"/>
    <w:rsid w:val="00E27E49"/>
    <w:rsid w:val="00E4214D"/>
    <w:rsid w:val="00E44B7F"/>
    <w:rsid w:val="00E515B0"/>
    <w:rsid w:val="00E6559A"/>
    <w:rsid w:val="00E6584B"/>
    <w:rsid w:val="00E75021"/>
    <w:rsid w:val="00EA461C"/>
    <w:rsid w:val="00EA562E"/>
    <w:rsid w:val="00EC0553"/>
    <w:rsid w:val="00ED45C9"/>
    <w:rsid w:val="00EF2529"/>
    <w:rsid w:val="00EF2EB0"/>
    <w:rsid w:val="00EF7D18"/>
    <w:rsid w:val="00F00208"/>
    <w:rsid w:val="00F02DB0"/>
    <w:rsid w:val="00F12A99"/>
    <w:rsid w:val="00F15DCC"/>
    <w:rsid w:val="00F408F1"/>
    <w:rsid w:val="00F42D13"/>
    <w:rsid w:val="00F50570"/>
    <w:rsid w:val="00F52D52"/>
    <w:rsid w:val="00F72D0D"/>
    <w:rsid w:val="00F758A8"/>
    <w:rsid w:val="00FB216A"/>
    <w:rsid w:val="00FC2586"/>
    <w:rsid w:val="00FD7750"/>
    <w:rsid w:val="00FE4D49"/>
    <w:rsid w:val="00FF694E"/>
    <w:rsid w:val="00FF7CA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F7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13595A"/>
    <w:rPr>
      <w:color w:val="0000FF" w:themeColor="hyperlink"/>
      <w:u w:val="single"/>
    </w:rPr>
  </w:style>
  <w:style w:type="paragraph" w:customStyle="1" w:styleId="Padro">
    <w:name w:val="Padrão"/>
    <w:link w:val="PadroChar"/>
    <w:rsid w:val="00031345"/>
    <w:pPr>
      <w:tabs>
        <w:tab w:val="left" w:pos="709"/>
      </w:tabs>
      <w:suppressAutoHyphens/>
      <w:spacing w:line="276" w:lineRule="atLeast"/>
    </w:pPr>
    <w:rPr>
      <w:rFonts w:ascii="Calibri" w:eastAsia="DejaVu Sans" w:hAnsi="Calibri"/>
    </w:rPr>
  </w:style>
  <w:style w:type="character" w:customStyle="1" w:styleId="PadroChar">
    <w:name w:val="Padrão Char"/>
    <w:basedOn w:val="Fontepargpadro"/>
    <w:link w:val="Padro"/>
    <w:rsid w:val="00031345"/>
    <w:rPr>
      <w:rFonts w:ascii="Calibri" w:eastAsia="DejaVu Sans" w:hAnsi="Calibri"/>
    </w:rPr>
  </w:style>
  <w:style w:type="table" w:styleId="ListaMdia2-nfase1">
    <w:name w:val="Medium List 2 Accent 1"/>
    <w:basedOn w:val="Tabelanormal"/>
    <w:uiPriority w:val="66"/>
    <w:rsid w:val="00A3363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staMdia11">
    <w:name w:val="Lista Média 11"/>
    <w:basedOn w:val="Tabelanormal"/>
    <w:uiPriority w:val="65"/>
    <w:rsid w:val="00A33637"/>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Textodebalo">
    <w:name w:val="Balloon Text"/>
    <w:basedOn w:val="Normal"/>
    <w:link w:val="TextodebaloChar"/>
    <w:uiPriority w:val="99"/>
    <w:semiHidden/>
    <w:unhideWhenUsed/>
    <w:rsid w:val="00A3363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33637"/>
    <w:rPr>
      <w:rFonts w:ascii="Tahoma" w:hAnsi="Tahoma" w:cs="Tahoma"/>
      <w:sz w:val="16"/>
      <w:szCs w:val="16"/>
    </w:rPr>
  </w:style>
  <w:style w:type="table" w:styleId="SombreamentoClaro-nfase4">
    <w:name w:val="Light Shading Accent 4"/>
    <w:basedOn w:val="Tabelanormal"/>
    <w:uiPriority w:val="60"/>
    <w:rsid w:val="00574DDD"/>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NormalWeb">
    <w:name w:val="Normal (Web)"/>
    <w:basedOn w:val="Normal"/>
    <w:uiPriority w:val="99"/>
    <w:unhideWhenUsed/>
    <w:rsid w:val="0057338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efault">
    <w:name w:val="Default"/>
    <w:rsid w:val="00D9169B"/>
    <w:pPr>
      <w:autoSpaceDE w:val="0"/>
      <w:autoSpaceDN w:val="0"/>
      <w:adjustRightInd w:val="0"/>
      <w:spacing w:after="0" w:line="240" w:lineRule="auto"/>
    </w:pPr>
    <w:rPr>
      <w:rFonts w:ascii="Arial" w:hAnsi="Arial" w:cs="Arial"/>
      <w:color w:val="000000"/>
      <w:sz w:val="24"/>
      <w:szCs w:val="24"/>
    </w:rPr>
  </w:style>
  <w:style w:type="character" w:styleId="CitaoHTML">
    <w:name w:val="HTML Cite"/>
    <w:basedOn w:val="Fontepargpadro"/>
    <w:uiPriority w:val="99"/>
    <w:semiHidden/>
    <w:unhideWhenUsed/>
    <w:rsid w:val="00363476"/>
    <w:rPr>
      <w:i/>
      <w:iCs/>
    </w:rPr>
  </w:style>
  <w:style w:type="paragraph" w:styleId="Cabealho">
    <w:name w:val="header"/>
    <w:basedOn w:val="Normal"/>
    <w:link w:val="CabealhoChar"/>
    <w:uiPriority w:val="99"/>
    <w:semiHidden/>
    <w:unhideWhenUsed/>
    <w:rsid w:val="00FF694E"/>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FF694E"/>
  </w:style>
  <w:style w:type="paragraph" w:styleId="Rodap">
    <w:name w:val="footer"/>
    <w:basedOn w:val="Normal"/>
    <w:link w:val="RodapChar"/>
    <w:uiPriority w:val="99"/>
    <w:semiHidden/>
    <w:unhideWhenUsed/>
    <w:rsid w:val="00FF694E"/>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FF694E"/>
  </w:style>
  <w:style w:type="character" w:styleId="Refdecomentrio">
    <w:name w:val="annotation reference"/>
    <w:basedOn w:val="Fontepargpadro"/>
    <w:uiPriority w:val="99"/>
    <w:semiHidden/>
    <w:unhideWhenUsed/>
    <w:rsid w:val="0064477D"/>
    <w:rPr>
      <w:sz w:val="16"/>
      <w:szCs w:val="16"/>
    </w:rPr>
  </w:style>
  <w:style w:type="paragraph" w:styleId="Textodecomentrio">
    <w:name w:val="annotation text"/>
    <w:basedOn w:val="Normal"/>
    <w:link w:val="TextodecomentrioChar"/>
    <w:uiPriority w:val="99"/>
    <w:semiHidden/>
    <w:unhideWhenUsed/>
    <w:rsid w:val="0064477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4477D"/>
    <w:rPr>
      <w:sz w:val="20"/>
      <w:szCs w:val="20"/>
    </w:rPr>
  </w:style>
  <w:style w:type="paragraph" w:styleId="Assuntodocomentrio">
    <w:name w:val="annotation subject"/>
    <w:basedOn w:val="Textodecomentrio"/>
    <w:next w:val="Textodecomentrio"/>
    <w:link w:val="AssuntodocomentrioChar"/>
    <w:uiPriority w:val="99"/>
    <w:semiHidden/>
    <w:unhideWhenUsed/>
    <w:rsid w:val="0064477D"/>
    <w:rPr>
      <w:b/>
      <w:bCs/>
    </w:rPr>
  </w:style>
  <w:style w:type="character" w:customStyle="1" w:styleId="AssuntodocomentrioChar">
    <w:name w:val="Assunto do comentário Char"/>
    <w:basedOn w:val="TextodecomentrioChar"/>
    <w:link w:val="Assuntodocomentrio"/>
    <w:uiPriority w:val="99"/>
    <w:semiHidden/>
    <w:rsid w:val="0064477D"/>
    <w:rPr>
      <w:b/>
      <w:bCs/>
      <w:sz w:val="20"/>
      <w:szCs w:val="20"/>
    </w:rPr>
  </w:style>
  <w:style w:type="paragraph" w:styleId="Textodenotaderodap">
    <w:name w:val="footnote text"/>
    <w:basedOn w:val="Normal"/>
    <w:link w:val="TextodenotaderodapChar"/>
    <w:uiPriority w:val="99"/>
    <w:semiHidden/>
    <w:unhideWhenUsed/>
    <w:rsid w:val="0029175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9175E"/>
    <w:rPr>
      <w:sz w:val="20"/>
      <w:szCs w:val="20"/>
    </w:rPr>
  </w:style>
  <w:style w:type="character" w:styleId="Refdenotaderodap">
    <w:name w:val="footnote reference"/>
    <w:basedOn w:val="Fontepargpadro"/>
    <w:uiPriority w:val="99"/>
    <w:semiHidden/>
    <w:unhideWhenUsed/>
    <w:rsid w:val="0029175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13595A"/>
    <w:rPr>
      <w:color w:val="0000FF" w:themeColor="hyperlink"/>
      <w:u w:val="single"/>
    </w:rPr>
  </w:style>
  <w:style w:type="paragraph" w:customStyle="1" w:styleId="Padro">
    <w:name w:val="Padrão"/>
    <w:link w:val="PadroChar"/>
    <w:rsid w:val="00031345"/>
    <w:pPr>
      <w:tabs>
        <w:tab w:val="left" w:pos="709"/>
      </w:tabs>
      <w:suppressAutoHyphens/>
      <w:spacing w:line="276" w:lineRule="atLeast"/>
    </w:pPr>
    <w:rPr>
      <w:rFonts w:ascii="Calibri" w:eastAsia="DejaVu Sans" w:hAnsi="Calibri"/>
    </w:rPr>
  </w:style>
  <w:style w:type="character" w:customStyle="1" w:styleId="PadroChar">
    <w:name w:val="Padrão Char"/>
    <w:basedOn w:val="Fontepargpadro"/>
    <w:link w:val="Padro"/>
    <w:rsid w:val="00031345"/>
    <w:rPr>
      <w:rFonts w:ascii="Calibri" w:eastAsia="DejaVu Sans" w:hAnsi="Calibri"/>
    </w:rPr>
  </w:style>
  <w:style w:type="table" w:styleId="ListaMdia2-nfase1">
    <w:name w:val="Medium List 2 Accent 1"/>
    <w:basedOn w:val="Tabelanormal"/>
    <w:uiPriority w:val="66"/>
    <w:rsid w:val="00A3363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staMdia11">
    <w:name w:val="Lista Média 11"/>
    <w:basedOn w:val="Tabelanormal"/>
    <w:uiPriority w:val="65"/>
    <w:rsid w:val="00A33637"/>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Textodebalo">
    <w:name w:val="Balloon Text"/>
    <w:basedOn w:val="Normal"/>
    <w:link w:val="TextodebaloChar"/>
    <w:uiPriority w:val="99"/>
    <w:semiHidden/>
    <w:unhideWhenUsed/>
    <w:rsid w:val="00A3363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33637"/>
    <w:rPr>
      <w:rFonts w:ascii="Tahoma" w:hAnsi="Tahoma" w:cs="Tahoma"/>
      <w:sz w:val="16"/>
      <w:szCs w:val="16"/>
    </w:rPr>
  </w:style>
  <w:style w:type="table" w:styleId="SombreamentoClaro-nfase4">
    <w:name w:val="Light Shading Accent 4"/>
    <w:basedOn w:val="Tabelanormal"/>
    <w:uiPriority w:val="60"/>
    <w:rsid w:val="00574DDD"/>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NormalWeb">
    <w:name w:val="Normal (Web)"/>
    <w:basedOn w:val="Normal"/>
    <w:uiPriority w:val="99"/>
    <w:unhideWhenUsed/>
    <w:rsid w:val="0057338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efault">
    <w:name w:val="Default"/>
    <w:rsid w:val="00D9169B"/>
    <w:pPr>
      <w:autoSpaceDE w:val="0"/>
      <w:autoSpaceDN w:val="0"/>
      <w:adjustRightInd w:val="0"/>
      <w:spacing w:after="0" w:line="240" w:lineRule="auto"/>
    </w:pPr>
    <w:rPr>
      <w:rFonts w:ascii="Arial" w:hAnsi="Arial" w:cs="Arial"/>
      <w:color w:val="000000"/>
      <w:sz w:val="24"/>
      <w:szCs w:val="24"/>
    </w:rPr>
  </w:style>
  <w:style w:type="character" w:styleId="CitaoHTML">
    <w:name w:val="HTML Cite"/>
    <w:basedOn w:val="Fontepargpadro"/>
    <w:uiPriority w:val="99"/>
    <w:semiHidden/>
    <w:unhideWhenUsed/>
    <w:rsid w:val="00363476"/>
    <w:rPr>
      <w:i/>
      <w:iCs/>
    </w:rPr>
  </w:style>
  <w:style w:type="paragraph" w:styleId="Cabealho">
    <w:name w:val="header"/>
    <w:basedOn w:val="Normal"/>
    <w:link w:val="CabealhoChar"/>
    <w:uiPriority w:val="99"/>
    <w:semiHidden/>
    <w:unhideWhenUsed/>
    <w:rsid w:val="00FF694E"/>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FF694E"/>
  </w:style>
  <w:style w:type="paragraph" w:styleId="Rodap">
    <w:name w:val="footer"/>
    <w:basedOn w:val="Normal"/>
    <w:link w:val="RodapChar"/>
    <w:uiPriority w:val="99"/>
    <w:semiHidden/>
    <w:unhideWhenUsed/>
    <w:rsid w:val="00FF694E"/>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FF694E"/>
  </w:style>
  <w:style w:type="character" w:styleId="Refdecomentrio">
    <w:name w:val="annotation reference"/>
    <w:basedOn w:val="Fontepargpadro"/>
    <w:uiPriority w:val="99"/>
    <w:semiHidden/>
    <w:unhideWhenUsed/>
    <w:rsid w:val="0064477D"/>
    <w:rPr>
      <w:sz w:val="16"/>
      <w:szCs w:val="16"/>
    </w:rPr>
  </w:style>
  <w:style w:type="paragraph" w:styleId="Textodecomentrio">
    <w:name w:val="annotation text"/>
    <w:basedOn w:val="Normal"/>
    <w:link w:val="TextodecomentrioChar"/>
    <w:uiPriority w:val="99"/>
    <w:semiHidden/>
    <w:unhideWhenUsed/>
    <w:rsid w:val="0064477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4477D"/>
    <w:rPr>
      <w:sz w:val="20"/>
      <w:szCs w:val="20"/>
    </w:rPr>
  </w:style>
  <w:style w:type="paragraph" w:styleId="Assuntodocomentrio">
    <w:name w:val="annotation subject"/>
    <w:basedOn w:val="Textodecomentrio"/>
    <w:next w:val="Textodecomentrio"/>
    <w:link w:val="AssuntodocomentrioChar"/>
    <w:uiPriority w:val="99"/>
    <w:semiHidden/>
    <w:unhideWhenUsed/>
    <w:rsid w:val="0064477D"/>
    <w:rPr>
      <w:b/>
      <w:bCs/>
    </w:rPr>
  </w:style>
  <w:style w:type="character" w:customStyle="1" w:styleId="AssuntodocomentrioChar">
    <w:name w:val="Assunto do comentário Char"/>
    <w:basedOn w:val="TextodecomentrioChar"/>
    <w:link w:val="Assuntodocomentrio"/>
    <w:uiPriority w:val="99"/>
    <w:semiHidden/>
    <w:rsid w:val="0064477D"/>
    <w:rPr>
      <w:b/>
      <w:bCs/>
      <w:sz w:val="20"/>
      <w:szCs w:val="20"/>
    </w:rPr>
  </w:style>
</w:styles>
</file>

<file path=word/webSettings.xml><?xml version="1.0" encoding="utf-8"?>
<w:webSettings xmlns:r="http://schemas.openxmlformats.org/officeDocument/2006/relationships" xmlns:w="http://schemas.openxmlformats.org/wordprocessingml/2006/main">
  <w:divs>
    <w:div w:id="137738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imb.go.gov.br"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incra.gov.b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grupofarias.com.br" TargetMode="External"/><Relationship Id="rId5" Type="http://schemas.openxmlformats.org/officeDocument/2006/relationships/footnotes" Target="footnotes.xml"/><Relationship Id="rId15" Type="http://schemas.openxmlformats.org/officeDocument/2006/relationships/hyperlink" Target="http://www.agricultura.gov.br" TargetMode="Externa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www.seplan.go.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21D0A1-F180-40B6-829A-684F7A7EA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1</Pages>
  <Words>7707</Words>
  <Characters>41618</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49227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Lolena</dc:creator>
  <cp:lastModifiedBy>Lolena</cp:lastModifiedBy>
  <cp:revision>31</cp:revision>
  <dcterms:created xsi:type="dcterms:W3CDTF">2015-05-14T11:24:00Z</dcterms:created>
  <dcterms:modified xsi:type="dcterms:W3CDTF">2015-05-19T10:46:00Z</dcterms:modified>
</cp:coreProperties>
</file>