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165" w:rsidRPr="002B7165" w:rsidRDefault="002B7165" w:rsidP="002B7165">
      <w:pPr>
        <w:jc w:val="center"/>
        <w:rPr>
          <w:b/>
          <w:bCs/>
          <w:sz w:val="28"/>
          <w:szCs w:val="28"/>
          <w:lang w:eastAsia="es-MX"/>
        </w:rPr>
      </w:pPr>
      <w:r w:rsidRPr="002B7165">
        <w:rPr>
          <w:b/>
          <w:bCs/>
          <w:sz w:val="28"/>
          <w:szCs w:val="28"/>
          <w:lang w:eastAsia="es-MX"/>
        </w:rPr>
        <w:t>La transnacionalización de la agricultura de exportación</w:t>
      </w:r>
      <w:r w:rsidR="00FA2EAE">
        <w:rPr>
          <w:b/>
          <w:bCs/>
          <w:sz w:val="28"/>
          <w:szCs w:val="28"/>
          <w:lang w:eastAsia="es-MX"/>
        </w:rPr>
        <w:t xml:space="preserve"> en México</w:t>
      </w:r>
      <w:r w:rsidRPr="002B7165">
        <w:rPr>
          <w:b/>
          <w:bCs/>
          <w:sz w:val="28"/>
          <w:szCs w:val="28"/>
          <w:lang w:eastAsia="es-MX"/>
        </w:rPr>
        <w:t xml:space="preserve"> </w:t>
      </w:r>
    </w:p>
    <w:p w:rsidR="002B7165" w:rsidRPr="002B7165" w:rsidRDefault="002B7165" w:rsidP="002B7165">
      <w:pPr>
        <w:spacing w:line="360" w:lineRule="auto"/>
        <w:jc w:val="both"/>
        <w:rPr>
          <w:b/>
          <w:lang w:val="es-ES_tradnl"/>
        </w:rPr>
      </w:pPr>
      <w:r w:rsidRPr="002B7165">
        <w:rPr>
          <w:b/>
          <w:lang w:val="es-ES_tradnl"/>
        </w:rPr>
        <w:t>Resumen</w:t>
      </w:r>
    </w:p>
    <w:p w:rsidR="00941B88" w:rsidRPr="00941B88" w:rsidRDefault="00941B88" w:rsidP="00941B88">
      <w:pPr>
        <w:pStyle w:val="yiv1866219858msonormal"/>
        <w:jc w:val="both"/>
        <w:rPr>
          <w:color w:val="000000" w:themeColor="text1"/>
        </w:rPr>
      </w:pPr>
      <w:r w:rsidRPr="00941B88">
        <w:rPr>
          <w:rFonts w:ascii="Arial" w:hAnsi="Arial" w:cs="Arial"/>
          <w:color w:val="000000" w:themeColor="text1"/>
          <w:sz w:val="22"/>
          <w:szCs w:val="22"/>
          <w:shd w:val="clear" w:color="auto" w:fill="FFFF00"/>
        </w:rPr>
        <w:t xml:space="preserve">Este trabalho analisa a </w:t>
      </w:r>
      <w:r w:rsidRPr="00941B88">
        <w:rPr>
          <w:color w:val="000000" w:themeColor="text1"/>
          <w:shd w:val="clear" w:color="auto" w:fill="FFFF00"/>
        </w:rPr>
        <w:t>reestruturação produtiva experimentada pelo sector agrícola a partir das políticas neoliberais que se aplicaram em meados dos anos 1980. Também é analisado como o desenho de estratégias de politica setorial, ao beneficiar determinados subsetores que contam com potencial exportador provoca una especialização produtiva que resulta na ampliação da dependência econômica do México em alguns grupos de alimentos (básicos), em benefício de algumas commodities que são produzidas com exclusividade por capitais multinacionais, como é o caso do cultivo da framboesa, que ilustra a forma como operam as multinacionais em sua lógica de viabilizar uma cadeia de valor global multinacional.</w:t>
      </w:r>
    </w:p>
    <w:p w:rsidR="002B7165" w:rsidRDefault="00941B88" w:rsidP="002B7165">
      <w:pPr>
        <w:jc w:val="both"/>
      </w:pPr>
      <w:r>
        <w:rPr>
          <w:lang w:val="es-ES_tradnl"/>
        </w:rPr>
        <w:t>Este</w:t>
      </w:r>
      <w:bookmarkStart w:id="0" w:name="OLE_LINK10"/>
      <w:bookmarkStart w:id="1" w:name="OLE_LINK9"/>
      <w:r>
        <w:rPr>
          <w:lang w:val="es-ES_tradnl"/>
        </w:rPr>
        <w:t xml:space="preserve"> trabajo</w:t>
      </w:r>
      <w:r w:rsidR="002B7165" w:rsidRPr="00C346DC">
        <w:t xml:space="preserve"> analiza como el sector agrícola ha experimentado una reestructuración productiva a partir de las políticas neoliberales que se aplicaron mediados</w:t>
      </w:r>
      <w:r>
        <w:t xml:space="preserve"> de los años ochenta, también</w:t>
      </w:r>
      <w:r w:rsidR="002B7165" w:rsidRPr="00C346DC">
        <w:t xml:space="preserve"> analizará como el diseño de estrategias de política sectorial, al beneficiar sólo a determinados subsectores que cuentan con potencial exportador, provoca una especialización productiva que ha agudizado la dependencia económica de México en algunos rubros de alimentos (básicos) </w:t>
      </w:r>
      <w:bookmarkEnd w:id="0"/>
      <w:bookmarkEnd w:id="1"/>
      <w:r w:rsidR="002B7165" w:rsidRPr="00C346DC">
        <w:t>en beneficio de algunos commodities que son producidos con exclusividad por capitales transnacionales, como es el caso del cultivo de la zarzamora que ilustra la forman en que operan las transnacionales en su lógica de viabilizar una cadena de valor global multinacional.</w:t>
      </w:r>
    </w:p>
    <w:p w:rsidR="002B7165" w:rsidRDefault="002B7165" w:rsidP="002B7165">
      <w:pPr>
        <w:jc w:val="both"/>
      </w:pPr>
    </w:p>
    <w:p w:rsidR="002B7165" w:rsidRPr="00BB241A" w:rsidRDefault="002B7165" w:rsidP="00C33601">
      <w:pPr>
        <w:rPr>
          <w:b/>
          <w:bCs/>
          <w:lang w:eastAsia="es-MX"/>
        </w:rPr>
      </w:pPr>
      <w:r>
        <w:rPr>
          <w:b/>
          <w:bCs/>
          <w:lang w:eastAsia="es-MX"/>
        </w:rPr>
        <w:t>Introducción.</w:t>
      </w:r>
    </w:p>
    <w:p w:rsidR="00941B88" w:rsidRDefault="00941B88" w:rsidP="00941B88">
      <w:pPr>
        <w:pStyle w:val="Textoindependiente"/>
      </w:pPr>
      <w:r>
        <w:t>Como bien lo explica el geógrafo brasileño Santos, M (2004) los capitales extranjeros invierten en los sectores más interesantes para ellos. Sus preferencias varían en relación al nivel de industrialización de los países que ellos seleccionen, a la  infraestructura existente, a las posibilidades de amortización rápida y de repatriación de las ganancias, a la estabilidad de la situación política, etc. Si al final del siglo XIX e inicio del XX los puertos, las vías férreas y minas eran las inversiones escogidas, el objetivo ahora va dirigido a través de los organismos bancarios internacionales sobre los cuales las grandes potencias tienen estricto control.</w:t>
      </w:r>
      <w:r>
        <w:tab/>
      </w:r>
    </w:p>
    <w:p w:rsidR="00941B88" w:rsidRDefault="00941B88" w:rsidP="00941B88">
      <w:pPr>
        <w:pStyle w:val="Textoindependiente"/>
      </w:pPr>
      <w:r>
        <w:tab/>
        <w:t xml:space="preserve">Sin embargo independientemente en que sector invertir, lo que es contundente, es que los países en desarrollo son los multiplicadores de capitales que retornan revalorizados a los países desarrollados, ya que una de las consecuencias de la presencia de las inversiones extranjeras en los países en desarrollo es la transferencia de capitales a los países desarrollados vía fuga de capitales y/o operaciones de traslado de dinero a otros paraísos fiscales  que garanticen su rentabilidad. </w:t>
      </w:r>
    </w:p>
    <w:p w:rsidR="00941B88" w:rsidRDefault="00941B88" w:rsidP="00941B88">
      <w:pPr>
        <w:pStyle w:val="Textoindependiente"/>
      </w:pPr>
      <w:r>
        <w:tab/>
        <w:t xml:space="preserve">Por supuesto, que no podemos olvidar el análisis hecho por Harvey, D (2007) quien desde la perspectiva de la lógica del capitalista, señala que el imperialismo tiende típicamente a explotar las condiciones geográficas desiguales bajo las que tiene  lugar la acumulación de capital y también aprovechar las ventajas de lo que él llama las “asimetrías” que surgen inevitablemente de las relaciones espaciales de intercambio, tal como se expresan en el intercambio desigual e injusto, sustentados en la existencia de poderes monopolistas espacialmente articulados en las prácticas de extorsión y vinculados a los flujos de capital restringidos a partir de la extracción de sus rentas monopólicas. Es decir, los capitalistas subraya David Harvey pueden utilizar estrategias espaciales para crear </w:t>
      </w:r>
      <w:r>
        <w:lastRenderedPageBreak/>
        <w:t>y proteger poderes monopolistas, el control sobre localizaciones estratégicas o complejos de recursos claves, es una arma importante.</w:t>
      </w:r>
    </w:p>
    <w:p w:rsidR="00941B88" w:rsidRDefault="00941B88" w:rsidP="00941B88">
      <w:pPr>
        <w:pStyle w:val="Textoindependiente"/>
      </w:pPr>
      <w:r>
        <w:tab/>
        <w:t>El quid del asunto, para David Harvey se encuentra en la soluciones espacio-temporales, la expansión geográfica del capitalismo subyace en gran parte en la actividad imperialista y contribuye a la estabilización del sistema, precisamente porque genera demanda, tanto de inversión como de bienes de consumo en otros lugares. Para mantener abiertas oportunidades rentables es, por consiguiente, tan importante el acceso a inputs más baratos como el acceso a nuevos mercados, de  lo que se desprende la necesidad de obligar a los territorios no sólo a comerciar (lo que efectivamente ayuda), sino también a permitir inversión de capital en operaciones rentables utilizando la fuerza de trabajo, materias primas, tierra, etc.,</w:t>
      </w:r>
    </w:p>
    <w:p w:rsidR="002B7165" w:rsidRPr="00BB241A" w:rsidRDefault="00941B88" w:rsidP="00C33601">
      <w:pPr>
        <w:jc w:val="both"/>
        <w:rPr>
          <w:bCs/>
          <w:lang w:eastAsia="es-MX"/>
        </w:rPr>
      </w:pPr>
      <w:r>
        <w:tab/>
        <w:t>Por otra parte en lo que respecta a l</w:t>
      </w:r>
      <w:r w:rsidR="002B7165" w:rsidRPr="00396AA5">
        <w:t>a estrategia neoliberal aplicada por los gobiernos latinoamericanos en general, consiste en argumentar; que debido a la contracción económica; las dificultades para penetrar en los mercados externos; la caída de los precios internacionales de las materias primas; los déficit de la balanza de pagos; la excesiva deuda externa; la escasez de divisas y debido también a la característica de industrialización (dependencia del exterior en tecnología y bienes de capital, falta de competitividad), el</w:t>
      </w:r>
      <w:r w:rsidR="002B7165" w:rsidRPr="00396AA5">
        <w:rPr>
          <w:i/>
        </w:rPr>
        <w:t xml:space="preserve"> </w:t>
      </w:r>
      <w:r w:rsidR="002B7165" w:rsidRPr="00396AA5">
        <w:t xml:space="preserve">gobierno debe convertirse en un instrumento para actividades de promoción con un enfoque empresarial. </w:t>
      </w:r>
    </w:p>
    <w:p w:rsidR="002B7165" w:rsidRPr="00396AA5" w:rsidRDefault="002B7165" w:rsidP="00C33601">
      <w:pPr>
        <w:ind w:firstLine="708"/>
        <w:jc w:val="both"/>
      </w:pPr>
      <w:r w:rsidRPr="00396AA5">
        <w:t>En consecuencia, la política de incentivos irá encaminada a favorecer a los sectores exportadores, relegando a un segundo plano, cualquier apoyo a los sectores nacionales productores de bienes no t</w:t>
      </w:r>
      <w:r>
        <w:t>ransables en el mercado externo</w:t>
      </w:r>
      <w:r w:rsidRPr="00396AA5">
        <w:t xml:space="preserve"> </w:t>
      </w:r>
      <w:r>
        <w:t xml:space="preserve">(Curbelo, </w:t>
      </w:r>
      <w:r w:rsidRPr="00396AA5">
        <w:t>1990). El mejoramiento de la eficiencia de la economía y la creación de la base material para la explotación de las nuevas potencialidades creadas por el modelo de apertura, deben constituirse en los objetivos básicos.</w:t>
      </w:r>
    </w:p>
    <w:p w:rsidR="002B7165" w:rsidRPr="00396AA5" w:rsidRDefault="002B7165" w:rsidP="00C33601">
      <w:pPr>
        <w:ind w:firstLine="708"/>
        <w:jc w:val="both"/>
      </w:pPr>
      <w:r w:rsidRPr="00396AA5">
        <w:t>Precisamente uno de los objetivos básicos, dentro de las funciones de un nuevo Estado, es que éste; establezca las reglas del juego que permitan la existencia de regímenes especiales para hacer atractiva la llegada de capitales en sectores percibidos como prioritarios para el desarrollo de una determinada región.</w:t>
      </w:r>
    </w:p>
    <w:p w:rsidR="002B7165" w:rsidRPr="00396AA5" w:rsidRDefault="002B7165" w:rsidP="00C33601">
      <w:pPr>
        <w:ind w:firstLine="708"/>
        <w:jc w:val="both"/>
      </w:pPr>
      <w:r w:rsidRPr="00396AA5">
        <w:t xml:space="preserve">Así, las regiones con potencial productivo a favor de </w:t>
      </w:r>
      <w:smartTag w:uri="urn:schemas-microsoft-com:office:smarttags" w:element="PersonName">
        <w:smartTagPr>
          <w:attr w:name="ProductID" w:val="la IED"/>
        </w:smartTagPr>
        <w:r w:rsidRPr="00396AA5">
          <w:t>la IED</w:t>
        </w:r>
      </w:smartTag>
      <w:r w:rsidRPr="00396AA5">
        <w:t>, estarían acotadas en áreas,  específicas para albergar determinados subsectores (electrodomésticos, automotriz y la producción agrícola más rentable; hortalizas, flores y frutas). Aquí, encontraríamos la configuración de una región, a través de una red de empresas que  tienen que ver más con el mercado y la producción mundializada en otros países, que con el mismo país receptor.</w:t>
      </w:r>
    </w:p>
    <w:p w:rsidR="002B7165" w:rsidRPr="002B7165" w:rsidRDefault="002B7165" w:rsidP="00C33601">
      <w:pPr>
        <w:ind w:firstLine="708"/>
        <w:jc w:val="both"/>
      </w:pPr>
      <w:r w:rsidRPr="00396AA5">
        <w:t xml:space="preserve">A partir de los argumentos esgrimidos, </w:t>
      </w:r>
      <w:r>
        <w:rPr>
          <w:i/>
        </w:rPr>
        <w:t>la conjetura</w:t>
      </w:r>
      <w:r w:rsidRPr="00396AA5">
        <w:rPr>
          <w:i/>
        </w:rPr>
        <w:t xml:space="preserve"> que sustenta </w:t>
      </w:r>
      <w:r w:rsidRPr="00396AA5">
        <w:t xml:space="preserve">este </w:t>
      </w:r>
      <w:r w:rsidR="00D3452D">
        <w:t>trabajo</w:t>
      </w:r>
      <w:r w:rsidRPr="00396AA5">
        <w:t>, es que al sujetarse los s</w:t>
      </w:r>
      <w:r>
        <w:t>ectores agrícolas</w:t>
      </w:r>
      <w:r w:rsidRPr="00396AA5">
        <w:t xml:space="preserve"> a los mismos principios rectores de la política neoliberal,</w:t>
      </w:r>
      <w:r>
        <w:t xml:space="preserve"> los efectos económicos en el sector</w:t>
      </w:r>
      <w:r w:rsidRPr="00396AA5">
        <w:t xml:space="preserve"> se manifiestan en agrupamientos territoriales a través de figuras de agr</w:t>
      </w:r>
      <w:r>
        <w:t>omaquila;</w:t>
      </w:r>
      <w:r w:rsidRPr="00396AA5">
        <w:t xml:space="preserve"> quedando la economía nacional dependiente en medida extrema de las circunstancias del ciclo económico externo. </w:t>
      </w:r>
    </w:p>
    <w:p w:rsidR="002B7165" w:rsidRPr="00C40174" w:rsidRDefault="00941B88" w:rsidP="00C33601">
      <w:pPr>
        <w:jc w:val="both"/>
      </w:pPr>
      <w:r>
        <w:t>Este trabajo</w:t>
      </w:r>
      <w:r w:rsidR="002B7165" w:rsidRPr="00C40174">
        <w:t xml:space="preserve"> est</w:t>
      </w:r>
      <w:r w:rsidR="002B7165">
        <w:t>á divido en tres</w:t>
      </w:r>
      <w:r w:rsidR="002B7165" w:rsidRPr="00C40174">
        <w:t xml:space="preserve"> apartados: </w:t>
      </w:r>
    </w:p>
    <w:p w:rsidR="002B7165" w:rsidRDefault="002B7165" w:rsidP="00C33601">
      <w:pPr>
        <w:jc w:val="both"/>
      </w:pPr>
    </w:p>
    <w:p w:rsidR="002B7165" w:rsidRDefault="002B7165" w:rsidP="00C33601">
      <w:pPr>
        <w:jc w:val="both"/>
      </w:pPr>
      <w:r w:rsidRPr="00C40174">
        <w:t xml:space="preserve">1.-  Las políticas de estabilización y ajuste neoliberal  y la nueva caracterización de la agricultura acorde al modelo de desarrollo. </w:t>
      </w:r>
    </w:p>
    <w:p w:rsidR="002B7165" w:rsidRPr="00C40174" w:rsidRDefault="002B7165" w:rsidP="00C33601">
      <w:pPr>
        <w:jc w:val="both"/>
      </w:pPr>
      <w:r w:rsidRPr="00C40174">
        <w:t xml:space="preserve">2.-Los efectos de </w:t>
      </w:r>
      <w:smartTag w:uri="urn:schemas-microsoft-com:office:smarttags" w:element="PersonName">
        <w:smartTagPr>
          <w:attr w:name="ProductID" w:val="la Pol￭tica"/>
        </w:smartTagPr>
        <w:r w:rsidRPr="00C40174">
          <w:t>la Política</w:t>
        </w:r>
      </w:smartTag>
      <w:r w:rsidRPr="00C40174">
        <w:t xml:space="preserve"> agrícola en el nuevo perfil productivo.</w:t>
      </w:r>
    </w:p>
    <w:p w:rsidR="002B7165" w:rsidRPr="00D3452D" w:rsidRDefault="002B7165" w:rsidP="00D3452D">
      <w:pPr>
        <w:autoSpaceDE w:val="0"/>
        <w:autoSpaceDN w:val="0"/>
        <w:adjustRightInd w:val="0"/>
        <w:jc w:val="both"/>
      </w:pPr>
      <w:r>
        <w:rPr>
          <w:bCs/>
        </w:rPr>
        <w:t>3</w:t>
      </w:r>
      <w:r w:rsidRPr="00C40174">
        <w:rPr>
          <w:bCs/>
        </w:rPr>
        <w:t>.-  Cuáles son las razones de por qué las transnacionales deciden invertir para producir el fruto de la zarzamora</w:t>
      </w:r>
      <w:r>
        <w:t xml:space="preserve"> </w:t>
      </w:r>
      <w:r w:rsidRPr="00C40174">
        <w:rPr>
          <w:bCs/>
        </w:rPr>
        <w:t>en la región de Los Reyes, Michoacán: México.</w:t>
      </w:r>
    </w:p>
    <w:p w:rsidR="002B7165" w:rsidRDefault="002B7165" w:rsidP="00C33601">
      <w:pPr>
        <w:jc w:val="both"/>
        <w:rPr>
          <w:b/>
        </w:rPr>
      </w:pPr>
      <w:r>
        <w:rPr>
          <w:b/>
        </w:rPr>
        <w:lastRenderedPageBreak/>
        <w:t>1</w:t>
      </w:r>
      <w:r w:rsidRPr="00396AA5">
        <w:rPr>
          <w:b/>
        </w:rPr>
        <w:t>.-  Las políticas de estabilización y ajuste neoliberal</w:t>
      </w:r>
      <w:r w:rsidRPr="00396AA5">
        <w:rPr>
          <w:rStyle w:val="Refdenotaalpie"/>
          <w:b/>
        </w:rPr>
        <w:footnoteReference w:id="2"/>
      </w:r>
      <w:r w:rsidRPr="00396AA5">
        <w:rPr>
          <w:b/>
        </w:rPr>
        <w:t xml:space="preserve">  y la nueva caracterización </w:t>
      </w:r>
      <w:r>
        <w:rPr>
          <w:b/>
        </w:rPr>
        <w:t>de la agricultura</w:t>
      </w:r>
      <w:r w:rsidRPr="00396AA5">
        <w:rPr>
          <w:b/>
        </w:rPr>
        <w:t xml:space="preserve"> acorde al modelo de desarrollo</w:t>
      </w:r>
      <w:r w:rsidRPr="00396AA5">
        <w:rPr>
          <w:rStyle w:val="Refdenotaalpie"/>
          <w:b/>
        </w:rPr>
        <w:footnoteReference w:id="3"/>
      </w:r>
      <w:r w:rsidRPr="00396AA5">
        <w:rPr>
          <w:b/>
        </w:rPr>
        <w:t xml:space="preserve">. </w:t>
      </w:r>
    </w:p>
    <w:p w:rsidR="002B7165" w:rsidRDefault="002B7165" w:rsidP="00C33601">
      <w:pPr>
        <w:jc w:val="both"/>
        <w:rPr>
          <w:lang w:val="es-ES_tradnl"/>
        </w:rPr>
      </w:pPr>
    </w:p>
    <w:p w:rsidR="002B7165" w:rsidRPr="00B27497" w:rsidRDefault="002B7165" w:rsidP="00C33601">
      <w:pPr>
        <w:jc w:val="both"/>
        <w:rPr>
          <w:b/>
        </w:rPr>
      </w:pPr>
      <w:r w:rsidRPr="00396AA5">
        <w:rPr>
          <w:lang w:val="es-ES_tradnl"/>
        </w:rPr>
        <w:t>¿Por qué se cambia radicalmente la concepción y las directrices de instrumentar una P</w:t>
      </w:r>
      <w:r>
        <w:rPr>
          <w:lang w:val="es-ES_tradnl"/>
        </w:rPr>
        <w:t>olítica agrícola</w:t>
      </w:r>
      <w:r w:rsidRPr="00396AA5">
        <w:rPr>
          <w:lang w:val="es-ES_tradnl"/>
        </w:rPr>
        <w:t xml:space="preserve"> a partir de un</w:t>
      </w:r>
      <w:r w:rsidRPr="00396AA5">
        <w:t xml:space="preserve"> modelo de desarrollo denominado reformista y basado en la estabilización macroeconómica y el ajuste estructural neoliberal?</w:t>
      </w:r>
    </w:p>
    <w:p w:rsidR="002B7165" w:rsidRDefault="002B7165" w:rsidP="00C33601">
      <w:pPr>
        <w:jc w:val="both"/>
        <w:rPr>
          <w:lang w:val="es-ES_tradnl"/>
        </w:rPr>
      </w:pPr>
      <w:r>
        <w:rPr>
          <w:lang w:val="es-ES_tradnl"/>
        </w:rPr>
        <w:tab/>
      </w:r>
      <w:r w:rsidRPr="00396AA5">
        <w:rPr>
          <w:lang w:val="es-ES_tradnl"/>
        </w:rPr>
        <w:t>Como se ha dicho, se analizará brevemente; como a lo largo de las décadas de los ochenta y los noventa y principios del siglo XXI, la corriente del pensamiento neoliberal</w:t>
      </w:r>
      <w:r w:rsidRPr="00396AA5">
        <w:rPr>
          <w:rStyle w:val="Refdenotaalpie"/>
          <w:lang w:val="es-ES_tradnl"/>
        </w:rPr>
        <w:footnoteReference w:id="4"/>
      </w:r>
      <w:r w:rsidRPr="00396AA5">
        <w:rPr>
          <w:lang w:val="es-ES_tradnl"/>
        </w:rPr>
        <w:t xml:space="preserve"> se ha ido imponiendo en la praxis a la política económica del desarrollo sectorial de México.</w:t>
      </w:r>
    </w:p>
    <w:p w:rsidR="002B7165" w:rsidRDefault="002B7165" w:rsidP="00C33601">
      <w:pPr>
        <w:jc w:val="both"/>
        <w:rPr>
          <w:lang w:val="es-ES_tradnl"/>
        </w:rPr>
      </w:pPr>
      <w:r>
        <w:rPr>
          <w:lang w:val="es-ES_tradnl"/>
        </w:rPr>
        <w:tab/>
      </w:r>
      <w:r w:rsidRPr="00396AA5">
        <w:rPr>
          <w:lang w:val="es-ES_tradnl"/>
        </w:rPr>
        <w:t xml:space="preserve">El cuadro 1, ejemplifica la concepción de </w:t>
      </w:r>
      <w:smartTag w:uri="urn:schemas-microsoft-com:office:smarttags" w:element="PersonName">
        <w:smartTagPr>
          <w:attr w:name="ProductID" w:val="la Pol￭tica"/>
        </w:smartTagPr>
        <w:r w:rsidRPr="00396AA5">
          <w:rPr>
            <w:lang w:val="es-ES_tradnl"/>
          </w:rPr>
          <w:t>la P</w:t>
        </w:r>
        <w:r>
          <w:rPr>
            <w:lang w:val="es-ES_tradnl"/>
          </w:rPr>
          <w:t>olítica</w:t>
        </w:r>
      </w:smartTag>
      <w:r>
        <w:rPr>
          <w:lang w:val="es-ES_tradnl"/>
        </w:rPr>
        <w:t xml:space="preserve"> agrícola</w:t>
      </w:r>
      <w:r w:rsidRPr="00396AA5">
        <w:rPr>
          <w:lang w:val="es-ES_tradnl"/>
        </w:rPr>
        <w:t xml:space="preserve"> a partir de la implementación del modelo neoliberal y como ambas políticas apuntan a los mismos principios de aprovechar las potencialidades productivas de sólo algunos subsectores que cuenten</w:t>
      </w:r>
      <w:r>
        <w:rPr>
          <w:lang w:val="es-ES_tradnl"/>
        </w:rPr>
        <w:t xml:space="preserve"> con ventajas comparativas y competitiva</w:t>
      </w:r>
      <w:r w:rsidRPr="00396AA5">
        <w:rPr>
          <w:lang w:val="es-ES_tradnl"/>
        </w:rPr>
        <w:t>s en el mercado internacional.</w:t>
      </w:r>
      <w:r>
        <w:rPr>
          <w:lang w:val="es-ES_tradnl"/>
        </w:rPr>
        <w:t xml:space="preserve"> Para  lograr esto, en 1991 el gobierno del Presidente Salinas aprobó la reforma al artículo 27 Constitucional que no sólo permitía sino incentivaba la privatización de  las tierras regidas bajo este sistema, abriéndolas a la propiedad extranjera.  </w:t>
      </w:r>
    </w:p>
    <w:p w:rsidR="002B7165" w:rsidRPr="00396AA5" w:rsidRDefault="002B7165" w:rsidP="00C33601">
      <w:pPr>
        <w:jc w:val="both"/>
        <w:rPr>
          <w:lang w:val="es-ES_tradnl"/>
        </w:rPr>
      </w:pP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2B7165" w:rsidRPr="00396AA5" w:rsidTr="00941B88">
        <w:tc>
          <w:tcPr>
            <w:tcW w:w="9180" w:type="dxa"/>
            <w:tcBorders>
              <w:top w:val="single" w:sz="4" w:space="0" w:color="auto"/>
              <w:left w:val="single" w:sz="4" w:space="0" w:color="auto"/>
              <w:bottom w:val="single" w:sz="4" w:space="0" w:color="auto"/>
              <w:right w:val="single" w:sz="4" w:space="0" w:color="auto"/>
            </w:tcBorders>
          </w:tcPr>
          <w:p w:rsidR="002B7165" w:rsidRPr="00E674D7" w:rsidRDefault="002B7165" w:rsidP="00C33601">
            <w:pPr>
              <w:rPr>
                <w:lang w:val="es-ES_tradnl"/>
              </w:rPr>
            </w:pPr>
            <w:r w:rsidRPr="00E674D7">
              <w:rPr>
                <w:sz w:val="22"/>
                <w:szCs w:val="22"/>
                <w:lang w:val="es-ES_tradnl"/>
              </w:rPr>
              <w:t>Cuadro 1</w:t>
            </w:r>
          </w:p>
          <w:p w:rsidR="002B7165" w:rsidRPr="00E674D7" w:rsidRDefault="002B7165" w:rsidP="00C33601">
            <w:pPr>
              <w:rPr>
                <w:lang w:val="es-ES_tradnl"/>
              </w:rPr>
            </w:pPr>
            <w:r w:rsidRPr="00E674D7">
              <w:rPr>
                <w:b/>
                <w:sz w:val="22"/>
                <w:szCs w:val="22"/>
                <w:lang w:val="es-ES_tradnl"/>
              </w:rPr>
              <w:t>Definición y criterios  d</w:t>
            </w:r>
            <w:r>
              <w:rPr>
                <w:b/>
                <w:sz w:val="22"/>
                <w:szCs w:val="22"/>
                <w:lang w:val="es-ES_tradnl"/>
              </w:rPr>
              <w:t>e política agrícola</w:t>
            </w:r>
            <w:r w:rsidRPr="00E674D7">
              <w:rPr>
                <w:b/>
                <w:sz w:val="22"/>
                <w:szCs w:val="22"/>
                <w:lang w:val="es-ES_tradnl"/>
              </w:rPr>
              <w:t xml:space="preserve"> acorde al modelo económico neoliberal</w:t>
            </w:r>
          </w:p>
        </w:tc>
      </w:tr>
      <w:tr w:rsidR="002B7165" w:rsidRPr="00396AA5" w:rsidTr="00941B88">
        <w:tc>
          <w:tcPr>
            <w:tcW w:w="9180" w:type="dxa"/>
            <w:tcBorders>
              <w:top w:val="single" w:sz="4" w:space="0" w:color="auto"/>
              <w:left w:val="single" w:sz="4" w:space="0" w:color="auto"/>
              <w:bottom w:val="single" w:sz="4" w:space="0" w:color="auto"/>
              <w:right w:val="single" w:sz="4" w:space="0" w:color="auto"/>
            </w:tcBorders>
          </w:tcPr>
          <w:p w:rsidR="002B7165" w:rsidRPr="00E674D7" w:rsidRDefault="002B7165" w:rsidP="00C33601">
            <w:pPr>
              <w:jc w:val="both"/>
              <w:rPr>
                <w:bCs/>
              </w:rPr>
            </w:pPr>
            <w:r w:rsidRPr="00E674D7">
              <w:rPr>
                <w:sz w:val="22"/>
                <w:szCs w:val="22"/>
              </w:rPr>
              <w:t>El cambio de concepción de la política agrícola, se explica por adopción de un Modelo Neoliberal que apunta a los siguientes objetivos:</w:t>
            </w:r>
          </w:p>
          <w:p w:rsidR="002B7165" w:rsidRPr="00E674D7" w:rsidRDefault="002B7165" w:rsidP="00C33601">
            <w:pPr>
              <w:jc w:val="both"/>
              <w:rPr>
                <w:bCs/>
              </w:rPr>
            </w:pPr>
            <w:r w:rsidRPr="00E674D7">
              <w:rPr>
                <w:bCs/>
                <w:sz w:val="22"/>
                <w:szCs w:val="22"/>
              </w:rPr>
              <w:t>-Propiciar el cambio de patrón de cultivos para producir bienes que se puedan comercializar en condiciones más favorables para los productores y aprovechar las ventajas comparativas de México.</w:t>
            </w:r>
          </w:p>
          <w:p w:rsidR="002B7165" w:rsidRPr="00E674D7" w:rsidRDefault="002B7165" w:rsidP="00C33601">
            <w:pPr>
              <w:jc w:val="both"/>
              <w:rPr>
                <w:bCs/>
              </w:rPr>
            </w:pPr>
            <w:r w:rsidRPr="00E674D7">
              <w:rPr>
                <w:bCs/>
                <w:sz w:val="22"/>
                <w:szCs w:val="22"/>
              </w:rPr>
              <w:t xml:space="preserve">-En las zonas en que el clima y agronómicamente fuese posible, debería abandonase el cultivo de </w:t>
            </w:r>
            <w:r w:rsidRPr="00E674D7">
              <w:rPr>
                <w:bCs/>
                <w:sz w:val="22"/>
                <w:szCs w:val="22"/>
              </w:rPr>
              <w:lastRenderedPageBreak/>
              <w:t xml:space="preserve">productos básicos y pasar a la horticultura, la fruticultura o la silvicultura. </w:t>
            </w:r>
          </w:p>
          <w:p w:rsidR="002B7165" w:rsidRPr="00E674D7" w:rsidRDefault="002B7165" w:rsidP="00C33601">
            <w:pPr>
              <w:jc w:val="both"/>
              <w:rPr>
                <w:bCs/>
              </w:rPr>
            </w:pPr>
            <w:r w:rsidRPr="00E674D7">
              <w:rPr>
                <w:bCs/>
                <w:sz w:val="22"/>
                <w:szCs w:val="22"/>
              </w:rPr>
              <w:t>-Destinar en parte, las divisas que origine la exportación de los respectivos productos agro-exportables y financiar la importación de los alimentos necesarios (léase básicos).</w:t>
            </w:r>
          </w:p>
          <w:p w:rsidR="002B7165" w:rsidRPr="00E674D7" w:rsidRDefault="002B7165" w:rsidP="00C33601">
            <w:pPr>
              <w:jc w:val="both"/>
              <w:rPr>
                <w:lang w:val="es-ES_tradnl"/>
              </w:rPr>
            </w:pPr>
            <w:r w:rsidRPr="00E674D7">
              <w:rPr>
                <w:sz w:val="22"/>
                <w:szCs w:val="22"/>
              </w:rPr>
              <w:t>- Privatizar a todas las empresas del Estado con actividades vinculadas a la agricultura y lo precios se establezcan a través del libre juego de la oferta y la demanda.</w:t>
            </w:r>
          </w:p>
        </w:tc>
      </w:tr>
      <w:tr w:rsidR="002B7165" w:rsidRPr="00396AA5" w:rsidTr="00941B88">
        <w:tc>
          <w:tcPr>
            <w:tcW w:w="9180" w:type="dxa"/>
            <w:tcBorders>
              <w:top w:val="single" w:sz="4" w:space="0" w:color="auto"/>
              <w:left w:val="single" w:sz="4" w:space="0" w:color="auto"/>
              <w:bottom w:val="single" w:sz="4" w:space="0" w:color="auto"/>
              <w:right w:val="single" w:sz="4" w:space="0" w:color="auto"/>
            </w:tcBorders>
          </w:tcPr>
          <w:p w:rsidR="002B7165" w:rsidRPr="00E674D7" w:rsidRDefault="002B7165" w:rsidP="00C33601">
            <w:pPr>
              <w:jc w:val="both"/>
              <w:rPr>
                <w:lang w:val="es-ES_tradnl"/>
              </w:rPr>
            </w:pPr>
            <w:r w:rsidRPr="00E674D7">
              <w:rPr>
                <w:sz w:val="22"/>
                <w:szCs w:val="22"/>
                <w:lang w:val="es-ES_tradnl"/>
              </w:rPr>
              <w:lastRenderedPageBreak/>
              <w:t>Las P</w:t>
            </w:r>
            <w:r>
              <w:rPr>
                <w:sz w:val="22"/>
                <w:szCs w:val="22"/>
                <w:lang w:val="es-ES_tradnl"/>
              </w:rPr>
              <w:t>olítica agrícola</w:t>
            </w:r>
            <w:r w:rsidRPr="00E674D7">
              <w:rPr>
                <w:sz w:val="22"/>
                <w:szCs w:val="22"/>
                <w:lang w:val="es-ES_tradnl"/>
              </w:rPr>
              <w:t xml:space="preserve"> se fundamentan en el postulado de que la economía de mercado, es el camino más efectivo para promover el desarrol</w:t>
            </w:r>
            <w:r>
              <w:rPr>
                <w:sz w:val="22"/>
                <w:szCs w:val="22"/>
                <w:lang w:val="es-ES_tradnl"/>
              </w:rPr>
              <w:t>lo económico social. La política agrícola responde</w:t>
            </w:r>
            <w:r w:rsidRPr="00E674D7">
              <w:rPr>
                <w:sz w:val="22"/>
                <w:szCs w:val="22"/>
                <w:lang w:val="es-ES_tradnl"/>
              </w:rPr>
              <w:t xml:space="preserve"> a condicionantes externas o a </w:t>
            </w:r>
            <w:r>
              <w:rPr>
                <w:sz w:val="22"/>
                <w:szCs w:val="22"/>
                <w:lang w:val="es-ES_tradnl"/>
              </w:rPr>
              <w:t>objetivos de cambio estructural, esto</w:t>
            </w:r>
            <w:r w:rsidRPr="00E674D7">
              <w:rPr>
                <w:sz w:val="22"/>
                <w:szCs w:val="22"/>
                <w:lang w:val="es-ES_tradnl"/>
              </w:rPr>
              <w:t xml:space="preserve"> para ajustarse a la economía global y estimular el comercio agrícola </w:t>
            </w:r>
            <w:r>
              <w:rPr>
                <w:sz w:val="22"/>
                <w:szCs w:val="22"/>
                <w:lang w:val="es-ES_tradnl"/>
              </w:rPr>
              <w:t xml:space="preserve"> exportador</w:t>
            </w:r>
          </w:p>
        </w:tc>
      </w:tr>
    </w:tbl>
    <w:p w:rsidR="002B7165" w:rsidRPr="00396AA5" w:rsidRDefault="002B7165" w:rsidP="00C33601">
      <w:pPr>
        <w:jc w:val="both"/>
        <w:rPr>
          <w:lang w:val="es-ES_tradnl"/>
        </w:rPr>
      </w:pPr>
    </w:p>
    <w:p w:rsidR="002B7165" w:rsidRPr="00396AA5" w:rsidRDefault="002B7165" w:rsidP="00C33601">
      <w:pPr>
        <w:ind w:firstLine="708"/>
        <w:jc w:val="both"/>
        <w:rPr>
          <w:lang w:val="es-ES_tradnl"/>
        </w:rPr>
      </w:pPr>
      <w:r w:rsidRPr="00396AA5">
        <w:rPr>
          <w:lang w:val="es-ES_tradnl"/>
        </w:rPr>
        <w:t>El común denominado</w:t>
      </w:r>
      <w:r>
        <w:rPr>
          <w:lang w:val="es-ES_tradnl"/>
        </w:rPr>
        <w:t>r, de la política agrícola</w:t>
      </w:r>
      <w:r w:rsidRPr="00396AA5">
        <w:rPr>
          <w:lang w:val="es-ES_tradnl"/>
        </w:rPr>
        <w:t xml:space="preserve">,  es sin lugar la adopción de mecanismos ad-hoc que favorezca a </w:t>
      </w:r>
      <w:smartTag w:uri="urn:schemas-microsoft-com:office:smarttags" w:element="PersonName">
        <w:smartTagPr>
          <w:attr w:name="ProductID" w:val="la Inversi￳n Extranjera"/>
        </w:smartTagPr>
        <w:r w:rsidRPr="00396AA5">
          <w:rPr>
            <w:lang w:val="es-ES_tradnl"/>
          </w:rPr>
          <w:t>la Inversión Extranjera</w:t>
        </w:r>
      </w:smartTag>
      <w:r w:rsidRPr="00396AA5">
        <w:rPr>
          <w:lang w:val="es-ES_tradnl"/>
        </w:rPr>
        <w:t xml:space="preserve"> Directa (IED) como el principal eje dinamizador del sector agrícola y manufacturero en general. Los operadores del Gobierno Federal y Estatal, están convencidos que sólo es a través de </w:t>
      </w:r>
      <w:smartTag w:uri="urn:schemas-microsoft-com:office:smarttags" w:element="PersonName">
        <w:smartTagPr>
          <w:attr w:name="ProductID" w:val="la IED"/>
        </w:smartTagPr>
        <w:r w:rsidRPr="00396AA5">
          <w:rPr>
            <w:lang w:val="es-ES_tradnl"/>
          </w:rPr>
          <w:t>la IED</w:t>
        </w:r>
      </w:smartTag>
      <w:r w:rsidRPr="00396AA5">
        <w:rPr>
          <w:lang w:val="es-ES_tradnl"/>
        </w:rPr>
        <w:t xml:space="preserve">, que ocurrirá el goteo o derrame económico en el multiplicador de empleo e ingreso tanto en el ámbito espacial y sectorial. De ahí, que la </w:t>
      </w:r>
      <w:r>
        <w:rPr>
          <w:lang w:val="es-ES_tradnl"/>
        </w:rPr>
        <w:t>política agrícola</w:t>
      </w:r>
      <w:r w:rsidRPr="00396AA5">
        <w:rPr>
          <w:lang w:val="es-ES_tradnl"/>
        </w:rPr>
        <w:t xml:space="preserve"> tienen una orientación hacia fuera, es decir, hacia los mercados internacionales, por lo que se podría decir en el mismo sentido que lo apunta Balassa (1984) que se denomina una estrategia de desarrollo extravertido u orientada a las exportaciones.   </w:t>
      </w:r>
    </w:p>
    <w:p w:rsidR="002B7165" w:rsidRDefault="002B7165" w:rsidP="00C33601">
      <w:pPr>
        <w:ind w:firstLine="708"/>
        <w:jc w:val="both"/>
      </w:pPr>
      <w:r w:rsidRPr="00396AA5">
        <w:t>La pregunta que vale hacerse, es que efectos ha tenido este modelo neoliberal, en la in</w:t>
      </w:r>
      <w:r>
        <w:t>strumentación que ha seguido la política agrícola.</w:t>
      </w:r>
      <w:r w:rsidRPr="00396AA5">
        <w:t xml:space="preserve"> El cuadro 2, ejempl</w:t>
      </w:r>
      <w:r>
        <w:t>ifica los contrastes entre</w:t>
      </w:r>
      <w:r w:rsidRPr="00396AA5">
        <w:t xml:space="preserve"> el Modelo de Sustitución de Importaciones y el Modelo Neoliberal. La caracterización de ambos modelos de producción, se evalúa con ocho aspectos de la estructura socioeconómica. Dichos aspectos son: el tipo de producción; el destino de la producción; la articulación económica; la propiedad de los medios de producción; el papel del Estado; la distribución de la renta  y la estructura social.</w:t>
      </w:r>
    </w:p>
    <w:p w:rsidR="002B7165" w:rsidRPr="00396AA5" w:rsidRDefault="002B7165" w:rsidP="00C33601">
      <w:pPr>
        <w:jc w:val="both"/>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860"/>
        <w:gridCol w:w="2700"/>
      </w:tblGrid>
      <w:tr w:rsidR="002B7165" w:rsidRPr="00396AA5" w:rsidTr="00941B88">
        <w:trPr>
          <w:trHeight w:val="547"/>
        </w:trPr>
        <w:tc>
          <w:tcPr>
            <w:tcW w:w="9720" w:type="dxa"/>
            <w:gridSpan w:val="3"/>
            <w:tcBorders>
              <w:top w:val="single" w:sz="4" w:space="0" w:color="auto"/>
              <w:left w:val="single" w:sz="4" w:space="0" w:color="auto"/>
              <w:bottom w:val="single" w:sz="4" w:space="0" w:color="auto"/>
              <w:right w:val="single" w:sz="4" w:space="0" w:color="auto"/>
            </w:tcBorders>
          </w:tcPr>
          <w:p w:rsidR="002B7165" w:rsidRPr="00A17BF9" w:rsidRDefault="002B7165" w:rsidP="00C33601">
            <w:pPr>
              <w:rPr>
                <w:b/>
              </w:rPr>
            </w:pPr>
            <w:r w:rsidRPr="00A17BF9">
              <w:rPr>
                <w:b/>
                <w:sz w:val="22"/>
                <w:szCs w:val="22"/>
              </w:rPr>
              <w:t>Cuadro 2</w:t>
            </w:r>
          </w:p>
          <w:p w:rsidR="002B7165" w:rsidRPr="00A17BF9" w:rsidRDefault="002B7165" w:rsidP="00C33601">
            <w:r w:rsidRPr="00A17BF9">
              <w:rPr>
                <w:sz w:val="22"/>
                <w:szCs w:val="22"/>
              </w:rPr>
              <w:t>Dos modelos económicos que espec</w:t>
            </w:r>
            <w:r>
              <w:rPr>
                <w:sz w:val="22"/>
                <w:szCs w:val="22"/>
              </w:rPr>
              <w:t>ifican las características del sector agrícola</w:t>
            </w:r>
          </w:p>
        </w:tc>
      </w:tr>
      <w:tr w:rsidR="002B7165" w:rsidRPr="00396AA5" w:rsidTr="00941B88">
        <w:trPr>
          <w:trHeight w:val="547"/>
        </w:trPr>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Modelo de Sustitución de Importaciones</w:t>
            </w:r>
          </w:p>
          <w:p w:rsidR="002B7165" w:rsidRPr="00A17BF9" w:rsidRDefault="002B7165" w:rsidP="00C33601">
            <w:pPr>
              <w:jc w:val="both"/>
              <w:rPr>
                <w:b/>
              </w:rPr>
            </w:pP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rPr>
            </w:pPr>
            <w:r w:rsidRPr="00A17BF9">
              <w:rPr>
                <w:b/>
                <w:sz w:val="22"/>
                <w:szCs w:val="22"/>
              </w:rPr>
              <w:t xml:space="preserve">Modelo neoliberal agro-exportador y manufacturero. </w:t>
            </w:r>
          </w:p>
        </w:tc>
      </w:tr>
      <w:tr w:rsidR="002B7165" w:rsidRPr="00396AA5" w:rsidTr="00941B88">
        <w:trPr>
          <w:trHeight w:val="484"/>
        </w:trPr>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Tipo de producción</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 xml:space="preserve">Agricultura </w:t>
            </w:r>
            <w:r>
              <w:rPr>
                <w:sz w:val="22"/>
                <w:szCs w:val="22"/>
              </w:rPr>
              <w:t xml:space="preserve">tradicional </w:t>
            </w: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Fortalecimiento de subsectores, de frutas, legumbres y productos  hort</w:t>
            </w:r>
            <w:r>
              <w:rPr>
                <w:sz w:val="22"/>
                <w:szCs w:val="22"/>
              </w:rPr>
              <w:t>ícolas.</w:t>
            </w:r>
          </w:p>
          <w:p w:rsidR="002B7165" w:rsidRPr="00A17BF9" w:rsidRDefault="002B7165" w:rsidP="00C33601">
            <w:pPr>
              <w:jc w:val="both"/>
              <w:rPr>
                <w:b/>
              </w:rPr>
            </w:pPr>
          </w:p>
        </w:tc>
      </w:tr>
      <w:tr w:rsidR="002B7165" w:rsidRPr="00396AA5" w:rsidTr="00941B88">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Destino de la producción</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Consolidar una agricultura tradicional, que subsidie de alguna forma a la incipiente industria. Autosuficiencia alimentara en granos básicos (arroz, fríjol, maíz)</w:t>
            </w: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Pr>
                <w:sz w:val="22"/>
                <w:szCs w:val="22"/>
              </w:rPr>
              <w:t>Producción agrícola</w:t>
            </w:r>
            <w:r w:rsidRPr="00A17BF9">
              <w:rPr>
                <w:sz w:val="22"/>
                <w:szCs w:val="22"/>
              </w:rPr>
              <w:t xml:space="preserve"> que atienda prioritariamente al mercado de exportación.</w:t>
            </w:r>
          </w:p>
          <w:p w:rsidR="002B7165" w:rsidRPr="00A17BF9" w:rsidRDefault="002B7165" w:rsidP="00C33601">
            <w:pPr>
              <w:jc w:val="both"/>
              <w:rPr>
                <w:b/>
              </w:rPr>
            </w:pPr>
          </w:p>
        </w:tc>
      </w:tr>
      <w:tr w:rsidR="002B7165" w:rsidRPr="00396AA5" w:rsidTr="00941B88">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Articulación económica</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Escasa articulación productiva interna y fuerte articulación productiva externa.</w:t>
            </w:r>
          </w:p>
          <w:p w:rsidR="002B7165" w:rsidRPr="00A17BF9" w:rsidRDefault="002B7165" w:rsidP="00C33601">
            <w:pPr>
              <w:jc w:val="both"/>
              <w:rPr>
                <w:b/>
              </w:rPr>
            </w:pP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Escasa articulación productiva interna y fuerte articulación productiva externa.</w:t>
            </w:r>
          </w:p>
          <w:p w:rsidR="002B7165" w:rsidRPr="00A17BF9" w:rsidRDefault="002B7165" w:rsidP="00C33601">
            <w:pPr>
              <w:jc w:val="both"/>
              <w:rPr>
                <w:b/>
              </w:rPr>
            </w:pPr>
          </w:p>
        </w:tc>
      </w:tr>
      <w:tr w:rsidR="002B7165" w:rsidRPr="00396AA5" w:rsidTr="00941B88">
        <w:trPr>
          <w:trHeight w:val="943"/>
        </w:trPr>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lastRenderedPageBreak/>
              <w:t>Propiedad de los medios de producción</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Concentración de las empre</w:t>
            </w:r>
            <w:r>
              <w:rPr>
                <w:sz w:val="22"/>
                <w:szCs w:val="22"/>
              </w:rPr>
              <w:t>sas agropecuarias</w:t>
            </w:r>
            <w:r w:rsidRPr="00A17BF9">
              <w:rPr>
                <w:sz w:val="22"/>
                <w:szCs w:val="22"/>
              </w:rPr>
              <w:t xml:space="preserve"> en manos de corporaciones transnacionales, de empresarios nacionales y del Estado.</w:t>
            </w:r>
          </w:p>
          <w:p w:rsidR="002B7165" w:rsidRPr="00A17BF9" w:rsidRDefault="002B7165" w:rsidP="00C33601">
            <w:pPr>
              <w:jc w:val="both"/>
              <w:rPr>
                <w:b/>
              </w:rPr>
            </w:pP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Concentración de las empr</w:t>
            </w:r>
            <w:r>
              <w:rPr>
                <w:sz w:val="22"/>
                <w:szCs w:val="22"/>
              </w:rPr>
              <w:t xml:space="preserve">esas agropecuarias, </w:t>
            </w:r>
            <w:r w:rsidRPr="00A17BF9">
              <w:rPr>
                <w:sz w:val="22"/>
                <w:szCs w:val="22"/>
              </w:rPr>
              <w:t xml:space="preserve"> en manos de corporaciones transnacionales y de empresarios nacionales.</w:t>
            </w:r>
          </w:p>
          <w:p w:rsidR="002B7165" w:rsidRPr="00A17BF9" w:rsidRDefault="002B7165" w:rsidP="00C33601">
            <w:pPr>
              <w:jc w:val="both"/>
              <w:rPr>
                <w:b/>
              </w:rPr>
            </w:pPr>
          </w:p>
        </w:tc>
      </w:tr>
      <w:tr w:rsidR="002B7165" w:rsidRPr="00396AA5" w:rsidTr="00941B88">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Papel del Estado</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 xml:space="preserve">Estado intervencionista, controlado por una élite económica que vela por sus intereses interviniendo en la economía. El Estado implementó un fuerte apoyo: precios de garantía a productos básicos; insumos subsidiados, en gran parte producidos por empresas del gobierno; restricción de importación y de exportación complementarias, y control gubernamental del sistema de distribución de los productos más importantes en el mercado interno mediante la propiedad de las empresas prestadoras de esos servicios. El Estado también  adquirió una posición preponderante en el sistema de investigación agrícola, pues desarrolló las instituciones para generar, transferir y difundir tecnología. Además, paulatinamente creo las instituciones que materializaban los esfuerzos de los investigadores científicos en materia de producción y comercialización de semillas mejorada. </w:t>
            </w: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Estado neoliberal, controlado por una élite económica que vela por sus intereses liberalizando la economía.</w:t>
            </w:r>
          </w:p>
          <w:p w:rsidR="002B7165" w:rsidRPr="00A17BF9" w:rsidRDefault="002B7165" w:rsidP="00C33601">
            <w:pPr>
              <w:jc w:val="both"/>
            </w:pPr>
            <w:r w:rsidRPr="00A17BF9">
              <w:rPr>
                <w:sz w:val="22"/>
                <w:szCs w:val="22"/>
              </w:rPr>
              <w:t>a). Liberalización de programas y eliminación de estímulos fiscales sectoriales.</w:t>
            </w:r>
          </w:p>
          <w:p w:rsidR="002B7165" w:rsidRPr="00A17BF9" w:rsidRDefault="002B7165" w:rsidP="00C33601">
            <w:pPr>
              <w:jc w:val="both"/>
            </w:pPr>
            <w:r w:rsidRPr="00A17BF9">
              <w:rPr>
                <w:sz w:val="22"/>
                <w:szCs w:val="22"/>
              </w:rPr>
              <w:t>b). Acciones de desregulación</w:t>
            </w:r>
          </w:p>
          <w:p w:rsidR="002B7165" w:rsidRPr="00A17BF9" w:rsidRDefault="002B7165" w:rsidP="00C33601">
            <w:pPr>
              <w:jc w:val="both"/>
            </w:pPr>
            <w:r w:rsidRPr="00A17BF9">
              <w:rPr>
                <w:sz w:val="22"/>
                <w:szCs w:val="22"/>
              </w:rPr>
              <w:t>c) Flexibilización de los controles de precios.</w:t>
            </w:r>
          </w:p>
          <w:p w:rsidR="002B7165" w:rsidRPr="00A17BF9" w:rsidRDefault="002B7165" w:rsidP="00C33601">
            <w:pPr>
              <w:jc w:val="both"/>
            </w:pPr>
            <w:r w:rsidRPr="00A17BF9">
              <w:rPr>
                <w:sz w:val="22"/>
                <w:szCs w:val="22"/>
              </w:rPr>
              <w:t>d) Actualización del marco regulatorio en materia de tecnología e inversión extranjera.</w:t>
            </w:r>
          </w:p>
          <w:p w:rsidR="002B7165" w:rsidRPr="00A17BF9" w:rsidRDefault="002B7165" w:rsidP="00C33601">
            <w:pPr>
              <w:jc w:val="both"/>
            </w:pPr>
            <w:r w:rsidRPr="00A17BF9">
              <w:rPr>
                <w:sz w:val="22"/>
                <w:szCs w:val="22"/>
              </w:rPr>
              <w:t>Los años ochenta marcan el desmantelamiento de lo que habían sido los principales instrumentos de la política agrícola: precios de garantía, inversión pública subsidios, crédito, extensionismo, sanidad, etc.</w:t>
            </w:r>
          </w:p>
        </w:tc>
      </w:tr>
      <w:tr w:rsidR="002B7165" w:rsidRPr="00396AA5" w:rsidTr="00941B88">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Distribución de la renta</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Distribución de la renta muy poco equitativa con bolsas de pobreza rural y urbana.</w:t>
            </w:r>
          </w:p>
          <w:p w:rsidR="002B7165" w:rsidRPr="00A17BF9" w:rsidRDefault="002B7165" w:rsidP="00C33601">
            <w:pPr>
              <w:jc w:val="both"/>
              <w:rPr>
                <w:b/>
              </w:rPr>
            </w:pP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Distribución de la renta poco equitativa con bolsas de pobreza rural y urbana y empobrecimiento de clases medias.</w:t>
            </w:r>
          </w:p>
          <w:p w:rsidR="002B7165" w:rsidRPr="00A17BF9" w:rsidRDefault="002B7165" w:rsidP="00C33601">
            <w:pPr>
              <w:jc w:val="both"/>
              <w:rPr>
                <w:b/>
              </w:rPr>
            </w:pPr>
          </w:p>
        </w:tc>
      </w:tr>
      <w:tr w:rsidR="002B7165" w:rsidRPr="00396AA5" w:rsidTr="00941B88">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rPr>
                <w:b/>
                <w:bCs/>
              </w:rPr>
            </w:pPr>
            <w:r w:rsidRPr="00A17BF9">
              <w:rPr>
                <w:b/>
                <w:bCs/>
                <w:sz w:val="22"/>
                <w:szCs w:val="22"/>
              </w:rPr>
              <w:t>Estructura social</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Persistencia de la dualidad social aunque con incipientes clases medias.</w:t>
            </w:r>
          </w:p>
          <w:p w:rsidR="002B7165" w:rsidRPr="00A17BF9" w:rsidRDefault="002B7165" w:rsidP="00C33601">
            <w:pPr>
              <w:jc w:val="both"/>
              <w:rPr>
                <w:b/>
              </w:rPr>
            </w:pP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Persistencia de la dualidad social acentuada por el empobrecimiento de las clases medias.</w:t>
            </w:r>
          </w:p>
          <w:p w:rsidR="002B7165" w:rsidRPr="00A17BF9" w:rsidRDefault="002B7165" w:rsidP="00C33601">
            <w:pPr>
              <w:jc w:val="both"/>
              <w:rPr>
                <w:b/>
              </w:rPr>
            </w:pPr>
          </w:p>
        </w:tc>
      </w:tr>
      <w:tr w:rsidR="002B7165" w:rsidRPr="00396AA5" w:rsidTr="00941B88">
        <w:trPr>
          <w:trHeight w:val="300"/>
        </w:trPr>
        <w:tc>
          <w:tcPr>
            <w:tcW w:w="21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b/>
                <w:bCs/>
                <w:sz w:val="22"/>
                <w:szCs w:val="22"/>
              </w:rPr>
              <w:t>Funcionamiento</w:t>
            </w:r>
          </w:p>
          <w:p w:rsidR="002B7165" w:rsidRPr="00A17BF9" w:rsidRDefault="002B7165" w:rsidP="00C33601">
            <w:pPr>
              <w:jc w:val="both"/>
              <w:rPr>
                <w:b/>
              </w:rPr>
            </w:pPr>
          </w:p>
        </w:tc>
        <w:tc>
          <w:tcPr>
            <w:tcW w:w="486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Mercado doméstico y externo como motores de la economía.</w:t>
            </w:r>
          </w:p>
          <w:p w:rsidR="002B7165" w:rsidRPr="00A17BF9" w:rsidRDefault="002B7165" w:rsidP="00C33601">
            <w:pPr>
              <w:jc w:val="both"/>
              <w:rPr>
                <w:b/>
              </w:rPr>
            </w:pPr>
          </w:p>
        </w:tc>
        <w:tc>
          <w:tcPr>
            <w:tcW w:w="2700" w:type="dxa"/>
            <w:tcBorders>
              <w:top w:val="single" w:sz="4" w:space="0" w:color="auto"/>
              <w:left w:val="single" w:sz="4" w:space="0" w:color="auto"/>
              <w:bottom w:val="single" w:sz="4" w:space="0" w:color="auto"/>
              <w:right w:val="single" w:sz="4" w:space="0" w:color="auto"/>
            </w:tcBorders>
          </w:tcPr>
          <w:p w:rsidR="002B7165" w:rsidRPr="00A17BF9" w:rsidRDefault="002B7165" w:rsidP="00C33601">
            <w:pPr>
              <w:jc w:val="both"/>
            </w:pPr>
            <w:r w:rsidRPr="00A17BF9">
              <w:rPr>
                <w:sz w:val="22"/>
                <w:szCs w:val="22"/>
              </w:rPr>
              <w:t>Mercado externo especializado como  motor de la economía.</w:t>
            </w:r>
          </w:p>
          <w:p w:rsidR="002B7165" w:rsidRPr="00A17BF9" w:rsidRDefault="002B7165" w:rsidP="00C33601">
            <w:pPr>
              <w:jc w:val="both"/>
              <w:rPr>
                <w:b/>
              </w:rPr>
            </w:pPr>
          </w:p>
        </w:tc>
      </w:tr>
    </w:tbl>
    <w:p w:rsidR="002B7165" w:rsidRPr="00396AA5" w:rsidRDefault="002B7165" w:rsidP="00C33601">
      <w:pPr>
        <w:jc w:val="both"/>
        <w:rPr>
          <w:b/>
        </w:rPr>
      </w:pPr>
    </w:p>
    <w:p w:rsidR="002B7165" w:rsidRPr="00396AA5" w:rsidRDefault="002B7165" w:rsidP="00C33601">
      <w:pPr>
        <w:ind w:firstLine="708"/>
        <w:jc w:val="both"/>
      </w:pPr>
      <w:r w:rsidRPr="00396AA5">
        <w:t xml:space="preserve">Este cuadro 2, ejemplifica cronológicamente los modelos económicos referidos, y que en términos generales pueden ser caracterizados como sigue.  El modelo de sustitución de importaciones, se abandonó a raíz de la crisis estructural que sufrieron las economías </w:t>
      </w:r>
      <w:r w:rsidRPr="00396AA5">
        <w:lastRenderedPageBreak/>
        <w:t>latinoamericanas durante la llamada “década perdida”, cuyo detonante fue la declaración generalizada de moratoria en el pago del servicio de la deuda externa por parte de los deudores. En el contexto de dicha crisis, se empezó a implementar un nuevo modelo de desarrollo denominado reformista y basado en la estabilización macroeconómica y el ajuste estructural neoliberal.</w:t>
      </w:r>
    </w:p>
    <w:p w:rsidR="002B7165" w:rsidRDefault="002B7165" w:rsidP="00C33601">
      <w:pPr>
        <w:ind w:firstLine="708"/>
        <w:jc w:val="both"/>
      </w:pPr>
      <w:r w:rsidRPr="00396AA5">
        <w:t>El cuadro 2, refleja que frente al agotamiento de las estrategias económicas desarrolladas hasta los años setenta basadas en los análisis de “promoción a la demanda”, surgió su antítesis como forma predominante de pensamiento, es decir, la definición de políticas desde el lado de la oferta</w:t>
      </w:r>
      <w:r w:rsidRPr="00396AA5">
        <w:rPr>
          <w:rStyle w:val="Refdenotaalpie"/>
        </w:rPr>
        <w:footnoteReference w:id="5"/>
      </w:r>
      <w:r w:rsidRPr="00396AA5">
        <w:t xml:space="preserve">. Las preguntas se trasladan de las de cómo aumentar la demanda de bienes de la sociedad a las de cómo estimular la oferta. La respuesta es natural, acorde al modelo neoliberal: i) estimulando la inversión por la vía de la desregulación económica por parte del Estado, ii) quitando las “ rigideces” del sistema económico, tales como las barreras a las inversiones externas y iii) flexibilizando el  mercado  de trabajo y en suma interfiriendo menos el Estado con el “libre juego de las fuerzas del mercado” </w:t>
      </w:r>
      <w:r>
        <w:t xml:space="preserve">(Román, I </w:t>
      </w:r>
      <w:r w:rsidRPr="00396AA5">
        <w:t>2001</w:t>
      </w:r>
      <w:r>
        <w:t>).</w:t>
      </w:r>
      <w:r w:rsidRPr="00396AA5">
        <w:t xml:space="preserve">  </w:t>
      </w:r>
      <w:r>
        <w:tab/>
      </w:r>
    </w:p>
    <w:p w:rsidR="002B7165" w:rsidRPr="00396AA5" w:rsidRDefault="002B7165" w:rsidP="00C33601">
      <w:pPr>
        <w:ind w:firstLine="708"/>
        <w:jc w:val="both"/>
      </w:pPr>
      <w:r w:rsidRPr="00396AA5">
        <w:rPr>
          <w:color w:val="000000"/>
        </w:rPr>
        <w:t>La definición de políticas desde el lado de la oferta, recae en las orientaciones que deben seguir las políticas sector</w:t>
      </w:r>
      <w:r>
        <w:rPr>
          <w:color w:val="000000"/>
        </w:rPr>
        <w:t>iales y son precisamente éstas,</w:t>
      </w:r>
      <w:r w:rsidRPr="00396AA5">
        <w:rPr>
          <w:color w:val="000000"/>
        </w:rPr>
        <w:t xml:space="preserve"> las que instrumentan los cambios para reorientar o def</w:t>
      </w:r>
      <w:r>
        <w:rPr>
          <w:color w:val="000000"/>
        </w:rPr>
        <w:t>inir productivamente al sector</w:t>
      </w:r>
      <w:r w:rsidRPr="00396AA5">
        <w:rPr>
          <w:color w:val="000000"/>
        </w:rPr>
        <w:t xml:space="preserve"> (Cuadro 3)</w:t>
      </w:r>
      <w:r>
        <w:rPr>
          <w:color w:val="000000"/>
        </w:rPr>
        <w:t>.</w:t>
      </w:r>
      <w:r w:rsidRPr="00396AA5">
        <w:rPr>
          <w:color w:val="000000"/>
        </w:rPr>
        <w:t xml:space="preserve"> </w:t>
      </w:r>
    </w:p>
    <w:tbl>
      <w:tblPr>
        <w:tblW w:w="7215" w:type="dxa"/>
        <w:jc w:val="center"/>
        <w:tblCellSpacing w:w="30" w:type="dxa"/>
        <w:tblBorders>
          <w:top w:val="single" w:sz="6" w:space="0" w:color="000099"/>
          <w:left w:val="single" w:sz="6" w:space="0" w:color="000099"/>
          <w:bottom w:val="single" w:sz="6" w:space="0" w:color="000099"/>
          <w:right w:val="single" w:sz="6" w:space="0" w:color="000099"/>
        </w:tblBorders>
        <w:shd w:val="clear" w:color="auto" w:fill="FFFFFF"/>
        <w:tblCellMar>
          <w:left w:w="0" w:type="dxa"/>
          <w:right w:w="0" w:type="dxa"/>
        </w:tblCellMar>
        <w:tblLook w:val="0000"/>
      </w:tblPr>
      <w:tblGrid>
        <w:gridCol w:w="3506"/>
        <w:gridCol w:w="202"/>
        <w:gridCol w:w="3507"/>
      </w:tblGrid>
      <w:tr w:rsidR="002B7165" w:rsidRPr="00A17BF9" w:rsidTr="00941B88">
        <w:trPr>
          <w:trHeight w:val="270"/>
          <w:tblCellSpacing w:w="30" w:type="dxa"/>
          <w:jc w:val="center"/>
        </w:trPr>
        <w:tc>
          <w:tcPr>
            <w:tcW w:w="0" w:type="auto"/>
            <w:gridSpan w:val="3"/>
            <w:tcBorders>
              <w:top w:val="nil"/>
              <w:left w:val="nil"/>
              <w:bottom w:val="nil"/>
              <w:right w:val="nil"/>
            </w:tcBorders>
            <w:shd w:val="clear" w:color="auto" w:fill="FFFFFF"/>
            <w:vAlign w:val="center"/>
          </w:tcPr>
          <w:p w:rsidR="002B7165" w:rsidRPr="00DC1595" w:rsidRDefault="002B7165" w:rsidP="00C33601">
            <w:pPr>
              <w:rPr>
                <w:rFonts w:eastAsia="Arial Unicode MS"/>
              </w:rPr>
            </w:pPr>
            <w:r w:rsidRPr="00DC1595">
              <w:rPr>
                <w:rStyle w:val="Textoennegrita"/>
                <w:sz w:val="22"/>
                <w:szCs w:val="22"/>
              </w:rPr>
              <w:t>Cuadro 3</w:t>
            </w:r>
          </w:p>
        </w:tc>
      </w:tr>
      <w:tr w:rsidR="002B7165" w:rsidRPr="00A17BF9" w:rsidTr="00941B88">
        <w:trPr>
          <w:trHeight w:val="15"/>
          <w:tblCellSpacing w:w="30" w:type="dxa"/>
          <w:jc w:val="center"/>
        </w:trPr>
        <w:tc>
          <w:tcPr>
            <w:tcW w:w="0" w:type="auto"/>
            <w:gridSpan w:val="3"/>
            <w:tcBorders>
              <w:top w:val="nil"/>
              <w:left w:val="nil"/>
              <w:bottom w:val="nil"/>
              <w:right w:val="nil"/>
            </w:tcBorders>
            <w:shd w:val="clear" w:color="auto" w:fill="999999"/>
            <w:vAlign w:val="center"/>
          </w:tcPr>
          <w:p w:rsidR="002B7165" w:rsidRPr="00DC1595" w:rsidRDefault="002B7165" w:rsidP="00C33601">
            <w:pPr>
              <w:rPr>
                <w:rFonts w:eastAsia="Arial Unicode MS"/>
                <w:b/>
              </w:rPr>
            </w:pPr>
            <w:r>
              <w:rPr>
                <w:b/>
                <w:noProof/>
                <w:sz w:val="22"/>
                <w:szCs w:val="22"/>
                <w:lang w:val="es-MX" w:eastAsia="es-MX"/>
              </w:rPr>
              <w:drawing>
                <wp:inline distT="0" distB="0" distL="0" distR="0">
                  <wp:extent cx="6350" cy="6350"/>
                  <wp:effectExtent l="0" t="0" r="0" b="0"/>
                  <wp:docPr id="2" name="Imagen 2"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trHeight w:val="270"/>
          <w:tblCellSpacing w:w="30" w:type="dxa"/>
          <w:jc w:val="center"/>
        </w:trPr>
        <w:tc>
          <w:tcPr>
            <w:tcW w:w="0" w:type="auto"/>
            <w:gridSpan w:val="3"/>
            <w:tcBorders>
              <w:top w:val="nil"/>
              <w:left w:val="nil"/>
              <w:bottom w:val="nil"/>
              <w:right w:val="nil"/>
            </w:tcBorders>
            <w:shd w:val="clear" w:color="auto" w:fill="FFFFFF"/>
            <w:vAlign w:val="center"/>
          </w:tcPr>
          <w:p w:rsidR="002B7165" w:rsidRPr="00DC1595" w:rsidRDefault="002B7165" w:rsidP="00C33601">
            <w:pPr>
              <w:rPr>
                <w:rFonts w:eastAsia="Arial Unicode MS"/>
              </w:rPr>
            </w:pPr>
            <w:r w:rsidRPr="00DC1595">
              <w:rPr>
                <w:rStyle w:val="Textoennegrita"/>
                <w:sz w:val="22"/>
                <w:szCs w:val="22"/>
              </w:rPr>
              <w:t>Cambios de paradigmas</w:t>
            </w:r>
          </w:p>
        </w:tc>
      </w:tr>
      <w:tr w:rsidR="002B7165" w:rsidRPr="00A17BF9" w:rsidTr="00941B88">
        <w:trPr>
          <w:trHeight w:val="15"/>
          <w:tblCellSpacing w:w="30" w:type="dxa"/>
          <w:jc w:val="center"/>
        </w:trPr>
        <w:tc>
          <w:tcPr>
            <w:tcW w:w="0" w:type="auto"/>
            <w:gridSpan w:val="3"/>
            <w:tcBorders>
              <w:top w:val="nil"/>
              <w:left w:val="nil"/>
              <w:bottom w:val="nil"/>
              <w:right w:val="nil"/>
            </w:tcBorders>
            <w:shd w:val="clear" w:color="auto" w:fill="999999"/>
            <w:vAlign w:val="center"/>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3" name="Imagen 3"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trHeight w:val="152"/>
          <w:tblCellSpacing w:w="30" w:type="dxa"/>
          <w:jc w:val="center"/>
        </w:trPr>
        <w:tc>
          <w:tcPr>
            <w:tcW w:w="0" w:type="auto"/>
            <w:gridSpan w:val="3"/>
            <w:tcBorders>
              <w:top w:val="nil"/>
              <w:left w:val="nil"/>
              <w:bottom w:val="nil"/>
              <w:right w:val="nil"/>
            </w:tcBorders>
            <w:shd w:val="clear" w:color="auto" w:fill="FFFFFF"/>
            <w:vAlign w:val="bottom"/>
          </w:tcPr>
          <w:p w:rsidR="002B7165" w:rsidRPr="00A17BF9" w:rsidRDefault="002B7165" w:rsidP="00C33601">
            <w:pPr>
              <w:jc w:val="both"/>
              <w:rPr>
                <w:b/>
                <w:i/>
              </w:rPr>
            </w:pPr>
            <w:r w:rsidRPr="00A17BF9">
              <w:rPr>
                <w:rStyle w:val="nfasis"/>
                <w:b/>
                <w:i w:val="0"/>
                <w:sz w:val="22"/>
                <w:szCs w:val="22"/>
              </w:rPr>
              <w:t>Conceptos</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4" name="Imagen 4"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144" w:type="dxa"/>
            <w:vMerge w:val="restart"/>
            <w:tcBorders>
              <w:top w:val="nil"/>
              <w:left w:val="nil"/>
              <w:bottom w:val="nil"/>
              <w:right w:val="nil"/>
            </w:tcBorders>
            <w:shd w:val="clear" w:color="auto" w:fill="999999"/>
          </w:tcPr>
          <w:p w:rsidR="002B7165" w:rsidRPr="00A17BF9" w:rsidRDefault="002B7165" w:rsidP="00C33601">
            <w:pPr>
              <w:jc w:val="both"/>
            </w:pPr>
            <w:r>
              <w:rPr>
                <w:noProof/>
                <w:sz w:val="22"/>
                <w:szCs w:val="22"/>
                <w:lang w:val="es-MX" w:eastAsia="es-MX"/>
              </w:rPr>
              <w:drawing>
                <wp:inline distT="0" distB="0" distL="0" distR="0">
                  <wp:extent cx="6350" cy="6350"/>
                  <wp:effectExtent l="0" t="0" r="0" b="0"/>
                  <wp:docPr id="5" name="Imagen 5"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2B7165" w:rsidRPr="00A17BF9" w:rsidRDefault="002B7165" w:rsidP="00C33601">
            <w:pPr>
              <w:jc w:val="both"/>
            </w:pPr>
            <w:r>
              <w:rPr>
                <w:noProof/>
                <w:sz w:val="22"/>
                <w:szCs w:val="22"/>
                <w:lang w:val="es-MX" w:eastAsia="es-MX"/>
              </w:rPr>
              <w:drawing>
                <wp:inline distT="0" distB="0" distL="0" distR="0">
                  <wp:extent cx="6350" cy="6350"/>
                  <wp:effectExtent l="0" t="0" r="0" b="0"/>
                  <wp:docPr id="6" name="Imagen 6" descr="http://www.iica.org.uy/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ica.org.uy/images/clearpixel.gif"/>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2B7165" w:rsidRPr="00A17BF9" w:rsidRDefault="002B7165" w:rsidP="00C33601">
            <w:pPr>
              <w:jc w:val="both"/>
            </w:pPr>
            <w:r>
              <w:rPr>
                <w:noProof/>
                <w:sz w:val="22"/>
                <w:szCs w:val="22"/>
                <w:lang w:val="es-MX" w:eastAsia="es-MX"/>
              </w:rPr>
              <w:drawing>
                <wp:inline distT="0" distB="0" distL="0" distR="0">
                  <wp:extent cx="6350" cy="6350"/>
                  <wp:effectExtent l="0" t="0" r="0" b="0"/>
                  <wp:docPr id="7" name="Imagen 7"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2B7165" w:rsidRPr="00A17BF9" w:rsidRDefault="002B7165" w:rsidP="00C33601">
            <w:pPr>
              <w:jc w:val="both"/>
            </w:pPr>
            <w:r>
              <w:rPr>
                <w:noProof/>
                <w:sz w:val="22"/>
                <w:szCs w:val="22"/>
                <w:lang w:val="es-MX" w:eastAsia="es-MX"/>
              </w:rPr>
              <w:drawing>
                <wp:inline distT="0" distB="0" distL="0" distR="0">
                  <wp:extent cx="6350" cy="6350"/>
                  <wp:effectExtent l="0" t="0" r="0" b="0"/>
                  <wp:docPr id="8" name="Imagen 8"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2B7165" w:rsidRPr="00A17BF9" w:rsidRDefault="002B7165" w:rsidP="00C33601">
            <w:pPr>
              <w:jc w:val="both"/>
            </w:pPr>
            <w:r>
              <w:rPr>
                <w:noProof/>
                <w:sz w:val="22"/>
                <w:szCs w:val="22"/>
                <w:lang w:val="es-MX" w:eastAsia="es-MX"/>
              </w:rPr>
              <w:drawing>
                <wp:inline distT="0" distB="0" distL="0" distR="0">
                  <wp:extent cx="6350" cy="6350"/>
                  <wp:effectExtent l="0" t="0" r="0" b="0"/>
                  <wp:docPr id="9" name="Imagen 9"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0" name="Imagen 10"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135"/>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rStyle w:val="Textoennegrita"/>
                <w:sz w:val="22"/>
                <w:szCs w:val="22"/>
              </w:rPr>
              <w:t>Pasado</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rStyle w:val="Textoennegrita"/>
                <w:sz w:val="22"/>
                <w:szCs w:val="22"/>
              </w:rPr>
              <w:t>Futuro</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1" name="Imagen 11"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2" name="Imagen 12"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135"/>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Vender lo que se produce</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Producir lo que se vende</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3" name="Imagen 13"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4" name="Imagen 14"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75"/>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Promoción Productiva</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Promoción Comercial</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5" name="Imagen 15"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6" name="Imagen 16"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255"/>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Mercados Protegidos</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Apertura Comercial y Apoyos a la Competitividad</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7" name="Imagen 17"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8" name="Imagen 18"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255"/>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Mercados Internos y Externos Diferenciados</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Mercados Globalizados Indiferenciados</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19" name="Imagen 19"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0" name="Imagen 20"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375"/>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Mercados y Demandas Estables de Productos Masivos Básicos</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Mercados y Demandas Cambiantes de Productos Específicos Sofisticados</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1" name="Imagen 21"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2" name="Imagen 22"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150"/>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lastRenderedPageBreak/>
              <w:t>Ventaja Comparativa</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Ventaja Competitiva</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3" name="Imagen 23"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4" name="Imagen 24"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150"/>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Confrontación Público/Privada</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Concertación Público/Privada</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5" name="Imagen 25"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6" name="Imagen 26"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150"/>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Actores Privados Pasivos</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Actores Privados Activos</w:t>
            </w:r>
          </w:p>
        </w:tc>
      </w:tr>
      <w:tr w:rsidR="002B7165" w:rsidRPr="00A17BF9" w:rsidTr="00941B88">
        <w:trPr>
          <w:cantSplit/>
          <w:trHeight w:val="15"/>
          <w:tblCellSpacing w:w="30" w:type="dxa"/>
          <w:jc w:val="center"/>
        </w:trPr>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7" name="Imagen 27"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999999"/>
          </w:tcPr>
          <w:p w:rsidR="002B7165" w:rsidRPr="00A17BF9" w:rsidRDefault="002B7165" w:rsidP="00C33601">
            <w:pPr>
              <w:jc w:val="both"/>
              <w:rPr>
                <w:rFonts w:eastAsia="Arial Unicode MS"/>
              </w:rPr>
            </w:pPr>
            <w:r>
              <w:rPr>
                <w:noProof/>
                <w:sz w:val="22"/>
                <w:szCs w:val="22"/>
                <w:lang w:val="es-MX" w:eastAsia="es-MX"/>
              </w:rPr>
              <w:drawing>
                <wp:inline distT="0" distB="0" distL="0" distR="0">
                  <wp:extent cx="6350" cy="6350"/>
                  <wp:effectExtent l="0" t="0" r="0" b="0"/>
                  <wp:docPr id="28" name="Imagen 28" descr="clearpixel.gif (4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learpixel.gif (43 bytes)"/>
                          <pic:cNvPicPr>
                            <a:picLocks noChangeAspect="1" noChangeArrowheads="1"/>
                          </pic:cNvPicPr>
                        </pic:nvPicPr>
                        <pic:blipFill>
                          <a:blip r:embed="rId6" r:link="rId7"/>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2B7165" w:rsidRPr="00A17BF9" w:rsidTr="00941B88">
        <w:trPr>
          <w:cantSplit/>
          <w:trHeight w:val="135"/>
          <w:tblCellSpacing w:w="30" w:type="dxa"/>
          <w:jc w:val="center"/>
        </w:trPr>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Planificación Directiva</w:t>
            </w:r>
          </w:p>
        </w:tc>
        <w:tc>
          <w:tcPr>
            <w:tcW w:w="0" w:type="auto"/>
            <w:vMerge/>
            <w:tcBorders>
              <w:top w:val="nil"/>
              <w:left w:val="nil"/>
              <w:bottom w:val="nil"/>
              <w:right w:val="nil"/>
            </w:tcBorders>
            <w:shd w:val="clear" w:color="auto" w:fill="FFFFFF"/>
            <w:vAlign w:val="center"/>
          </w:tcPr>
          <w:p w:rsidR="002B7165" w:rsidRPr="00A17BF9" w:rsidRDefault="002B7165" w:rsidP="00C33601">
            <w:pPr>
              <w:jc w:val="both"/>
              <w:rPr>
                <w:rFonts w:eastAsia="Arial Unicode MS"/>
              </w:rPr>
            </w:pPr>
          </w:p>
        </w:tc>
        <w:tc>
          <w:tcPr>
            <w:tcW w:w="3450" w:type="dxa"/>
            <w:tcBorders>
              <w:top w:val="nil"/>
              <w:left w:val="nil"/>
              <w:bottom w:val="nil"/>
              <w:right w:val="nil"/>
            </w:tcBorders>
            <w:shd w:val="clear" w:color="auto" w:fill="FFFFFF"/>
          </w:tcPr>
          <w:p w:rsidR="002B7165" w:rsidRPr="00A17BF9" w:rsidRDefault="002B7165" w:rsidP="00C33601">
            <w:pPr>
              <w:jc w:val="both"/>
              <w:rPr>
                <w:rFonts w:eastAsia="Arial Unicode MS"/>
              </w:rPr>
            </w:pPr>
            <w:r w:rsidRPr="00A17BF9">
              <w:rPr>
                <w:sz w:val="22"/>
                <w:szCs w:val="22"/>
              </w:rPr>
              <w:t>Planificación Estratégica</w:t>
            </w:r>
          </w:p>
        </w:tc>
      </w:tr>
    </w:tbl>
    <w:p w:rsidR="002B7165" w:rsidRDefault="002B7165" w:rsidP="00C33601">
      <w:pPr>
        <w:jc w:val="both"/>
        <w:rPr>
          <w:sz w:val="22"/>
          <w:szCs w:val="22"/>
        </w:rPr>
      </w:pPr>
      <w:r w:rsidRPr="00A17BF9">
        <w:rPr>
          <w:sz w:val="22"/>
          <w:szCs w:val="22"/>
        </w:rPr>
        <w:t xml:space="preserve">Fuente: </w:t>
      </w:r>
      <w:hyperlink r:id="rId8" w:history="1">
        <w:r w:rsidRPr="00A17BF9">
          <w:rPr>
            <w:rStyle w:val="Hipervnculo"/>
            <w:sz w:val="22"/>
            <w:szCs w:val="22"/>
          </w:rPr>
          <w:t>http://www.iica.org.uy/b05-17.htm</w:t>
        </w:r>
      </w:hyperlink>
      <w:r w:rsidRPr="00A17BF9">
        <w:rPr>
          <w:sz w:val="22"/>
          <w:szCs w:val="22"/>
        </w:rPr>
        <w:t xml:space="preserve"> (Instrumentos para la política agrícola en los acuerdos comerciales intern</w:t>
      </w:r>
      <w:r>
        <w:rPr>
          <w:sz w:val="22"/>
          <w:szCs w:val="22"/>
        </w:rPr>
        <w:t>acionales. Por Armando Chib</w:t>
      </w:r>
    </w:p>
    <w:p w:rsidR="002B7165" w:rsidRPr="00A17BF9" w:rsidRDefault="002B7165" w:rsidP="00C33601">
      <w:pPr>
        <w:jc w:val="both"/>
        <w:rPr>
          <w:sz w:val="22"/>
          <w:szCs w:val="22"/>
        </w:rPr>
      </w:pPr>
      <w:r>
        <w:rPr>
          <w:sz w:val="22"/>
          <w:szCs w:val="22"/>
        </w:rPr>
        <w:t>baro</w:t>
      </w:r>
      <w:r w:rsidRPr="00A17BF9">
        <w:rPr>
          <w:sz w:val="22"/>
          <w:szCs w:val="22"/>
        </w:rPr>
        <w:t xml:space="preserve"> IICA Uruguay Boletín No 5 IICA.</w:t>
      </w:r>
    </w:p>
    <w:p w:rsidR="002B7165" w:rsidRDefault="002B7165" w:rsidP="00C33601">
      <w:pPr>
        <w:jc w:val="both"/>
        <w:rPr>
          <w:color w:val="000000"/>
        </w:rPr>
      </w:pPr>
    </w:p>
    <w:p w:rsidR="002B7165" w:rsidRPr="00396AA5" w:rsidRDefault="002B7165" w:rsidP="00C33601">
      <w:pPr>
        <w:ind w:firstLine="708"/>
        <w:jc w:val="both"/>
        <w:rPr>
          <w:color w:val="000000"/>
        </w:rPr>
      </w:pPr>
      <w:r w:rsidRPr="00396AA5">
        <w:rPr>
          <w:color w:val="000000"/>
        </w:rPr>
        <w:t xml:space="preserve">Si analizamos conceptualmente los cambios de paradigmas del cuadro 3, de acuerdo al pensamiento neoliberal, vemos que ya no basta con “saber producir bien”, sino que “debemos producir lo que se puede vender”. La globalización de las economías, ha conducido a una creciente indeferenciación entre mercados internos y mercados internacionales, ya no basta con “exportar excedentes” o con suponer que la “competitividad internacional” es un tema que no tiene relación con el mercado doméstico. </w:t>
      </w:r>
    </w:p>
    <w:p w:rsidR="002B7165" w:rsidRPr="00396AA5" w:rsidRDefault="002B7165" w:rsidP="00C33601">
      <w:pPr>
        <w:ind w:firstLine="708"/>
        <w:jc w:val="both"/>
        <w:rPr>
          <w:color w:val="000000"/>
        </w:rPr>
      </w:pPr>
      <w:r w:rsidRPr="00396AA5">
        <w:rPr>
          <w:color w:val="000000"/>
        </w:rPr>
        <w:t>La competitividad de los productos que llegan al consumidor final, es el factor que determina el “alto de la vara” que deberán saltar los productores y prestadores de servicios que conforman los distintos eslabones de la cadena agroproductiva/comercial e industrial.</w:t>
      </w:r>
    </w:p>
    <w:p w:rsidR="002B7165" w:rsidRPr="00396AA5" w:rsidRDefault="002B7165" w:rsidP="00C33601">
      <w:pPr>
        <w:jc w:val="both"/>
        <w:rPr>
          <w:color w:val="000000"/>
        </w:rPr>
      </w:pPr>
      <w:r>
        <w:rPr>
          <w:color w:val="000000"/>
        </w:rPr>
        <w:tab/>
      </w:r>
      <w:r w:rsidRPr="00396AA5">
        <w:rPr>
          <w:color w:val="000000"/>
        </w:rPr>
        <w:t xml:space="preserve">Estos cambios de paradigmas, se traducen también en las formas de interacción y organización de los actores sociales y económicos. Las políticas de producción y comercio nacionales sufren un proceso creciente de “globalización”, definiéndose de manera creciente a través de acuerdos internacionales, suscritos entre los Estados. El sector privado asume, de manera creciente, tareas realizadas tradicionalmente por el Estado, debiendo pasar de un rol “pasivo” a un rol “activo” de dimensión pública y social. </w:t>
      </w:r>
    </w:p>
    <w:p w:rsidR="002B7165" w:rsidRPr="00396AA5" w:rsidRDefault="002B7165" w:rsidP="00C33601">
      <w:pPr>
        <w:ind w:firstLine="708"/>
        <w:jc w:val="both"/>
      </w:pPr>
      <w:r w:rsidRPr="00396AA5">
        <w:t xml:space="preserve">Cabe también explicar, que uno de los paradigmas que se están utilizando con mayor insistencia dentro de la administración pública, es el concepto de planificación estratégica que provienen del campo de la empresa privada, originarios de </w:t>
      </w:r>
      <w:smartTag w:uri="urn:schemas-microsoft-com:office:smarttags" w:element="PersonName">
        <w:smartTagPr>
          <w:attr w:name="ProductID" w:val="la Escuela"/>
        </w:smartTagPr>
        <w:r w:rsidRPr="00396AA5">
          <w:t>la Escuela</w:t>
        </w:r>
      </w:smartTag>
      <w:r w:rsidRPr="00396AA5">
        <w:t xml:space="preserve"> de Negocios de Harvard en los ochenta y que son adaptados al desarrollo; sus elementos centrales (visión, misión, análisis interno y externo, estrategia, plan-acción), enfatizan el desarrollo a través de la concertación y  participación.</w:t>
      </w:r>
    </w:p>
    <w:p w:rsidR="002B7165" w:rsidRPr="00396AA5" w:rsidRDefault="002B7165" w:rsidP="00C33601">
      <w:pPr>
        <w:ind w:firstLine="708"/>
        <w:jc w:val="both"/>
      </w:pPr>
      <w:r w:rsidRPr="00396AA5">
        <w:t>A partir del fracaso del modelo de planificación central macroeconómica, emerge la planificación sectorial o estratégica (focalizándose en aquellos sectores guía o clave o donde más se manifiesten obstáculos al desarrollo</w:t>
      </w:r>
      <w:r w:rsidRPr="00396AA5">
        <w:rPr>
          <w:rStyle w:val="Refdenotaalpie"/>
        </w:rPr>
        <w:footnoteReference w:id="6"/>
      </w:r>
      <w:r w:rsidRPr="00396AA5">
        <w:t>). Cobra impulso, el enfoque de proyectos que tienen como principal protagonista al Banco Mundial y donde comienza aplicarse técnicas  complejas de programación de proyectos, práctica que se profundiza de los años ochenta.</w:t>
      </w:r>
    </w:p>
    <w:p w:rsidR="002B7165" w:rsidRPr="00396AA5" w:rsidRDefault="002B7165" w:rsidP="00C33601">
      <w:pPr>
        <w:ind w:firstLine="708"/>
        <w:jc w:val="both"/>
        <w:rPr>
          <w:color w:val="000000"/>
        </w:rPr>
      </w:pPr>
      <w:r w:rsidRPr="00396AA5">
        <w:t xml:space="preserve">La planificación abandona su carácter prescriptito-normativo y adopta una focalización en la gestión estratégica a partir de una definición objetivo. Una de las referencias básicas en la incorporación de la planificación estratégica son los trabajos de la </w:t>
      </w:r>
      <w:r w:rsidRPr="00396AA5">
        <w:lastRenderedPageBreak/>
        <w:t>escuela estructuralista latinoamericana de planificación alrededor del ILPES</w:t>
      </w:r>
      <w:r w:rsidRPr="00396AA5">
        <w:rPr>
          <w:rStyle w:val="Refdenotaalpie"/>
        </w:rPr>
        <w:footnoteReference w:id="7"/>
      </w:r>
      <w:r w:rsidRPr="00396AA5">
        <w:t xml:space="preserve"> (Lira, L 2006; Marther, R 2000;   Wesner, E, Garnier, L y Medina, J 2000; Bonnefoy, J 2006).</w:t>
      </w:r>
    </w:p>
    <w:p w:rsidR="002B7165" w:rsidRPr="00396AA5" w:rsidRDefault="002B7165" w:rsidP="00C33601">
      <w:pPr>
        <w:ind w:firstLine="708"/>
        <w:jc w:val="both"/>
        <w:rPr>
          <w:color w:val="000000"/>
        </w:rPr>
      </w:pPr>
      <w:r w:rsidRPr="00396AA5">
        <w:rPr>
          <w:color w:val="000000"/>
        </w:rPr>
        <w:t>Sin embargo, si bien ha habido un cambio de paradigmas</w:t>
      </w:r>
      <w:r w:rsidRPr="00396AA5">
        <w:t>, la cuestión no ha representado una mejora para el conjunto de los actores económicos y sociales que participan en las actividades económicas, pues existe una escasa articulación entre los sectores ( tradicional y moderno), mientras que el sector moderno sí presenta una importante articulación con otros sectores de terceros países; ejemplos de articulación externa son las plantaciones y las haciendas, las zonas francas (maquilas) y los complejos hoteleros, que funcionan como auténticos enclaves agropecuarios, industriales y de servicios, que importan casi todas las materias primas, los bienes intermedios y los bienes de capital que utilizan en su producción, demandando, en muchos casos, sólo mano de obra nacional barata.</w:t>
      </w:r>
    </w:p>
    <w:p w:rsidR="002B7165" w:rsidRPr="00396AA5" w:rsidRDefault="002B7165" w:rsidP="00C33601">
      <w:pPr>
        <w:ind w:firstLine="708"/>
        <w:jc w:val="both"/>
      </w:pPr>
      <w:r w:rsidRPr="00396AA5">
        <w:t>La propiedad de las diferentes empresas agropecuarias, industriales y de servicios está repartida entre empresarios nacionales y extranjeros, aunque los sectores más dinámicos se encuentran en manos del capital extranjero (empresas transnacionales) o de capital nacional asociado a grupos empresariales extranjeros (crédito, tecnología, franquicia, etc.).</w:t>
      </w:r>
    </w:p>
    <w:p w:rsidR="002B7165" w:rsidRPr="00BC458D" w:rsidRDefault="002B7165" w:rsidP="00C33601">
      <w:pPr>
        <w:jc w:val="both"/>
        <w:rPr>
          <w:b/>
        </w:rPr>
      </w:pPr>
      <w:r>
        <w:rPr>
          <w:b/>
        </w:rPr>
        <w:t>2</w:t>
      </w:r>
      <w:r w:rsidRPr="00396AA5">
        <w:rPr>
          <w:b/>
        </w:rPr>
        <w:t xml:space="preserve">.-Los efectos de </w:t>
      </w:r>
      <w:smartTag w:uri="urn:schemas-microsoft-com:office:smarttags" w:element="PersonName">
        <w:smartTagPr>
          <w:attr w:name="ProductID" w:val="la Pol￭tica"/>
        </w:smartTagPr>
        <w:r w:rsidRPr="00396AA5">
          <w:rPr>
            <w:b/>
          </w:rPr>
          <w:t>la P</w:t>
        </w:r>
        <w:r>
          <w:rPr>
            <w:b/>
          </w:rPr>
          <w:t>olítica</w:t>
        </w:r>
      </w:smartTag>
      <w:r>
        <w:rPr>
          <w:b/>
        </w:rPr>
        <w:t xml:space="preserve"> agrícola</w:t>
      </w:r>
      <w:r w:rsidRPr="00396AA5">
        <w:rPr>
          <w:b/>
        </w:rPr>
        <w:t xml:space="preserve"> en el nuevo perfil </w:t>
      </w:r>
      <w:r>
        <w:rPr>
          <w:b/>
        </w:rPr>
        <w:t>productivo.</w:t>
      </w:r>
    </w:p>
    <w:p w:rsidR="002B7165" w:rsidRDefault="002B7165" w:rsidP="00C33601">
      <w:pPr>
        <w:jc w:val="both"/>
      </w:pPr>
      <w:r>
        <w:t>El cuadro 4,  analiza las estrategias que han definido la política agrícola</w:t>
      </w:r>
      <w:r w:rsidRPr="00396AA5">
        <w:t xml:space="preserve"> en estos últimos años.</w:t>
      </w:r>
    </w:p>
    <w:p w:rsidR="002B7165" w:rsidRPr="00396AA5" w:rsidRDefault="002B7165" w:rsidP="00C33601">
      <w:pPr>
        <w:jc w:val="both"/>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0"/>
      </w:tblGrid>
      <w:tr w:rsidR="002B7165" w:rsidRPr="00396AA5" w:rsidTr="00941B88">
        <w:tc>
          <w:tcPr>
            <w:tcW w:w="9900" w:type="dxa"/>
            <w:tcBorders>
              <w:top w:val="single" w:sz="4" w:space="0" w:color="auto"/>
              <w:left w:val="single" w:sz="4" w:space="0" w:color="auto"/>
              <w:bottom w:val="single" w:sz="4" w:space="0" w:color="auto"/>
              <w:right w:val="single" w:sz="4" w:space="0" w:color="auto"/>
            </w:tcBorders>
          </w:tcPr>
          <w:p w:rsidR="002B7165" w:rsidRPr="00A94279" w:rsidRDefault="002B7165" w:rsidP="00C33601">
            <w:r w:rsidRPr="00A94279">
              <w:rPr>
                <w:sz w:val="22"/>
                <w:szCs w:val="22"/>
              </w:rPr>
              <w:t>Cuadro 4</w:t>
            </w:r>
          </w:p>
          <w:p w:rsidR="002B7165" w:rsidRPr="00A94279" w:rsidRDefault="002B7165" w:rsidP="00C33601">
            <w:pPr>
              <w:rPr>
                <w:b/>
              </w:rPr>
            </w:pPr>
            <w:r>
              <w:rPr>
                <w:b/>
                <w:sz w:val="22"/>
                <w:szCs w:val="22"/>
              </w:rPr>
              <w:t>E</w:t>
            </w:r>
            <w:r w:rsidRPr="00A94279">
              <w:rPr>
                <w:b/>
                <w:sz w:val="22"/>
                <w:szCs w:val="22"/>
              </w:rPr>
              <w:t>strategias que definen a la</w:t>
            </w:r>
          </w:p>
          <w:p w:rsidR="002B7165" w:rsidRPr="00A94279" w:rsidRDefault="002B7165" w:rsidP="00C33601">
            <w:r w:rsidRPr="00A94279">
              <w:rPr>
                <w:b/>
                <w:sz w:val="22"/>
                <w:szCs w:val="22"/>
              </w:rPr>
              <w:t>P</w:t>
            </w:r>
            <w:r>
              <w:rPr>
                <w:b/>
                <w:sz w:val="22"/>
                <w:szCs w:val="22"/>
              </w:rPr>
              <w:t>olítica agrícola</w:t>
            </w:r>
            <w:r w:rsidRPr="00A94279">
              <w:rPr>
                <w:rStyle w:val="Refdenotaalpie"/>
                <w:sz w:val="22"/>
                <w:szCs w:val="22"/>
              </w:rPr>
              <w:footnoteReference w:id="8"/>
            </w:r>
            <w:r>
              <w:rPr>
                <w:b/>
                <w:sz w:val="22"/>
                <w:szCs w:val="22"/>
              </w:rPr>
              <w:t xml:space="preserve"> </w:t>
            </w:r>
          </w:p>
        </w:tc>
      </w:tr>
      <w:tr w:rsidR="002B7165" w:rsidRPr="00396AA5" w:rsidTr="00941B88">
        <w:tc>
          <w:tcPr>
            <w:tcW w:w="9900" w:type="dxa"/>
            <w:tcBorders>
              <w:top w:val="single" w:sz="4" w:space="0" w:color="auto"/>
              <w:left w:val="single" w:sz="4" w:space="0" w:color="auto"/>
              <w:bottom w:val="single" w:sz="4" w:space="0" w:color="auto"/>
              <w:right w:val="single" w:sz="4" w:space="0" w:color="auto"/>
            </w:tcBorders>
          </w:tcPr>
          <w:p w:rsidR="002B7165" w:rsidRPr="00A94279" w:rsidRDefault="002B7165" w:rsidP="00C33601">
            <w:pPr>
              <w:jc w:val="both"/>
            </w:pPr>
          </w:p>
        </w:tc>
      </w:tr>
      <w:tr w:rsidR="002B7165" w:rsidRPr="00396AA5" w:rsidTr="00941B88">
        <w:tc>
          <w:tcPr>
            <w:tcW w:w="9900" w:type="dxa"/>
            <w:tcBorders>
              <w:top w:val="single" w:sz="4" w:space="0" w:color="auto"/>
              <w:left w:val="single" w:sz="4" w:space="0" w:color="auto"/>
              <w:bottom w:val="single" w:sz="4" w:space="0" w:color="auto"/>
              <w:right w:val="single" w:sz="4" w:space="0" w:color="auto"/>
            </w:tcBorders>
          </w:tcPr>
          <w:p w:rsidR="002B7165" w:rsidRPr="00A94279" w:rsidRDefault="002B7165" w:rsidP="00C33601">
            <w:pPr>
              <w:jc w:val="both"/>
            </w:pPr>
            <w:r w:rsidRPr="00A94279">
              <w:rPr>
                <w:sz w:val="22"/>
                <w:szCs w:val="22"/>
              </w:rPr>
              <w:t>Las reformas de la política agrícola estuvieron sobre</w:t>
            </w:r>
            <w:r>
              <w:rPr>
                <w:sz w:val="22"/>
                <w:szCs w:val="22"/>
              </w:rPr>
              <w:t xml:space="preserve"> </w:t>
            </w:r>
            <w:r w:rsidRPr="00A94279">
              <w:rPr>
                <w:sz w:val="22"/>
                <w:szCs w:val="22"/>
              </w:rPr>
              <w:t xml:space="preserve">determinadas  por factores  de orden externo al sector (las reformas ocurrieron en un contexto de negociación multilateral, los rasgos de las políticas en los últimos 15 años han sido moldeados según la orientación de las grandes potencias  (Estados Unidos y Europa).  </w:t>
            </w:r>
          </w:p>
          <w:p w:rsidR="002B7165" w:rsidRPr="00A94279" w:rsidRDefault="002B7165" w:rsidP="00C33601">
            <w:pPr>
              <w:jc w:val="both"/>
            </w:pPr>
            <w:r w:rsidRPr="00A94279">
              <w:rPr>
                <w:sz w:val="22"/>
                <w:szCs w:val="22"/>
              </w:rPr>
              <w:t>Había la presunción de que la liberalización comercial, la definición de derecho claros de propiedad y el retiro del Estado, dejando los particulares actuar, harían posible la recuperación del dinamismo de la agricultura. La eliminación de las trabas  gubernamentales y el aumento de la competencia se esperaban, llevarían al sector a un mejor desempeño.</w:t>
            </w:r>
          </w:p>
          <w:p w:rsidR="002B7165" w:rsidRPr="00A94279" w:rsidRDefault="002B7165" w:rsidP="00C33601">
            <w:pPr>
              <w:jc w:val="both"/>
            </w:pPr>
            <w:r w:rsidRPr="00A94279">
              <w:rPr>
                <w:sz w:val="22"/>
                <w:szCs w:val="22"/>
              </w:rPr>
              <w:t xml:space="preserve">Las reformas de </w:t>
            </w:r>
            <w:smartTag w:uri="urn:schemas-microsoft-com:office:smarttags" w:element="PersonName">
              <w:smartTagPr>
                <w:attr w:name="ProductID" w:val="la PA"/>
              </w:smartTagPr>
              <w:r w:rsidRPr="00A94279">
                <w:rPr>
                  <w:sz w:val="22"/>
                  <w:szCs w:val="22"/>
                </w:rPr>
                <w:t>la PA</w:t>
              </w:r>
            </w:smartTag>
            <w:r w:rsidRPr="00A94279">
              <w:rPr>
                <w:sz w:val="22"/>
                <w:szCs w:val="22"/>
              </w:rPr>
              <w:t xml:space="preserve"> se caracterizaron por su fuerte sesgo contra los productores pequeños y contra las formas de producción social.</w:t>
            </w:r>
            <w:r>
              <w:rPr>
                <w:sz w:val="22"/>
                <w:szCs w:val="22"/>
              </w:rPr>
              <w:t xml:space="preserve"> </w:t>
            </w:r>
            <w:r w:rsidRPr="00A94279">
              <w:rPr>
                <w:sz w:val="22"/>
                <w:szCs w:val="22"/>
              </w:rPr>
              <w:t>Los diseñadores de políticas del gobierno mexicano se plantearon un modelo de desarrollo agrícola que se sostuviera sobre la integración eficiente de la agricultura internacional, ya no sobre el abasto interno. El sector agropecuario, como el conjunto de la economía, debía seguir una trayectoria que maximizara el valor de la producción y el ingreso rural a través de una especialización creciente en las ramas en las cuales se tuvieran ventajas comparativas.</w:t>
            </w:r>
          </w:p>
          <w:p w:rsidR="002B7165" w:rsidRPr="00A94279" w:rsidRDefault="002B7165" w:rsidP="00C33601">
            <w:pPr>
              <w:jc w:val="both"/>
            </w:pPr>
            <w:r w:rsidRPr="00A94279">
              <w:rPr>
                <w:sz w:val="22"/>
                <w:szCs w:val="22"/>
              </w:rPr>
              <w:t xml:space="preserve">Para atraer la inversión privada se reformó la legislación agraria, la idea era disminuir las barreras de acceso a la propiedad del suelo y garantizar plenamente los derechos de propiedad, a fin de desarrollar los mercados de tierras en la agricultura. Ante la expectativa de integración económica con Estados Unidos, los diseñadores de política estaban más interesados en la conformación de grupos empresariales y compañías, con capacidad de atracción de capital, uso  economías de escala que tuvieran competitividad en el mercado internacional.     </w:t>
            </w:r>
          </w:p>
        </w:tc>
      </w:tr>
    </w:tbl>
    <w:p w:rsidR="002B7165" w:rsidRPr="00396AA5" w:rsidRDefault="002B7165" w:rsidP="00C33601">
      <w:pPr>
        <w:jc w:val="both"/>
      </w:pPr>
    </w:p>
    <w:p w:rsidR="002B7165" w:rsidRPr="006807A0" w:rsidRDefault="002B7165" w:rsidP="00C33601">
      <w:pPr>
        <w:ind w:firstLine="708"/>
        <w:jc w:val="both"/>
        <w:rPr>
          <w:lang w:val="es-ES_tradnl"/>
        </w:rPr>
      </w:pPr>
      <w:r>
        <w:t>A continuación se analizará</w:t>
      </w:r>
      <w:r w:rsidRPr="00396AA5">
        <w:t xml:space="preserve"> los efectos de la </w:t>
      </w:r>
      <w:r>
        <w:t>política agrícola</w:t>
      </w:r>
      <w:r w:rsidRPr="00396AA5">
        <w:rPr>
          <w:rStyle w:val="Refdenotaalpie"/>
        </w:rPr>
        <w:footnoteReference w:id="9"/>
      </w:r>
      <w:r>
        <w:t xml:space="preserve"> a partir de los cambios</w:t>
      </w:r>
      <w:r w:rsidRPr="00396AA5">
        <w:t xml:space="preserve"> que empiezan a registrarse en la agricultura mexicana,</w:t>
      </w:r>
      <w:r>
        <w:t xml:space="preserve"> éstos</w:t>
      </w:r>
      <w:r w:rsidRPr="00396AA5">
        <w:t xml:space="preserve"> se presentan en </w:t>
      </w:r>
      <w:r w:rsidRPr="00396AA5">
        <w:rPr>
          <w:bCs/>
        </w:rPr>
        <w:t>1982,</w:t>
      </w:r>
      <w:r w:rsidRPr="00396AA5">
        <w:t xml:space="preserve"> cuando se impone a México, </w:t>
      </w:r>
      <w:r w:rsidRPr="00396AA5">
        <w:rPr>
          <w:bCs/>
        </w:rPr>
        <w:t>el primer paquete de medidas de ajuste estructural</w:t>
      </w:r>
      <w:r w:rsidRPr="00396AA5">
        <w:t>, la imposición corre a cargo del Fondo Monetario Internacional y Banco Mundial.</w:t>
      </w:r>
      <w:r w:rsidRPr="00396AA5">
        <w:rPr>
          <w:rStyle w:val="Refdenotaalpie"/>
        </w:rPr>
        <w:footnoteReference w:id="10"/>
      </w:r>
      <w:r w:rsidRPr="00396AA5">
        <w:t xml:space="preserve"> </w:t>
      </w:r>
    </w:p>
    <w:p w:rsidR="002B7165" w:rsidRPr="00396AA5" w:rsidRDefault="002B7165" w:rsidP="00C33601">
      <w:pPr>
        <w:ind w:firstLine="708"/>
        <w:jc w:val="both"/>
      </w:pPr>
      <w:r w:rsidRPr="00396AA5">
        <w:t>A partir de 1983, se impuso paulatinamente la fórmula, de que resultaba más barato importar alimentos que producirlos, y poco a poco fue desmantelado el aparato institucional de apoyo a los campesinos y agricultores mexicanos, como son los precios de garantía, los centros de acopio y comercialización (Conasupo), así como la diversidad de formas crediticias que prevalecieron en el medio rural hasta mediados de los años ochenta.</w:t>
      </w:r>
    </w:p>
    <w:p w:rsidR="002B7165" w:rsidRPr="00396AA5" w:rsidRDefault="002B7165" w:rsidP="00C33601">
      <w:pPr>
        <w:ind w:firstLine="708"/>
        <w:jc w:val="both"/>
      </w:pPr>
      <w:r w:rsidRPr="00396AA5">
        <w:t>Así desde 1982, se liberan los precios de los insumos agrícolas (energéticos, fertilizantes, maquinaria), se empieza a reducir la inversión y el gasto gubernamental en apoyos de extensión e investigación agrícola y se abre la economía nacional a las importaciones agroalimentarias del extranjero con el ingreso de México al GATT en 1986,  pero hay que reconocer que el cambio estructural en el sector con predominancia en el enfoque neoliberal, se inicia en México incluso antes de la entrada al GATT.</w:t>
      </w:r>
    </w:p>
    <w:p w:rsidR="002B7165" w:rsidRPr="00396AA5" w:rsidRDefault="002B7165" w:rsidP="00C33601">
      <w:pPr>
        <w:ind w:firstLine="708"/>
        <w:jc w:val="both"/>
      </w:pPr>
      <w:r w:rsidRPr="00396AA5">
        <w:t xml:space="preserve">En </w:t>
      </w:r>
      <w:r w:rsidRPr="00396AA5">
        <w:rPr>
          <w:bCs/>
        </w:rPr>
        <w:t>1988, se inicia la segunda generación de medidas</w:t>
      </w:r>
      <w:r w:rsidRPr="00396AA5">
        <w:t xml:space="preserve"> del ajuste estructural de la economía, centradas en dos políticas: privatización de la propiedad agraria y negociación de un tratado de libre comercio con Estados Unidos. A partir, de estos años el Gobierno Federal, prácticamente aplica una política de austeridad severa en el gasto público. Los siguientes cuadros 5 y 6, muestran fehacientemente, como decrece estrepitosamente la inversión, el crédito y gasto público para el fomento el sector    </w:t>
      </w:r>
    </w:p>
    <w:p w:rsidR="002B7165" w:rsidRPr="00396AA5" w:rsidRDefault="002B7165" w:rsidP="00C336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89"/>
        <w:gridCol w:w="4489"/>
      </w:tblGrid>
      <w:tr w:rsidR="002B7165" w:rsidRPr="00396AA5" w:rsidTr="00941B88">
        <w:trPr>
          <w:cantSplit/>
        </w:trPr>
        <w:tc>
          <w:tcPr>
            <w:tcW w:w="8978" w:type="dxa"/>
            <w:gridSpan w:val="2"/>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Cuadro 5</w:t>
            </w:r>
          </w:p>
          <w:p w:rsidR="002B7165" w:rsidRPr="00DC1595" w:rsidRDefault="002B7165" w:rsidP="00C33601">
            <w:pPr>
              <w:rPr>
                <w:b/>
              </w:rPr>
            </w:pPr>
            <w:r w:rsidRPr="00DC1595">
              <w:rPr>
                <w:b/>
              </w:rPr>
              <w:t>Inversión en fomento, gasto público y</w:t>
            </w:r>
          </w:p>
          <w:p w:rsidR="002B7165" w:rsidRPr="00396AA5" w:rsidRDefault="002B7165" w:rsidP="00C33601">
            <w:r w:rsidRPr="00DC1595">
              <w:rPr>
                <w:b/>
              </w:rPr>
              <w:t>Crédito 1982-2001.</w:t>
            </w:r>
          </w:p>
        </w:tc>
      </w:tr>
      <w:tr w:rsidR="002B7165" w:rsidRPr="00396AA5" w:rsidTr="00941B88">
        <w:tc>
          <w:tcPr>
            <w:tcW w:w="4489"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Inversión en Fomento agropecuario</w:t>
            </w:r>
          </w:p>
        </w:tc>
        <w:tc>
          <w:tcPr>
            <w:tcW w:w="4489"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Se redujo 95.5%</w:t>
            </w:r>
          </w:p>
        </w:tc>
      </w:tr>
      <w:tr w:rsidR="002B7165" w:rsidRPr="00396AA5" w:rsidTr="00941B88">
        <w:tc>
          <w:tcPr>
            <w:tcW w:w="4489"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Gasto público</w:t>
            </w:r>
          </w:p>
        </w:tc>
        <w:tc>
          <w:tcPr>
            <w:tcW w:w="4489"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Se redujo 73.3%</w:t>
            </w:r>
          </w:p>
        </w:tc>
      </w:tr>
      <w:tr w:rsidR="002B7165" w:rsidRPr="00396AA5" w:rsidTr="00941B88">
        <w:tc>
          <w:tcPr>
            <w:tcW w:w="4489"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Volumen global de crédito agropecuario</w:t>
            </w:r>
          </w:p>
        </w:tc>
        <w:tc>
          <w:tcPr>
            <w:tcW w:w="4489"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Se redujo 64.4%</w:t>
            </w:r>
          </w:p>
        </w:tc>
      </w:tr>
    </w:tbl>
    <w:p w:rsidR="002B7165" w:rsidRPr="00396AA5" w:rsidRDefault="002B7165" w:rsidP="00C33601">
      <w:pPr>
        <w:jc w:val="center"/>
      </w:pPr>
    </w:p>
    <w:p w:rsidR="002B7165" w:rsidRPr="00396AA5" w:rsidRDefault="002B7165" w:rsidP="00C33601">
      <w:pPr>
        <w:jc w:val="center"/>
      </w:pPr>
    </w:p>
    <w:tbl>
      <w:tblPr>
        <w:tblW w:w="0" w:type="auto"/>
        <w:tblInd w:w="1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20"/>
        <w:gridCol w:w="1260"/>
        <w:gridCol w:w="1440"/>
      </w:tblGrid>
      <w:tr w:rsidR="002B7165" w:rsidRPr="00396AA5" w:rsidTr="00941B88">
        <w:trPr>
          <w:cantSplit/>
        </w:trPr>
        <w:tc>
          <w:tcPr>
            <w:tcW w:w="5220" w:type="dxa"/>
            <w:gridSpan w:val="3"/>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Cuadro 6</w:t>
            </w:r>
          </w:p>
          <w:p w:rsidR="002B7165" w:rsidRPr="00DC1595" w:rsidRDefault="002B7165" w:rsidP="00C33601">
            <w:pPr>
              <w:rPr>
                <w:b/>
              </w:rPr>
            </w:pPr>
            <w:r w:rsidRPr="00DC1595">
              <w:rPr>
                <w:b/>
              </w:rPr>
              <w:t>Presupuesto para el campo</w:t>
            </w:r>
          </w:p>
        </w:tc>
      </w:tr>
      <w:tr w:rsidR="002B7165" w:rsidRPr="00396AA5" w:rsidTr="00941B88">
        <w:tc>
          <w:tcPr>
            <w:tcW w:w="2520" w:type="dxa"/>
            <w:tcBorders>
              <w:top w:val="single" w:sz="4" w:space="0" w:color="auto"/>
              <w:left w:val="single" w:sz="4" w:space="0" w:color="auto"/>
              <w:bottom w:val="single" w:sz="4" w:space="0" w:color="auto"/>
              <w:right w:val="single" w:sz="4" w:space="0" w:color="auto"/>
            </w:tcBorders>
          </w:tcPr>
          <w:p w:rsidR="002B7165" w:rsidRPr="00396AA5" w:rsidRDefault="002B7165" w:rsidP="00C33601"/>
        </w:tc>
        <w:tc>
          <w:tcPr>
            <w:tcW w:w="126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1994</w:t>
            </w:r>
          </w:p>
        </w:tc>
        <w:tc>
          <w:tcPr>
            <w:tcW w:w="144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2002</w:t>
            </w:r>
          </w:p>
        </w:tc>
      </w:tr>
      <w:tr w:rsidR="002B7165" w:rsidRPr="00396AA5" w:rsidTr="00941B88">
        <w:tc>
          <w:tcPr>
            <w:tcW w:w="252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 del gasto programable</w:t>
            </w:r>
          </w:p>
        </w:tc>
        <w:tc>
          <w:tcPr>
            <w:tcW w:w="126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8.6</w:t>
            </w:r>
          </w:p>
        </w:tc>
        <w:tc>
          <w:tcPr>
            <w:tcW w:w="144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3.5</w:t>
            </w:r>
          </w:p>
        </w:tc>
      </w:tr>
      <w:tr w:rsidR="002B7165" w:rsidRPr="00396AA5" w:rsidTr="00941B88">
        <w:tc>
          <w:tcPr>
            <w:tcW w:w="252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 del PIB</w:t>
            </w:r>
          </w:p>
        </w:tc>
        <w:tc>
          <w:tcPr>
            <w:tcW w:w="126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1.5</w:t>
            </w:r>
          </w:p>
        </w:tc>
        <w:tc>
          <w:tcPr>
            <w:tcW w:w="1440" w:type="dxa"/>
            <w:tcBorders>
              <w:top w:val="single" w:sz="4" w:space="0" w:color="auto"/>
              <w:left w:val="single" w:sz="4" w:space="0" w:color="auto"/>
              <w:bottom w:val="single" w:sz="4" w:space="0" w:color="auto"/>
              <w:right w:val="single" w:sz="4" w:space="0" w:color="auto"/>
            </w:tcBorders>
          </w:tcPr>
          <w:p w:rsidR="002B7165" w:rsidRPr="00396AA5" w:rsidRDefault="002B7165" w:rsidP="00C33601">
            <w:r w:rsidRPr="00396AA5">
              <w:t>0.6</w:t>
            </w:r>
          </w:p>
        </w:tc>
      </w:tr>
    </w:tbl>
    <w:p w:rsidR="002B7165" w:rsidRPr="00396AA5" w:rsidRDefault="002B7165" w:rsidP="00C33601">
      <w:pPr>
        <w:jc w:val="both"/>
      </w:pPr>
      <w:r>
        <w:tab/>
      </w:r>
      <w:r>
        <w:tab/>
        <w:t>Fuente: Elaboración a partir de Sagarpa (varios años)</w:t>
      </w:r>
    </w:p>
    <w:p w:rsidR="002B7165" w:rsidRPr="00396AA5" w:rsidRDefault="002B7165" w:rsidP="00C33601">
      <w:pPr>
        <w:ind w:firstLine="708"/>
        <w:jc w:val="both"/>
      </w:pPr>
      <w:r w:rsidRPr="00396AA5">
        <w:lastRenderedPageBreak/>
        <w:t>Un reflejo, en el abatimiento del dinamismo del sector, se muestra en el declive que registra éste en su participación en el PIB, en 1970 representaba el 12% del PIB nacional, en 1981 el 8% y en el 2002 sól</w:t>
      </w:r>
      <w:r>
        <w:t>o aporta el 4% al PIB nacional (Cano</w:t>
      </w:r>
      <w:r w:rsidRPr="00396AA5">
        <w:t xml:space="preserve"> 2001).</w:t>
      </w:r>
      <w:r w:rsidRPr="00396AA5">
        <w:rPr>
          <w:rStyle w:val="Refdenotaalpie"/>
        </w:rPr>
        <w:footnoteReference w:id="11"/>
      </w:r>
    </w:p>
    <w:p w:rsidR="002B7165" w:rsidRPr="00396AA5" w:rsidRDefault="002B7165" w:rsidP="00C33601">
      <w:pPr>
        <w:ind w:firstLine="708"/>
        <w:jc w:val="both"/>
      </w:pPr>
      <w:r w:rsidRPr="00396AA5">
        <w:t>De ese 4%, el 66% le pertenece a la agricultura, el 27% a la ganadería, el 5% a la silvicultura y el 2% a la pesca. Observando que la parte agrícola sigue teniendo un gran peso en este sector, y es precisamente ahí en donde se encuentra la producción insuficiente de granos básicos. Producción insuficiente que se abastece del mercado externo desde hace varias décadas, sustituyendo al concepto d</w:t>
      </w:r>
      <w:r>
        <w:t>e la autosuficiencia alimentaria</w:t>
      </w:r>
      <w:r w:rsidRPr="00396AA5">
        <w:t xml:space="preserve"> po</w:t>
      </w:r>
      <w:r>
        <w:t>r el de la seguridad alimentaria</w:t>
      </w:r>
      <w:r w:rsidRPr="00396AA5">
        <w:t>.</w:t>
      </w:r>
    </w:p>
    <w:p w:rsidR="002B7165" w:rsidRPr="00396AA5" w:rsidRDefault="002B7165" w:rsidP="00C33601">
      <w:pPr>
        <w:ind w:firstLine="708"/>
        <w:jc w:val="both"/>
        <w:rPr>
          <w:bCs/>
        </w:rPr>
      </w:pPr>
      <w:r w:rsidRPr="00396AA5">
        <w:t>Estos cambios desfavorables hacia el sector agropecuario, han afectado en general el crecimiento económico y los niveles de rentabilidad (particularmente, la de los productos tradicionales) y, se ha agravado la crisis del sector, pues durante la administración de Vicente Fox</w:t>
      </w:r>
      <w:r w:rsidRPr="00396AA5">
        <w:rPr>
          <w:rStyle w:val="Refdenotaalpie"/>
        </w:rPr>
        <w:footnoteReference w:id="12"/>
      </w:r>
      <w:r w:rsidRPr="00396AA5">
        <w:t xml:space="preserve">, no sólo se dio continuidad a las políticas de estabilización y ajuste, sino que éstas se aplicaron con mayor rigor.  </w:t>
      </w:r>
    </w:p>
    <w:p w:rsidR="002B7165" w:rsidRPr="00396AA5" w:rsidRDefault="002B7165" w:rsidP="00C33601">
      <w:pPr>
        <w:ind w:firstLine="708"/>
        <w:jc w:val="both"/>
      </w:pPr>
      <w:r w:rsidRPr="00396AA5">
        <w:t>Si a estas políticas oficiales draconianas impuestas al campo mexicano; se les suma el de la política comercial indiscriminada aplicada por el gobierno mexicano de desprotección a través bajos aranceles y cuotas que el gobierno no cobró para importar maíz y fríjol por encima de la cuota establecida y se le agrega el incremento de los subsidios que aplicó el gobierno de Estados Unidos a los productos que exporta a precios Dumping, se tiene resultados ampliamente negativos para el campo mexicano.</w:t>
      </w:r>
    </w:p>
    <w:p w:rsidR="002B7165" w:rsidRPr="00396AA5" w:rsidRDefault="002B7165" w:rsidP="00C33601">
      <w:pPr>
        <w:ind w:firstLine="708"/>
        <w:jc w:val="both"/>
        <w:rPr>
          <w:bCs/>
        </w:rPr>
      </w:pPr>
      <w:r w:rsidRPr="00396AA5">
        <w:rPr>
          <w:lang w:val="es-ES_tradnl"/>
        </w:rPr>
        <w:t>En suma, la cadena de reformas macroeconómicas, provocó una retroalimentación negativa en el sector, pues basta mencionar brevemente algunas políticas que precipitaron la crisis del sector:</w:t>
      </w:r>
      <w:r w:rsidRPr="00396AA5">
        <w:rPr>
          <w:bCs/>
        </w:rPr>
        <w:t xml:space="preserve"> </w:t>
      </w:r>
    </w:p>
    <w:p w:rsidR="002B7165" w:rsidRPr="00396AA5" w:rsidRDefault="002B7165" w:rsidP="00C33601">
      <w:pPr>
        <w:ind w:firstLine="708"/>
        <w:jc w:val="both"/>
        <w:rPr>
          <w:bCs/>
        </w:rPr>
      </w:pPr>
      <w:smartTag w:uri="urn:schemas-microsoft-com:office:smarttags" w:element="PersonName">
        <w:smartTagPr>
          <w:attr w:name="ProductID" w:val="La Privatizaci￳n"/>
        </w:smartTagPr>
        <w:r w:rsidRPr="00396AA5">
          <w:rPr>
            <w:bCs/>
          </w:rPr>
          <w:t>La Privatización</w:t>
        </w:r>
      </w:smartTag>
      <w:r w:rsidRPr="00396AA5">
        <w:rPr>
          <w:bCs/>
        </w:rPr>
        <w:t xml:space="preserve"> de empresas paraestatales y bancos del gobierno, redujeron los subsidios vía precios de los insumos y tasas de interés. </w:t>
      </w:r>
    </w:p>
    <w:p w:rsidR="002B7165" w:rsidRPr="00396AA5" w:rsidRDefault="002B7165" w:rsidP="00C33601">
      <w:pPr>
        <w:ind w:firstLine="708"/>
        <w:jc w:val="both"/>
        <w:rPr>
          <w:lang w:val="es-ES_tradnl"/>
        </w:rPr>
      </w:pPr>
      <w:r w:rsidRPr="00396AA5">
        <w:rPr>
          <w:bCs/>
        </w:rPr>
        <w:t xml:space="preserve">La política fiscal restrictiva, también redujo el gasto federal asignado a la política agropecuaria. </w:t>
      </w:r>
    </w:p>
    <w:p w:rsidR="002B7165" w:rsidRPr="00396AA5" w:rsidRDefault="002B7165" w:rsidP="00C33601">
      <w:pPr>
        <w:jc w:val="both"/>
        <w:rPr>
          <w:lang w:val="es-ES_tradnl"/>
        </w:rPr>
      </w:pPr>
      <w:r w:rsidRPr="00396AA5">
        <w:rPr>
          <w:bCs/>
        </w:rPr>
        <w:t xml:space="preserve"> </w:t>
      </w:r>
      <w:r>
        <w:rPr>
          <w:bCs/>
        </w:rPr>
        <w:tab/>
      </w:r>
      <w:r w:rsidRPr="00396AA5">
        <w:rPr>
          <w:bCs/>
        </w:rPr>
        <w:t>La apertura comercial, combinada con la sobrevaluación del peso</w:t>
      </w:r>
      <w:r w:rsidRPr="00396AA5">
        <w:rPr>
          <w:rStyle w:val="Refdenotaalpie"/>
          <w:bCs/>
        </w:rPr>
        <w:footnoteReference w:id="13"/>
      </w:r>
      <w:r w:rsidRPr="00396AA5">
        <w:rPr>
          <w:bCs/>
        </w:rPr>
        <w:t>, favoreció el aumento significativo de las importaciones agropecuarias</w:t>
      </w:r>
      <w:r w:rsidRPr="00396AA5">
        <w:t xml:space="preserve">. </w:t>
      </w:r>
      <w:r w:rsidRPr="00396AA5">
        <w:rPr>
          <w:bCs/>
        </w:rPr>
        <w:t>Estas importaciones, artificialmente baratas por el efecto de la sobrevaluación, contribuyeron al descenso real en los precios domésticos de los productos.</w:t>
      </w:r>
    </w:p>
    <w:p w:rsidR="002B7165" w:rsidRPr="00396AA5" w:rsidRDefault="002B7165" w:rsidP="00C33601">
      <w:pPr>
        <w:ind w:firstLine="708"/>
        <w:jc w:val="both"/>
        <w:rPr>
          <w:lang w:val="es-ES_tradnl"/>
        </w:rPr>
      </w:pPr>
      <w:r w:rsidRPr="00396AA5">
        <w:rPr>
          <w:bCs/>
        </w:rPr>
        <w:t>La reducción en los precios de los productos, aunado a las elevadas tasas de interés en los préstamos agropecuarios, generó una elevada cartera vencida</w:t>
      </w:r>
      <w:r w:rsidRPr="00396AA5">
        <w:t>.</w:t>
      </w:r>
    </w:p>
    <w:p w:rsidR="002B7165" w:rsidRPr="00396AA5" w:rsidRDefault="002B7165" w:rsidP="00C33601">
      <w:pPr>
        <w:ind w:firstLine="708"/>
        <w:jc w:val="both"/>
        <w:rPr>
          <w:lang w:val="es-ES_tradnl"/>
        </w:rPr>
      </w:pPr>
      <w:r w:rsidRPr="00396AA5">
        <w:t xml:space="preserve">Basta mencionar, los siguientes datos para mostrar la profunda crisis en la que se encuentra el sector, se registra una pérdida de autosuficiencia alimentaria (soberanía) y por </w:t>
      </w:r>
      <w:r w:rsidRPr="00396AA5">
        <w:lastRenderedPageBreak/>
        <w:t>consecuencia se registra aumento de la dependencia o seguridad alimentar</w:t>
      </w:r>
      <w:r>
        <w:t>i</w:t>
      </w:r>
      <w:r w:rsidRPr="00396AA5">
        <w:t>a</w:t>
      </w:r>
      <w:r w:rsidRPr="00396AA5">
        <w:rPr>
          <w:rStyle w:val="Refdenotaalpie"/>
        </w:rPr>
        <w:footnoteReference w:id="14"/>
      </w:r>
      <w:r w:rsidRPr="00396AA5">
        <w:t>, en el 2002, el 68.2% de los productos básicos proviene del exterior</w:t>
      </w:r>
      <w:r w:rsidRPr="00396AA5">
        <w:rPr>
          <w:rStyle w:val="Refdenotaalpie"/>
        </w:rPr>
        <w:footnoteReference w:id="15"/>
      </w:r>
      <w:r w:rsidRPr="00396AA5">
        <w:t xml:space="preserve">. </w:t>
      </w:r>
    </w:p>
    <w:p w:rsidR="002B7165" w:rsidRPr="00396AA5" w:rsidRDefault="002B7165" w:rsidP="00C33601">
      <w:pPr>
        <w:ind w:firstLine="708"/>
        <w:jc w:val="both"/>
      </w:pPr>
      <w:r w:rsidRPr="00396AA5">
        <w:t>Según informes de Sagarpa (2004), el monto de los recursos destinados a la importación de alimentos durante la administración de Fox, equivale al 54% de las divisas obtenidas por la exportación de petróleo crudo en los últimos cinco años, de acuerdo con el Sistema Armonizado de Designación y Codificación de Mercancías, entre 1995 y 1999 ingresaron al país productos alimenticios por un valor de 29 mil 559 millones de dólares, lo grave es que entre 2001 y 2005, se destinó casi lo doble del presupuesto para comprar alimentos, disparándose el gasto en 49 mil 547 millones de dólares para importar productos básicos.</w:t>
      </w:r>
      <w:r>
        <w:tab/>
      </w:r>
    </w:p>
    <w:p w:rsidR="002B7165" w:rsidRPr="00396AA5" w:rsidRDefault="002B7165" w:rsidP="00C33601">
      <w:pPr>
        <w:ind w:firstLine="708"/>
        <w:jc w:val="both"/>
      </w:pPr>
      <w:r w:rsidRPr="00396AA5">
        <w:t>La clave del asunto, es que las importaciones de México son expresión de las grandes empresas transnacionales</w:t>
      </w:r>
      <w:r w:rsidRPr="00396AA5">
        <w:rPr>
          <w:rStyle w:val="Refdenotaalpie"/>
        </w:rPr>
        <w:footnoteReference w:id="16"/>
      </w:r>
      <w:r w:rsidRPr="00396AA5">
        <w:t xml:space="preserve"> que colocaron exitosamente sus granos en el país;  entre 1994 y 2000, las importaciones de soya mostraron un aumento del 75%, al pasar de más de 2 millones de toneladas a 3.6 millones; las de sorgo 48%, al pasar de 3.3 millones de toneladas a 4.9 millones; las de trigo 88%, al pasar de 944 mil toneladas a 1.7 millones; las de arroz sin cáscara 243%, al pasar de 146 mil toneladas a 502 mil; y las de maíz 113%, al pasar de 2.3 millones de toneladas a 4.9. La desmedida importación de alimentos y el desmantelamiento de los apoyos al sector agropecuario comienzan a transformar la estructura productiva del sector</w:t>
      </w:r>
      <w:r w:rsidRPr="00396AA5">
        <w:rPr>
          <w:rStyle w:val="Refdenotaalpie"/>
        </w:rPr>
        <w:footnoteReference w:id="17"/>
      </w:r>
      <w:r>
        <w:t xml:space="preserve"> (Juárez, L </w:t>
      </w:r>
      <w:r w:rsidRPr="00396AA5">
        <w:t xml:space="preserve">2003).   </w:t>
      </w:r>
    </w:p>
    <w:p w:rsidR="002B7165" w:rsidRPr="00396AA5" w:rsidRDefault="002B7165" w:rsidP="00C33601">
      <w:pPr>
        <w:ind w:firstLine="708"/>
        <w:jc w:val="both"/>
      </w:pPr>
      <w:r w:rsidRPr="00396AA5">
        <w:t xml:space="preserve">Por otra parte, las grandes empresas transnacionales estadounidenses logran colocar sus excedentes alimentarios en México: proveen casi l00% de las importaciones de sorgo, maíz y fríjol; asimismo, suministran más el 90% de las compras externas de soya y harina </w:t>
      </w:r>
      <w:r w:rsidRPr="00396AA5">
        <w:lastRenderedPageBreak/>
        <w:t>de soya. Respecto a los productos cárnicos, carnes preparadas, arroz y endulcolorantes, México le compra a EUA, el 90%, 95</w:t>
      </w:r>
      <w:r>
        <w:t>% y 99% y 95%  respectivamente</w:t>
      </w:r>
      <w:r w:rsidRPr="00396AA5">
        <w:t xml:space="preserve"> </w:t>
      </w:r>
      <w:r>
        <w:t>(</w:t>
      </w:r>
      <w:smartTag w:uri="urn:schemas-microsoft-com:office:smarttags" w:element="PersonName">
        <w:smartTagPr>
          <w:attr w:name="ProductID" w:val="la Jornada"/>
        </w:smartTagPr>
        <w:r w:rsidRPr="00396AA5">
          <w:t>La Jornada</w:t>
        </w:r>
      </w:smartTag>
      <w:r>
        <w:t xml:space="preserve">, </w:t>
      </w:r>
      <w:r w:rsidRPr="00396AA5">
        <w:t>2001)</w:t>
      </w:r>
      <w:r>
        <w:t>.</w:t>
      </w:r>
      <w:r w:rsidRPr="00396AA5">
        <w:t xml:space="preserve"> </w:t>
      </w:r>
    </w:p>
    <w:p w:rsidR="002B7165" w:rsidRPr="00396AA5" w:rsidRDefault="002B7165" w:rsidP="00C33601">
      <w:pPr>
        <w:ind w:firstLine="708"/>
        <w:jc w:val="both"/>
      </w:pPr>
      <w:r w:rsidRPr="00396AA5">
        <w:t>En cambio, donde se observa un crecimiento espectacular, es en los productos de frutas y hortalizas, para 1980, el 34% de las exportaciones del sector agrícola pertenece a estos productos; diez y ocho años después, en 1998, es ya, el 58% de las exportaciones del sector (INEGI, varios años. Estadísticas del Comercio Exterior de México). Actualmente, Estados Unidos es el principal destino de las exportaciones hortofrutícolas,  el 98% de la producción, tuvo como destin</w:t>
      </w:r>
      <w:r>
        <w:t>o los Estados Unidos de América</w:t>
      </w:r>
      <w:r w:rsidRPr="00396AA5">
        <w:t xml:space="preserve"> </w:t>
      </w:r>
      <w:r>
        <w:t xml:space="preserve"> (Bancomext, </w:t>
      </w:r>
      <w:r w:rsidRPr="00396AA5">
        <w:t>1996)</w:t>
      </w:r>
      <w:r w:rsidRPr="00396AA5">
        <w:rPr>
          <w:rStyle w:val="Refdenotaalpie"/>
        </w:rPr>
        <w:footnoteReference w:id="18"/>
      </w:r>
      <w:r w:rsidRPr="00396AA5">
        <w:t>.</w:t>
      </w:r>
    </w:p>
    <w:p w:rsidR="002B7165" w:rsidRPr="00396AA5" w:rsidRDefault="002B7165" w:rsidP="00C33601">
      <w:pPr>
        <w:ind w:firstLine="708"/>
        <w:jc w:val="both"/>
      </w:pPr>
      <w:r w:rsidRPr="00396AA5">
        <w:t>El comercio internacional de México, además de dependiente del mercado estadounidense, está altamente concentrado en un rango máximo de siete productos (café, granos y semillas, frutas preparadas, jugos de frutas, vegetales, tomates y las bebidas),</w:t>
      </w:r>
      <w:r>
        <w:t xml:space="preserve"> estos productos </w:t>
      </w:r>
      <w:r w:rsidRPr="00396AA5">
        <w:t>absorbieron el 88% de las exportaciones totales que México vendió e</w:t>
      </w:r>
      <w:r>
        <w:t xml:space="preserve">n los Estados Unidos en el 2003 (Cámara de Diputados </w:t>
      </w:r>
      <w:r w:rsidRPr="00396AA5">
        <w:t xml:space="preserve">2004). </w:t>
      </w:r>
    </w:p>
    <w:p w:rsidR="002B7165" w:rsidRPr="00396AA5" w:rsidRDefault="002B7165" w:rsidP="00C33601">
      <w:pPr>
        <w:ind w:firstLine="708"/>
        <w:jc w:val="both"/>
      </w:pPr>
      <w:r w:rsidRPr="00396AA5">
        <w:t>El gráfico 1, muestra el crecimiento de las exportaciones de dichos productos y se puede apreciar que éstos comienzan a despegar a partir de 1996</w:t>
      </w:r>
      <w:r>
        <w:t>,</w:t>
      </w:r>
      <w:r w:rsidRPr="00396AA5">
        <w:t xml:space="preserve"> una vez superada la crisis financi</w:t>
      </w:r>
      <w:r>
        <w:t>era que golpeó a México, entre</w:t>
      </w:r>
      <w:r w:rsidRPr="00396AA5">
        <w:t xml:space="preserve"> 1994</w:t>
      </w:r>
      <w:r>
        <w:t xml:space="preserve"> y 1995</w:t>
      </w:r>
      <w:r w:rsidRPr="00396AA5">
        <w:t>.</w:t>
      </w:r>
    </w:p>
    <w:p w:rsidR="002B7165" w:rsidRPr="00396AA5" w:rsidRDefault="002B7165" w:rsidP="00C33601">
      <w:pPr>
        <w:jc w:val="both"/>
        <w:rPr>
          <w:b/>
          <w:bCs/>
        </w:rPr>
      </w:pPr>
      <w:r>
        <w:rPr>
          <w:noProof/>
          <w:lang w:val="es-MX" w:eastAsia="es-MX"/>
        </w:rPr>
        <w:drawing>
          <wp:inline distT="0" distB="0" distL="0" distR="0">
            <wp:extent cx="4733290" cy="2820670"/>
            <wp:effectExtent l="0" t="0" r="0" b="0"/>
            <wp:docPr id="29" name="Objeto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7165" w:rsidRPr="00396AA5" w:rsidRDefault="002B7165" w:rsidP="00C33601">
      <w:pPr>
        <w:jc w:val="both"/>
        <w:rPr>
          <w:color w:val="000000"/>
        </w:rPr>
      </w:pPr>
      <w:r w:rsidRPr="00396AA5">
        <w:rPr>
          <w:color w:val="000000"/>
        </w:rPr>
        <w:t>Fuente: grupo de trabajo: Shcp, Banco de México, Secretaría de Economía e INEGI</w:t>
      </w:r>
    </w:p>
    <w:p w:rsidR="002B7165" w:rsidRPr="00396AA5" w:rsidRDefault="005318F1" w:rsidP="00C33601">
      <w:pPr>
        <w:jc w:val="both"/>
        <w:rPr>
          <w:color w:val="000000"/>
        </w:rPr>
      </w:pPr>
      <w:hyperlink r:id="rId10" w:history="1">
        <w:r w:rsidR="002B7165" w:rsidRPr="00396AA5">
          <w:rPr>
            <w:rStyle w:val="Hipervnculo"/>
            <w:color w:val="000000"/>
          </w:rPr>
          <w:t>http://dgcnesyp.inegi.gob.mx/cgi-win/bdi.exe</w:t>
        </w:r>
      </w:hyperlink>
      <w:r w:rsidR="002B7165" w:rsidRPr="00396AA5">
        <w:rPr>
          <w:color w:val="000000"/>
        </w:rPr>
        <w:t xml:space="preserve">  04/05/2004</w:t>
      </w:r>
    </w:p>
    <w:p w:rsidR="002B7165" w:rsidRDefault="002B7165" w:rsidP="00C33601">
      <w:pPr>
        <w:ind w:firstLine="708"/>
        <w:jc w:val="both"/>
      </w:pPr>
    </w:p>
    <w:p w:rsidR="002B7165" w:rsidRPr="00703523" w:rsidRDefault="002B7165" w:rsidP="00C33601">
      <w:pPr>
        <w:spacing w:before="100" w:beforeAutospacing="1" w:after="100" w:afterAutospacing="1"/>
        <w:jc w:val="both"/>
        <w:rPr>
          <w:color w:val="000000"/>
          <w:lang w:val="es-MX" w:eastAsia="es-MX"/>
        </w:rPr>
      </w:pPr>
      <w:r>
        <w:rPr>
          <w:color w:val="000000"/>
          <w:lang w:val="es-MX" w:eastAsia="es-MX"/>
        </w:rPr>
        <w:tab/>
      </w:r>
      <w:r w:rsidRPr="00703523">
        <w:rPr>
          <w:color w:val="000000"/>
          <w:lang w:val="es-MX" w:eastAsia="es-MX"/>
        </w:rPr>
        <w:t>En el siguiente, cuadro</w:t>
      </w:r>
      <w:r>
        <w:rPr>
          <w:color w:val="000000"/>
          <w:lang w:val="es-MX" w:eastAsia="es-MX"/>
        </w:rPr>
        <w:t xml:space="preserve"> 7</w:t>
      </w:r>
      <w:r w:rsidRPr="00703523">
        <w:rPr>
          <w:color w:val="000000"/>
          <w:lang w:val="es-MX" w:eastAsia="es-MX"/>
        </w:rPr>
        <w:t xml:space="preserve"> se observa claramente como las frutas y hortalizas contribuyen con cerca de la mitad del valor de la producción</w:t>
      </w:r>
      <w:r>
        <w:rPr>
          <w:color w:val="000000"/>
          <w:lang w:val="es-MX" w:eastAsia="es-MX"/>
        </w:rPr>
        <w:t>, siendo</w:t>
      </w:r>
      <w:r w:rsidRPr="00703523">
        <w:rPr>
          <w:color w:val="000000"/>
          <w:lang w:val="es-MX" w:eastAsia="es-MX"/>
        </w:rPr>
        <w:t xml:space="preserve"> los productos que muestran el mayor dinamismo en el campo mexicano</w:t>
      </w:r>
      <w:r>
        <w:rPr>
          <w:color w:val="000000"/>
          <w:lang w:val="es-MX" w:eastAsia="es-MX"/>
        </w:rPr>
        <w:t xml:space="preserve"> desde inicio de los noventa. </w:t>
      </w:r>
    </w:p>
    <w:p w:rsidR="002B7165" w:rsidRPr="00FE4AD9" w:rsidRDefault="002B7165" w:rsidP="00C33601">
      <w:pPr>
        <w:spacing w:before="100" w:beforeAutospacing="1" w:after="100" w:afterAutospacing="1"/>
        <w:jc w:val="both"/>
        <w:rPr>
          <w:color w:val="000000"/>
          <w:lang w:val="es-MX" w:eastAsia="es-MX"/>
        </w:rPr>
      </w:pPr>
    </w:p>
    <w:tbl>
      <w:tblPr>
        <w:tblpPr w:leftFromText="45" w:rightFromText="45" w:vertAnchor="text" w:tblpXSpec="right" w:tblpYSpec="center"/>
        <w:tblW w:w="7725" w:type="dxa"/>
        <w:tblCellSpacing w:w="15" w:type="dxa"/>
        <w:tblCellMar>
          <w:top w:w="15" w:type="dxa"/>
          <w:left w:w="15" w:type="dxa"/>
          <w:bottom w:w="15" w:type="dxa"/>
          <w:right w:w="15" w:type="dxa"/>
        </w:tblCellMar>
        <w:tblLook w:val="04A0"/>
      </w:tblPr>
      <w:tblGrid>
        <w:gridCol w:w="7725"/>
      </w:tblGrid>
      <w:tr w:rsidR="002B7165" w:rsidRPr="00FE4AD9" w:rsidTr="00941B88">
        <w:trPr>
          <w:tblCellSpacing w:w="15" w:type="dxa"/>
        </w:trPr>
        <w:tc>
          <w:tcPr>
            <w:tcW w:w="0" w:type="auto"/>
            <w:vAlign w:val="center"/>
          </w:tcPr>
          <w:p w:rsidR="002B7165" w:rsidRPr="00FE4AD9" w:rsidRDefault="002B7165" w:rsidP="00C33601">
            <w:pPr>
              <w:rPr>
                <w:color w:val="000000"/>
                <w:lang w:val="es-MX" w:eastAsia="es-MX"/>
              </w:rPr>
            </w:pPr>
          </w:p>
        </w:tc>
      </w:tr>
    </w:tbl>
    <w:p w:rsidR="002B7165" w:rsidRDefault="002B7165" w:rsidP="00C33601">
      <w:pPr>
        <w:spacing w:before="100" w:beforeAutospacing="1" w:after="100" w:afterAutospacing="1"/>
        <w:rPr>
          <w:rFonts w:ascii="Arial" w:hAnsi="Arial" w:cs="Arial"/>
          <w:color w:val="000000"/>
          <w:lang w:val="es-MX"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1795"/>
        <w:gridCol w:w="1796"/>
        <w:gridCol w:w="1796"/>
        <w:gridCol w:w="1796"/>
      </w:tblGrid>
      <w:tr w:rsidR="002B7165" w:rsidRPr="00C85342" w:rsidTr="00941B88">
        <w:tc>
          <w:tcPr>
            <w:tcW w:w="8978" w:type="dxa"/>
            <w:gridSpan w:val="5"/>
          </w:tcPr>
          <w:p w:rsidR="002B7165" w:rsidRPr="00C85342" w:rsidRDefault="002B7165" w:rsidP="00C33601">
            <w:pPr>
              <w:spacing w:before="100" w:beforeAutospacing="1" w:after="100" w:afterAutospacing="1"/>
              <w:rPr>
                <w:b/>
                <w:color w:val="000000"/>
                <w:sz w:val="20"/>
                <w:szCs w:val="20"/>
                <w:lang w:val="es-MX" w:eastAsia="es-MX"/>
              </w:rPr>
            </w:pPr>
            <w:r w:rsidRPr="00C85342">
              <w:rPr>
                <w:b/>
                <w:color w:val="000000"/>
                <w:sz w:val="20"/>
                <w:szCs w:val="20"/>
                <w:lang w:val="es-MX" w:eastAsia="es-MX"/>
              </w:rPr>
              <w:lastRenderedPageBreak/>
              <w:t>Cuadro 7</w:t>
            </w:r>
          </w:p>
          <w:p w:rsidR="002B7165" w:rsidRPr="00C85342" w:rsidRDefault="002B7165" w:rsidP="00C33601">
            <w:pPr>
              <w:spacing w:before="100" w:beforeAutospacing="1" w:after="100" w:afterAutospacing="1"/>
              <w:rPr>
                <w:b/>
                <w:color w:val="000000"/>
                <w:sz w:val="20"/>
                <w:szCs w:val="20"/>
                <w:lang w:val="es-MX" w:eastAsia="es-MX"/>
              </w:rPr>
            </w:pPr>
            <w:r w:rsidRPr="00C85342">
              <w:rPr>
                <w:b/>
                <w:color w:val="000000"/>
                <w:sz w:val="20"/>
                <w:szCs w:val="20"/>
                <w:lang w:val="es-MX" w:eastAsia="es-MX"/>
              </w:rPr>
              <w:t>Estructura porcentual del valor de la producción agrícola</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Categoría</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1990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1994</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2000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2005</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Cereales</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15.0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11.9</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12.3</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11.1</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Oleaginosas</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2.9</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2.4</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2.1</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Frutas</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23.5</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27.1</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28.6</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29.1</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Hortalizas</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15.7</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14.5</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20.0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19.6</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Leguminosas</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6.7</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5.9</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4.4</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5.8</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Café</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5.5</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4.3</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4.3</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3.9</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Caña de azúcar</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8.4</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7.9</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8.0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7.5</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Maíz</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17.2</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19.9</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17.9</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19.0</w:t>
            </w:r>
          </w:p>
        </w:tc>
      </w:tr>
      <w:tr w:rsidR="002B7165" w:rsidRPr="00C85342" w:rsidTr="00941B88">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Otros</w:t>
            </w:r>
          </w:p>
        </w:tc>
        <w:tc>
          <w:tcPr>
            <w:tcW w:w="1795"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5.0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4.0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2.0</w:t>
            </w:r>
          </w:p>
        </w:tc>
        <w:tc>
          <w:tcPr>
            <w:tcW w:w="1796" w:type="dxa"/>
          </w:tcPr>
          <w:p w:rsidR="002B7165" w:rsidRPr="00C85342" w:rsidRDefault="002B7165" w:rsidP="00C33601">
            <w:pPr>
              <w:spacing w:before="100" w:beforeAutospacing="1" w:after="100" w:afterAutospacing="1"/>
              <w:rPr>
                <w:color w:val="000000"/>
                <w:sz w:val="20"/>
                <w:szCs w:val="20"/>
                <w:lang w:val="es-MX" w:eastAsia="es-MX"/>
              </w:rPr>
            </w:pPr>
            <w:r w:rsidRPr="00C85342">
              <w:rPr>
                <w:color w:val="000000"/>
                <w:sz w:val="20"/>
                <w:szCs w:val="20"/>
                <w:lang w:val="es-MX" w:eastAsia="es-MX"/>
              </w:rPr>
              <w:t>1.9</w:t>
            </w:r>
          </w:p>
        </w:tc>
      </w:tr>
    </w:tbl>
    <w:p w:rsidR="002B7165" w:rsidRPr="008A5E62" w:rsidRDefault="002B7165" w:rsidP="00C33601">
      <w:pPr>
        <w:spacing w:before="100" w:beforeAutospacing="1" w:after="100" w:afterAutospacing="1"/>
        <w:rPr>
          <w:color w:val="000000"/>
          <w:sz w:val="20"/>
          <w:szCs w:val="20"/>
          <w:lang w:val="es-MX" w:eastAsia="es-MX"/>
        </w:rPr>
      </w:pPr>
      <w:r>
        <w:rPr>
          <w:color w:val="000000"/>
          <w:sz w:val="20"/>
          <w:szCs w:val="20"/>
          <w:lang w:val="es-MX" w:eastAsia="es-MX"/>
        </w:rPr>
        <w:t>Fuente:</w:t>
      </w:r>
      <w:r w:rsidRPr="008A5E62">
        <w:rPr>
          <w:color w:val="000000"/>
          <w:sz w:val="20"/>
          <w:szCs w:val="20"/>
          <w:lang w:val="es-MX" w:eastAsia="es-MX"/>
        </w:rPr>
        <w:t xml:space="preserve"> FAOSTAT. Sitio internet http://faostat.fao.org/default.aspx</w:t>
      </w:r>
    </w:p>
    <w:p w:rsidR="002B7165" w:rsidRPr="00703523" w:rsidRDefault="002B7165" w:rsidP="00C33601">
      <w:pPr>
        <w:spacing w:before="100" w:beforeAutospacing="1" w:after="100" w:afterAutospacing="1"/>
        <w:jc w:val="both"/>
        <w:rPr>
          <w:color w:val="000000"/>
          <w:lang w:val="es-MX" w:eastAsia="es-MX"/>
        </w:rPr>
      </w:pPr>
      <w:r>
        <w:rPr>
          <w:color w:val="000000"/>
          <w:lang w:val="es-MX" w:eastAsia="es-MX"/>
        </w:rPr>
        <w:tab/>
        <w:t>Para el caso</w:t>
      </w:r>
      <w:r w:rsidRPr="00703523">
        <w:rPr>
          <w:color w:val="000000"/>
          <w:lang w:val="es-MX" w:eastAsia="es-MX"/>
        </w:rPr>
        <w:t xml:space="preserve"> de las frutas, en </w:t>
      </w:r>
      <w:r>
        <w:rPr>
          <w:color w:val="000000"/>
          <w:lang w:val="es-MX" w:eastAsia="es-MX"/>
        </w:rPr>
        <w:t xml:space="preserve">el 2005 llegaron a representar </w:t>
      </w:r>
      <w:r w:rsidRPr="00703523">
        <w:rPr>
          <w:color w:val="000000"/>
          <w:lang w:val="es-MX" w:eastAsia="es-MX"/>
        </w:rPr>
        <w:t xml:space="preserve"> </w:t>
      </w:r>
      <w:r>
        <w:rPr>
          <w:color w:val="000000"/>
          <w:lang w:val="es-MX" w:eastAsia="es-MX"/>
        </w:rPr>
        <w:t>el  29.1</w:t>
      </w:r>
      <w:r w:rsidRPr="00703523">
        <w:rPr>
          <w:color w:val="000000"/>
          <w:lang w:val="es-MX" w:eastAsia="es-MX"/>
        </w:rPr>
        <w:t xml:space="preserve"> por ciento del valor de la </w:t>
      </w:r>
      <w:r>
        <w:rPr>
          <w:color w:val="000000"/>
          <w:lang w:val="es-MX" w:eastAsia="es-MX"/>
        </w:rPr>
        <w:t>producción, paso lo mismo con  las</w:t>
      </w:r>
      <w:r w:rsidRPr="00703523">
        <w:rPr>
          <w:color w:val="000000"/>
          <w:lang w:val="es-MX" w:eastAsia="es-MX"/>
        </w:rPr>
        <w:t xml:space="preserve"> hortalizas</w:t>
      </w:r>
      <w:r>
        <w:rPr>
          <w:color w:val="000000"/>
          <w:lang w:val="es-MX" w:eastAsia="es-MX"/>
        </w:rPr>
        <w:t xml:space="preserve"> que</w:t>
      </w:r>
      <w:r w:rsidRPr="00703523">
        <w:rPr>
          <w:color w:val="000000"/>
          <w:lang w:val="es-MX" w:eastAsia="es-MX"/>
        </w:rPr>
        <w:t xml:space="preserve"> refleja</w:t>
      </w:r>
      <w:r>
        <w:rPr>
          <w:color w:val="000000"/>
          <w:lang w:val="es-MX" w:eastAsia="es-MX"/>
        </w:rPr>
        <w:t>n</w:t>
      </w:r>
      <w:r w:rsidRPr="00703523">
        <w:rPr>
          <w:color w:val="000000"/>
          <w:lang w:val="es-MX" w:eastAsia="es-MX"/>
        </w:rPr>
        <w:t xml:space="preserve"> un aumento en su contribución relativa al valor de la producci</w:t>
      </w:r>
      <w:r>
        <w:rPr>
          <w:color w:val="000000"/>
          <w:lang w:val="es-MX" w:eastAsia="es-MX"/>
        </w:rPr>
        <w:t xml:space="preserve">ón agrícola. A </w:t>
      </w:r>
      <w:r w:rsidRPr="00703523">
        <w:rPr>
          <w:color w:val="000000"/>
          <w:lang w:val="es-MX" w:eastAsia="es-MX"/>
        </w:rPr>
        <w:t>diferencia</w:t>
      </w:r>
      <w:r>
        <w:rPr>
          <w:color w:val="000000"/>
          <w:lang w:val="es-MX" w:eastAsia="es-MX"/>
        </w:rPr>
        <w:t xml:space="preserve"> de</w:t>
      </w:r>
      <w:r w:rsidRPr="00703523">
        <w:rPr>
          <w:color w:val="000000"/>
          <w:lang w:val="es-MX" w:eastAsia="es-MX"/>
        </w:rPr>
        <w:t xml:space="preserve"> cereales, leguminosas, caña de azúcar y café</w:t>
      </w:r>
      <w:r>
        <w:rPr>
          <w:color w:val="000000"/>
          <w:lang w:val="es-MX" w:eastAsia="es-MX"/>
        </w:rPr>
        <w:t xml:space="preserve"> que</w:t>
      </w:r>
      <w:r w:rsidRPr="00703523">
        <w:rPr>
          <w:color w:val="000000"/>
          <w:lang w:val="es-MX" w:eastAsia="es-MX"/>
        </w:rPr>
        <w:t xml:space="preserve"> han perdido peso en su contribución al valor de la producción agrícola. En cereales se aprecia una disminución en su contribución relativa, al pasar de 15 por ciento en </w:t>
      </w:r>
      <w:smartTag w:uri="urn:schemas-microsoft-com:office:smarttags" w:element="metricconverter">
        <w:smartTagPr>
          <w:attr w:name="ProductID" w:val="1990 a"/>
        </w:smartTagPr>
        <w:r w:rsidRPr="00703523">
          <w:rPr>
            <w:color w:val="000000"/>
            <w:lang w:val="es-MX" w:eastAsia="es-MX"/>
          </w:rPr>
          <w:t>1990 a</w:t>
        </w:r>
      </w:smartTag>
      <w:r w:rsidRPr="00703523">
        <w:rPr>
          <w:color w:val="000000"/>
          <w:lang w:val="es-MX" w:eastAsia="es-MX"/>
        </w:rPr>
        <w:t xml:space="preserve"> 11</w:t>
      </w:r>
      <w:r>
        <w:rPr>
          <w:color w:val="000000"/>
          <w:lang w:val="es-MX" w:eastAsia="es-MX"/>
        </w:rPr>
        <w:t xml:space="preserve"> por ciento</w:t>
      </w:r>
      <w:r w:rsidRPr="00703523">
        <w:rPr>
          <w:color w:val="000000"/>
          <w:lang w:val="es-MX" w:eastAsia="es-MX"/>
        </w:rPr>
        <w:t xml:space="preserve"> en 2005</w:t>
      </w:r>
      <w:r>
        <w:rPr>
          <w:color w:val="000000"/>
          <w:lang w:val="es-MX" w:eastAsia="es-MX"/>
        </w:rPr>
        <w:t>.</w:t>
      </w:r>
      <w:r>
        <w:rPr>
          <w:color w:val="000000"/>
          <w:lang w:val="es-MX" w:eastAsia="es-MX"/>
        </w:rPr>
        <w:tab/>
      </w:r>
      <w:r w:rsidRPr="00703523">
        <w:rPr>
          <w:color w:val="000000"/>
          <w:lang w:val="es-MX" w:eastAsia="es-MX"/>
        </w:rPr>
        <w:t>Por su parte, el menor peso relativo de las leguminosas se debe al pobre desempeño de la producción del frijol. Este cultivo representa 84 por ciento del valor de la producción de esta categoría, y entre 1998 y 2005 registró una caída de 2.2 por ciento anual, en términos reales. Asimismo, se puede señalar la evolución de otros productos relevantes, como la caña de azúcar, que en 1995-2005 sufrió una constante disminución en términos reales de 5.5 por ciento anual y no muestra signos de recuperación. En situación similar se encuentra el café, con una disminución del valor de su producción del 6 por ciento anual en el mismo periodo.</w:t>
      </w:r>
      <w:r w:rsidRPr="009713EC">
        <w:rPr>
          <w:color w:val="000000"/>
          <w:lang w:val="es-MX" w:eastAsia="es-MX"/>
        </w:rPr>
        <w:t xml:space="preserve"> </w:t>
      </w:r>
      <w:r>
        <w:rPr>
          <w:color w:val="000000"/>
          <w:lang w:val="es-MX" w:eastAsia="es-MX"/>
        </w:rPr>
        <w:t>para</w:t>
      </w:r>
      <w:r w:rsidRPr="00703523">
        <w:rPr>
          <w:color w:val="000000"/>
          <w:lang w:val="es-MX" w:eastAsia="es-MX"/>
        </w:rPr>
        <w:t xml:space="preserve"> frutas, en </w:t>
      </w:r>
      <w:r>
        <w:rPr>
          <w:color w:val="000000"/>
          <w:lang w:val="es-MX" w:eastAsia="es-MX"/>
        </w:rPr>
        <w:t xml:space="preserve">el 2005 llegaron a representar </w:t>
      </w:r>
      <w:r w:rsidRPr="00703523">
        <w:rPr>
          <w:color w:val="000000"/>
          <w:lang w:val="es-MX" w:eastAsia="es-MX"/>
        </w:rPr>
        <w:t xml:space="preserve"> </w:t>
      </w:r>
      <w:r>
        <w:rPr>
          <w:color w:val="000000"/>
          <w:lang w:val="es-MX" w:eastAsia="es-MX"/>
        </w:rPr>
        <w:t>el  29.1</w:t>
      </w:r>
      <w:r w:rsidRPr="00703523">
        <w:rPr>
          <w:color w:val="000000"/>
          <w:lang w:val="es-MX" w:eastAsia="es-MX"/>
        </w:rPr>
        <w:t xml:space="preserve"> por ciento del valor de la </w:t>
      </w:r>
      <w:r>
        <w:rPr>
          <w:color w:val="000000"/>
          <w:lang w:val="es-MX" w:eastAsia="es-MX"/>
        </w:rPr>
        <w:t>producción, pasó lo mismo con  las</w:t>
      </w:r>
      <w:r w:rsidRPr="00703523">
        <w:rPr>
          <w:color w:val="000000"/>
          <w:lang w:val="es-MX" w:eastAsia="es-MX"/>
        </w:rPr>
        <w:t xml:space="preserve"> hortalizas</w:t>
      </w:r>
      <w:r>
        <w:rPr>
          <w:color w:val="000000"/>
          <w:lang w:val="es-MX" w:eastAsia="es-MX"/>
        </w:rPr>
        <w:t xml:space="preserve"> que</w:t>
      </w:r>
      <w:r w:rsidRPr="00703523">
        <w:rPr>
          <w:color w:val="000000"/>
          <w:lang w:val="es-MX" w:eastAsia="es-MX"/>
        </w:rPr>
        <w:t xml:space="preserve"> refleja</w:t>
      </w:r>
      <w:r>
        <w:rPr>
          <w:color w:val="000000"/>
          <w:lang w:val="es-MX" w:eastAsia="es-MX"/>
        </w:rPr>
        <w:t>n</w:t>
      </w:r>
      <w:r w:rsidRPr="00703523">
        <w:rPr>
          <w:color w:val="000000"/>
          <w:lang w:val="es-MX" w:eastAsia="es-MX"/>
        </w:rPr>
        <w:t xml:space="preserve"> un aumento en su contribución relativa al valor de la producci</w:t>
      </w:r>
      <w:r>
        <w:rPr>
          <w:color w:val="000000"/>
          <w:lang w:val="es-MX" w:eastAsia="es-MX"/>
        </w:rPr>
        <w:t xml:space="preserve">ón agrícola. A </w:t>
      </w:r>
      <w:r w:rsidRPr="00703523">
        <w:rPr>
          <w:color w:val="000000"/>
          <w:lang w:val="es-MX" w:eastAsia="es-MX"/>
        </w:rPr>
        <w:t>diferencia</w:t>
      </w:r>
      <w:r>
        <w:rPr>
          <w:color w:val="000000"/>
          <w:lang w:val="es-MX" w:eastAsia="es-MX"/>
        </w:rPr>
        <w:t xml:space="preserve"> de</w:t>
      </w:r>
      <w:r w:rsidRPr="00703523">
        <w:rPr>
          <w:color w:val="000000"/>
          <w:lang w:val="es-MX" w:eastAsia="es-MX"/>
        </w:rPr>
        <w:t xml:space="preserve"> cereales, leguminosas, caña de azúcar y café</w:t>
      </w:r>
      <w:r>
        <w:rPr>
          <w:color w:val="000000"/>
          <w:lang w:val="es-MX" w:eastAsia="es-MX"/>
        </w:rPr>
        <w:t xml:space="preserve"> que</w:t>
      </w:r>
      <w:r w:rsidRPr="00703523">
        <w:rPr>
          <w:color w:val="000000"/>
          <w:lang w:val="es-MX" w:eastAsia="es-MX"/>
        </w:rPr>
        <w:t xml:space="preserve"> han perdido peso en su contribución al valor de la producción agrícola. En cereales se aprecia una disminución en su contribución relativa, al pasar de 15 por ciento en </w:t>
      </w:r>
      <w:smartTag w:uri="urn:schemas-microsoft-com:office:smarttags" w:element="metricconverter">
        <w:smartTagPr>
          <w:attr w:name="ProductID" w:val="1990 a"/>
        </w:smartTagPr>
        <w:r w:rsidRPr="00703523">
          <w:rPr>
            <w:color w:val="000000"/>
            <w:lang w:val="es-MX" w:eastAsia="es-MX"/>
          </w:rPr>
          <w:t>1990 a</w:t>
        </w:r>
      </w:smartTag>
      <w:r w:rsidRPr="00703523">
        <w:rPr>
          <w:color w:val="000000"/>
          <w:lang w:val="es-MX" w:eastAsia="es-MX"/>
        </w:rPr>
        <w:t xml:space="preserve"> 11</w:t>
      </w:r>
      <w:r>
        <w:rPr>
          <w:color w:val="000000"/>
          <w:lang w:val="es-MX" w:eastAsia="es-MX"/>
        </w:rPr>
        <w:t xml:space="preserve"> por ciento</w:t>
      </w:r>
      <w:r w:rsidRPr="00703523">
        <w:rPr>
          <w:color w:val="000000"/>
          <w:lang w:val="es-MX" w:eastAsia="es-MX"/>
        </w:rPr>
        <w:t xml:space="preserve"> en 2005</w:t>
      </w:r>
      <w:r>
        <w:rPr>
          <w:color w:val="000000"/>
          <w:lang w:val="es-MX" w:eastAsia="es-MX"/>
        </w:rPr>
        <w:t>.</w:t>
      </w:r>
      <w:r>
        <w:rPr>
          <w:color w:val="000000"/>
          <w:lang w:val="es-MX" w:eastAsia="es-MX"/>
        </w:rPr>
        <w:tab/>
      </w:r>
      <w:r w:rsidRPr="00703523">
        <w:rPr>
          <w:color w:val="000000"/>
          <w:lang w:val="es-MX" w:eastAsia="es-MX"/>
        </w:rPr>
        <w:t>Por su parte, el menor peso relativo de las leguminosas se debe al pobre desempeño de la producción del frijol. Este cultivo representa 84 por ciento del valor de la producción de esta categoría, y entre 1998 y 2005 registró una caída de 2.2 por ciento anual, en términos reales. Asimismo, se puede señalar la evolución de otros productos relevantes, como la caña de azúcar, que en 1995-2005 sufrió una constante disminución en términos reales de 5.5 por ciento anual y no muestra signos de recuperación. En situación similar se encuentra el café, con una disminución del valor de su producción del 6 por ciento anual en el mismo periodo.</w:t>
      </w:r>
    </w:p>
    <w:p w:rsidR="002B7165" w:rsidRPr="00396AA5" w:rsidRDefault="002B7165" w:rsidP="00C33601">
      <w:pPr>
        <w:ind w:firstLine="708"/>
        <w:jc w:val="both"/>
      </w:pPr>
      <w:r>
        <w:rPr>
          <w:lang w:val="es-MX"/>
        </w:rPr>
        <w:t>Recapitulando,</w:t>
      </w:r>
      <w:r w:rsidRPr="00396AA5">
        <w:t xml:space="preserve"> la consolidación de estos productos, se constituyen a través de grandes redes que sustentan actualmente el desarrollo de la hortofruticultura de exportación,  estas redes vinculan a los productores mexicanos con las empresas (principalmente estadounidenses) que comercializan sus productos. Una de ellas; son las que desarrollaron los empresarios de Sinaloa y Sonora, en el noroeste de México, en </w:t>
      </w:r>
      <w:r w:rsidRPr="00396AA5">
        <w:lastRenderedPageBreak/>
        <w:t>coordinación con los dist</w:t>
      </w:r>
      <w:r>
        <w:t>ribuidores de Nogales, Arizona (</w:t>
      </w:r>
      <w:r w:rsidRPr="00396AA5">
        <w:t>Mares 1987</w:t>
      </w:r>
      <w:r>
        <w:t>; y</w:t>
      </w:r>
      <w:r w:rsidRPr="00396AA5">
        <w:t xml:space="preserve"> Carton 1990)</w:t>
      </w:r>
      <w:r w:rsidRPr="00396AA5">
        <w:rPr>
          <w:rStyle w:val="Refdenotaalpie"/>
        </w:rPr>
        <w:footnoteReference w:id="19"/>
      </w:r>
      <w:r w:rsidRPr="00396AA5">
        <w:t>. Otra red,  es la que iniciaron los empresarios del sur de Texas y quienes promovieron la siembra de hortalizas y frutas para los mercados estadounidense y canadiense en regiones agrícolas del occidente</w:t>
      </w:r>
      <w:r>
        <w:t>, centro, sur y este de México (González 2001</w:t>
      </w:r>
      <w:r w:rsidRPr="00396AA5">
        <w:t>)</w:t>
      </w:r>
      <w:r>
        <w:t>. F</w:t>
      </w:r>
      <w:r w:rsidRPr="00396AA5">
        <w:t>inalmente, la tercera fue promovida, por una parte, por empresarios de San Diego, California, quienes ante la escasez y el encarecimiento del agua de riego cruzaron la frontera con México y formaron “sociedades” (</w:t>
      </w:r>
      <w:r w:rsidRPr="00396AA5">
        <w:rPr>
          <w:rStyle w:val="nfasis"/>
        </w:rPr>
        <w:t>joint ventures</w:t>
      </w:r>
      <w:r w:rsidRPr="00396AA5">
        <w:t>) con empresarios de San Quintín, Baja California, para continuar</w:t>
      </w:r>
      <w:r>
        <w:t xml:space="preserve"> con su programa de producción (Cook y Amon </w:t>
      </w:r>
      <w:r w:rsidRPr="00396AA5">
        <w:t>1987)</w:t>
      </w:r>
      <w:r w:rsidRPr="00396AA5">
        <w:rPr>
          <w:rStyle w:val="Refdenotaalpie"/>
        </w:rPr>
        <w:footnoteReference w:id="20"/>
      </w:r>
      <w:r w:rsidRPr="00396AA5">
        <w:t>.</w:t>
      </w:r>
    </w:p>
    <w:p w:rsidR="002B7165" w:rsidRPr="00396AA5" w:rsidRDefault="002B7165" w:rsidP="00C33601">
      <w:pPr>
        <w:ind w:firstLine="708"/>
        <w:jc w:val="both"/>
      </w:pPr>
      <w:r w:rsidRPr="00396AA5">
        <w:t>En general, se puede decir que los productos pertenecientes a la hortofruticultura (aguacate, fresa, limón, mango etc.), son producidos y comercializados bajo las mismas condiciones que emplean las transnacionales para cultivar y comercializar el producto en el mercado estadounidense. Entre las principales razones que se explican de por qué del interés que han despertado el cult</w:t>
      </w:r>
      <w:r>
        <w:t>ivo de estos frutales, destacan</w:t>
      </w:r>
      <w:r w:rsidRPr="00396AA5">
        <w:t xml:space="preserve"> principalmente cinco: 1) elevada rentabilidad; 2) rápido retorno del capital, desde el segundo año; 3) uso intensivo de mano de obra (900 jornales por hectárea); 4) versatilidad de los frutos para su consumo y 5) grand</w:t>
      </w:r>
      <w:r>
        <w:t>es posibilidades de exportación</w:t>
      </w:r>
      <w:r w:rsidRPr="00396AA5">
        <w:t xml:space="preserve"> </w:t>
      </w:r>
      <w:r>
        <w:t xml:space="preserve">(Merchand, M </w:t>
      </w:r>
      <w:r w:rsidRPr="00396AA5">
        <w:t>2006).</w:t>
      </w:r>
    </w:p>
    <w:p w:rsidR="002B7165" w:rsidRPr="00396AA5" w:rsidRDefault="002B7165" w:rsidP="00C33601">
      <w:pPr>
        <w:ind w:firstLine="708"/>
        <w:jc w:val="both"/>
      </w:pPr>
      <w:r w:rsidRPr="00396AA5">
        <w:t>Lo señalado por Merchand, M (2005)</w:t>
      </w:r>
      <w:r w:rsidRPr="00396AA5">
        <w:rPr>
          <w:rStyle w:val="Refdenotaalpie"/>
        </w:rPr>
        <w:footnoteReference w:id="21"/>
      </w:r>
      <w:r w:rsidRPr="00396AA5">
        <w:t xml:space="preserve"> puede ilustrarse a través de Rubio, B (2004) quien explica; que las transformaciones legales al artículo 27 constitucional impulsadas por Salinas de Gortari en 1992, abrieron el cauce a la inversión extranjera directa y  través de acciones de joint venture  y agricultura de contrato. Esto ha generado, que las mejores tierras del país empiecen a ser arrendadas por empresas foráneas que impulsan cultivos no tradicionales para la exportación y aprovechan la “ganga” de productores arruinados y endeudados</w:t>
      </w:r>
      <w:r w:rsidRPr="00396AA5">
        <w:rPr>
          <w:rStyle w:val="Refdenotaalpie"/>
        </w:rPr>
        <w:footnoteReference w:id="22"/>
      </w:r>
      <w:r w:rsidRPr="00396AA5">
        <w:t>.</w:t>
      </w:r>
    </w:p>
    <w:p w:rsidR="002B7165" w:rsidRPr="007317F2" w:rsidRDefault="002B7165" w:rsidP="00C33601">
      <w:pPr>
        <w:ind w:firstLine="708"/>
        <w:jc w:val="both"/>
      </w:pPr>
      <w:r w:rsidRPr="00396AA5">
        <w:lastRenderedPageBreak/>
        <w:t>Como lo explica, Macías, A (2003), hoy se puede hablar de una agroindustria global conformada por una mayor presencia de empresas transnacionales en la producción y transformación de los productos agrícolas, bajo diferentes formas de asociación con los productores locales (por ejemplo contratos</w:t>
      </w:r>
      <w:r w:rsidRPr="00396AA5">
        <w:rPr>
          <w:rStyle w:val="Refdenotaalpie"/>
        </w:rPr>
        <w:footnoteReference w:id="23"/>
      </w:r>
      <w:r w:rsidRPr="00396AA5">
        <w:t xml:space="preserve">, agromaquilas, etc.) lo que permite a dichas </w:t>
      </w:r>
      <w:r w:rsidRPr="007317F2">
        <w:t xml:space="preserve">empresas trasladar la fase el proceso productivo, aprovechando mano de obra barata, al estilo de las maquiladoras industriales.   </w:t>
      </w:r>
    </w:p>
    <w:p w:rsidR="002B7165" w:rsidRPr="007317F2" w:rsidRDefault="002B7165" w:rsidP="00C33601">
      <w:pPr>
        <w:ind w:firstLine="708"/>
        <w:jc w:val="both"/>
      </w:pPr>
      <w:r w:rsidRPr="007317F2">
        <w:t>Como se analizó, los efectos de la política agrícola es que tienden a incentivar   sólo a ciertos subsectores que tienen correspondencia con el capital extranjero y que podrían garantizar competitividad en el mercado internacional acorde a la lógica del</w:t>
      </w:r>
      <w:r>
        <w:t xml:space="preserve"> modelo neoliberal. El cuadro 8</w:t>
      </w:r>
      <w:r w:rsidRPr="007317F2">
        <w:t xml:space="preserve">, muestra estos efectos.   </w:t>
      </w:r>
    </w:p>
    <w:p w:rsidR="002B7165" w:rsidRPr="007317F2" w:rsidRDefault="002B7165" w:rsidP="00C33601">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4"/>
      </w:tblGrid>
      <w:tr w:rsidR="002B7165" w:rsidRPr="007317F2" w:rsidTr="00941B88">
        <w:tc>
          <w:tcPr>
            <w:tcW w:w="8644" w:type="dxa"/>
            <w:tcBorders>
              <w:top w:val="single" w:sz="4" w:space="0" w:color="auto"/>
              <w:left w:val="single" w:sz="4" w:space="0" w:color="auto"/>
              <w:bottom w:val="single" w:sz="4" w:space="0" w:color="auto"/>
              <w:right w:val="single" w:sz="4" w:space="0" w:color="auto"/>
            </w:tcBorders>
          </w:tcPr>
          <w:p w:rsidR="002B7165" w:rsidRPr="007317F2" w:rsidRDefault="002B7165" w:rsidP="00C33601">
            <w:r w:rsidRPr="007317F2">
              <w:t>Cua</w:t>
            </w:r>
            <w:r>
              <w:t>dro 8</w:t>
            </w:r>
          </w:p>
          <w:p w:rsidR="002B7165" w:rsidRPr="007317F2" w:rsidRDefault="002B7165" w:rsidP="00C33601">
            <w:r w:rsidRPr="007317F2">
              <w:t>Efectos de las Política agrícola A</w:t>
            </w:r>
          </w:p>
        </w:tc>
      </w:tr>
      <w:tr w:rsidR="002B7165" w:rsidRPr="007317F2" w:rsidTr="00941B88">
        <w:trPr>
          <w:trHeight w:val="891"/>
        </w:trPr>
        <w:tc>
          <w:tcPr>
            <w:tcW w:w="8644" w:type="dxa"/>
            <w:tcBorders>
              <w:top w:val="single" w:sz="4" w:space="0" w:color="auto"/>
              <w:left w:val="single" w:sz="4" w:space="0" w:color="auto"/>
              <w:right w:val="single" w:sz="4" w:space="0" w:color="auto"/>
            </w:tcBorders>
          </w:tcPr>
          <w:p w:rsidR="002B7165" w:rsidRPr="007317F2" w:rsidRDefault="002B7165" w:rsidP="00C33601">
            <w:pPr>
              <w:jc w:val="both"/>
            </w:pPr>
            <w:r w:rsidRPr="007317F2">
              <w:t>Dependencia alimentaría en productos básicos</w:t>
            </w:r>
          </w:p>
          <w:p w:rsidR="002B7165" w:rsidRPr="007317F2" w:rsidRDefault="002B7165" w:rsidP="00C33601">
            <w:pPr>
              <w:jc w:val="both"/>
            </w:pPr>
            <w:r w:rsidRPr="007317F2">
              <w:t>Crecen las agro-exportaciones de productos frutales y hortalizas.</w:t>
            </w:r>
          </w:p>
          <w:p w:rsidR="002B7165" w:rsidRPr="007317F2" w:rsidRDefault="002B7165" w:rsidP="00C33601">
            <w:pPr>
              <w:jc w:val="both"/>
            </w:pPr>
            <w:r w:rsidRPr="007317F2">
              <w:t>Algunas entidades se especializan en productos agro-exportables con el sustento de la IED.</w:t>
            </w:r>
          </w:p>
        </w:tc>
      </w:tr>
    </w:tbl>
    <w:p w:rsidR="002B7165" w:rsidRPr="007317F2" w:rsidRDefault="002B7165" w:rsidP="00C33601">
      <w:pPr>
        <w:jc w:val="both"/>
      </w:pPr>
    </w:p>
    <w:p w:rsidR="002B7165" w:rsidRPr="008A5E62" w:rsidRDefault="002B7165" w:rsidP="00C33601">
      <w:pPr>
        <w:jc w:val="both"/>
      </w:pPr>
      <w:r>
        <w:rPr>
          <w:bCs/>
        </w:rPr>
        <w:tab/>
        <w:t xml:space="preserve">El siguiente mapa caracteriza la geografía económica agrícola de México a partir de un patrón agroalimentario que ha configurado regiones delimitadas y acotadas por los intereses extraeconómicos de algunas transnacionales que sólo tienen el interés de cumplir con los eslabones de la cadena de valor agroalimentaria mundial y que están definidas por actividades agrícolas altamente tecnificadas y orientadas a un mercado agroexportador.  </w:t>
      </w:r>
      <w:r>
        <w:rPr>
          <w:bCs/>
        </w:rPr>
        <w:tab/>
      </w:r>
    </w:p>
    <w:p w:rsidR="002B7165" w:rsidRDefault="002B7165" w:rsidP="00C33601">
      <w:pPr>
        <w:jc w:val="both"/>
        <w:rPr>
          <w:lang w:val="es-MX"/>
        </w:rPr>
      </w:pPr>
      <w:r>
        <w:rPr>
          <w:rFonts w:ascii="Arial" w:hAnsi="Arial" w:cs="Arial"/>
          <w:noProof/>
          <w:sz w:val="20"/>
          <w:szCs w:val="20"/>
          <w:lang w:val="es-MX" w:eastAsia="es-MX"/>
        </w:rPr>
        <w:lastRenderedPageBreak/>
        <w:drawing>
          <wp:inline distT="0" distB="0" distL="0" distR="0">
            <wp:extent cx="5608955" cy="3825240"/>
            <wp:effectExtent l="19050" t="0" r="0" b="0"/>
            <wp:docPr id="30" name="il_fi" descr="http://www.google.com.mx/url?source=imgres&amp;ct=img&amp;q=http://www.abstractatus.com/pictures/mapa_mexico_agricultura.jpg&amp;sa=X&amp;ei=Dfs4TeOfFYWesQPusPmCAw&amp;ved=0CAQQ8wc&amp;usg=AFQjCNEB7-d-DAGw3rb2TG51Q1waZUdv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oogle.com.mx/url?source=imgres&amp;ct=img&amp;q=http://www.abstractatus.com/pictures/mapa_mexico_agricultura.jpg&amp;sa=X&amp;ei=Dfs4TeOfFYWesQPusPmCAw&amp;ved=0CAQQ8wc&amp;usg=AFQjCNEB7-d-DAGw3rb2TG51Q1waZUdvpw"/>
                    <pic:cNvPicPr>
                      <a:picLocks noChangeAspect="1" noChangeArrowheads="1"/>
                    </pic:cNvPicPr>
                  </pic:nvPicPr>
                  <pic:blipFill>
                    <a:blip r:embed="rId11"/>
                    <a:srcRect/>
                    <a:stretch>
                      <a:fillRect/>
                    </a:stretch>
                  </pic:blipFill>
                  <pic:spPr bwMode="auto">
                    <a:xfrm>
                      <a:off x="0" y="0"/>
                      <a:ext cx="5608955" cy="3825240"/>
                    </a:xfrm>
                    <a:prstGeom prst="rect">
                      <a:avLst/>
                    </a:prstGeom>
                    <a:noFill/>
                    <a:ln w="9525">
                      <a:noFill/>
                      <a:miter lim="800000"/>
                      <a:headEnd/>
                      <a:tailEnd/>
                    </a:ln>
                  </pic:spPr>
                </pic:pic>
              </a:graphicData>
            </a:graphic>
          </wp:inline>
        </w:drawing>
      </w:r>
    </w:p>
    <w:p w:rsidR="002B7165" w:rsidRDefault="002B7165" w:rsidP="00C33601">
      <w:pPr>
        <w:jc w:val="both"/>
        <w:rPr>
          <w:lang w:val="es-MX"/>
        </w:rPr>
      </w:pPr>
    </w:p>
    <w:p w:rsidR="002B7165" w:rsidRPr="008A5E62" w:rsidRDefault="002B7165" w:rsidP="00C33601">
      <w:pPr>
        <w:jc w:val="both"/>
        <w:rPr>
          <w:bCs/>
          <w:sz w:val="20"/>
          <w:szCs w:val="20"/>
        </w:rPr>
      </w:pPr>
      <w:r w:rsidRPr="008A5E62">
        <w:rPr>
          <w:rStyle w:val="Textoennegrita"/>
          <w:b w:val="0"/>
          <w:sz w:val="20"/>
          <w:szCs w:val="20"/>
        </w:rPr>
        <w:t>Fuente: Coll-Hurtado (2008). Nuevo Atlas Nacional de México. Recopilado por el Instituto de Geografía, Universidad Nacional Autónoma de México.</w:t>
      </w:r>
    </w:p>
    <w:p w:rsidR="002B7165" w:rsidRDefault="002B7165" w:rsidP="00C33601">
      <w:pPr>
        <w:autoSpaceDE w:val="0"/>
        <w:autoSpaceDN w:val="0"/>
        <w:adjustRightInd w:val="0"/>
        <w:jc w:val="both"/>
        <w:rPr>
          <w:bCs/>
        </w:rPr>
      </w:pPr>
    </w:p>
    <w:p w:rsidR="002B7165" w:rsidRDefault="002B7165" w:rsidP="00C33601">
      <w:pPr>
        <w:jc w:val="both"/>
      </w:pPr>
      <w:r>
        <w:tab/>
      </w:r>
      <w:r w:rsidRPr="007317F2">
        <w:t xml:space="preserve">A continuación se ejemplifica tales efectos para el caso del cultivo de la zarzamora como un producto que ha desarrollado un tipo de enclave dependiente de la inversión extranjera. </w:t>
      </w:r>
    </w:p>
    <w:p w:rsidR="002B7165" w:rsidRDefault="002B7165" w:rsidP="00C33601">
      <w:pPr>
        <w:autoSpaceDE w:val="0"/>
        <w:autoSpaceDN w:val="0"/>
        <w:adjustRightInd w:val="0"/>
        <w:jc w:val="both"/>
        <w:rPr>
          <w:b/>
          <w:bCs/>
        </w:rPr>
      </w:pPr>
    </w:p>
    <w:p w:rsidR="002B7165" w:rsidRPr="007317F2" w:rsidRDefault="002B7165" w:rsidP="00C33601">
      <w:pPr>
        <w:autoSpaceDE w:val="0"/>
        <w:autoSpaceDN w:val="0"/>
        <w:adjustRightInd w:val="0"/>
        <w:jc w:val="both"/>
      </w:pPr>
      <w:r w:rsidRPr="007317F2">
        <w:rPr>
          <w:b/>
          <w:bCs/>
        </w:rPr>
        <w:t>3.- Cuáles son las razones de por qué las transnacionales deciden invertir para producir el fruto de la zarzamora</w:t>
      </w:r>
      <w:r w:rsidRPr="007317F2">
        <w:rPr>
          <w:rStyle w:val="Refdenotaalpie"/>
          <w:b/>
          <w:bCs/>
        </w:rPr>
        <w:footnoteReference w:id="24"/>
      </w:r>
      <w:r w:rsidRPr="007317F2">
        <w:rPr>
          <w:b/>
          <w:bCs/>
        </w:rPr>
        <w:t xml:space="preserve"> en la región de Los Reyes, Michoacán: México.</w:t>
      </w:r>
    </w:p>
    <w:p w:rsidR="002B7165" w:rsidRPr="007317F2" w:rsidRDefault="002B7165" w:rsidP="00C33601">
      <w:pPr>
        <w:pStyle w:val="Textoindependiente"/>
        <w:rPr>
          <w:bCs/>
        </w:rPr>
      </w:pPr>
    </w:p>
    <w:p w:rsidR="002B7165" w:rsidRPr="007317F2" w:rsidRDefault="002B7165" w:rsidP="00C33601">
      <w:pPr>
        <w:pStyle w:val="Textoindependiente"/>
        <w:rPr>
          <w:bCs/>
        </w:rPr>
      </w:pPr>
      <w:r w:rsidRPr="007317F2">
        <w:rPr>
          <w:bCs/>
        </w:rPr>
        <w:t>El fruto de la zarzamora, como el</w:t>
      </w:r>
      <w:r>
        <w:rPr>
          <w:bCs/>
        </w:rPr>
        <w:t xml:space="preserve"> de otro</w:t>
      </w:r>
      <w:r w:rsidRPr="007317F2">
        <w:rPr>
          <w:bCs/>
        </w:rPr>
        <w:t>s</w:t>
      </w:r>
      <w:r>
        <w:rPr>
          <w:bCs/>
        </w:rPr>
        <w:t xml:space="preserve"> cultivos</w:t>
      </w:r>
      <w:r w:rsidRPr="007317F2">
        <w:rPr>
          <w:bCs/>
        </w:rPr>
        <w:t xml:space="preserve"> (aguacate, fresa, limón, mango etc.), son producidas y comercializadas bajo las mismas condiciones que emplean las transnacionales para cultivar y comercializar el producto en el mercado estadounidense.</w:t>
      </w:r>
    </w:p>
    <w:p w:rsidR="002B7165" w:rsidRPr="007317F2" w:rsidRDefault="002B7165" w:rsidP="00C33601">
      <w:pPr>
        <w:pStyle w:val="Textoindependiente2"/>
        <w:spacing w:line="240" w:lineRule="auto"/>
        <w:rPr>
          <w:bCs/>
          <w:sz w:val="24"/>
          <w:szCs w:val="24"/>
        </w:rPr>
      </w:pPr>
      <w:r w:rsidRPr="007317F2">
        <w:rPr>
          <w:sz w:val="24"/>
          <w:szCs w:val="24"/>
        </w:rPr>
        <w:tab/>
        <w:t xml:space="preserve">Entre las principales razones que se explican de por qué del interés que han despertado el cultivo de estos frutales, destacan. principalmente cinco: 1) elevada rentabilidad; 2) rápido retorno del capital, desde el segundo año; 3) uso intensivo de mano </w:t>
      </w:r>
      <w:r w:rsidRPr="007317F2">
        <w:rPr>
          <w:sz w:val="24"/>
          <w:szCs w:val="24"/>
        </w:rPr>
        <w:lastRenderedPageBreak/>
        <w:t>de obra (900 jornales por hectárea); 4) versatilidad de los frutos para su consumo y 5) grandes posibilidades de exportación.</w:t>
      </w:r>
    </w:p>
    <w:p w:rsidR="002B7165" w:rsidRPr="007317F2" w:rsidRDefault="002B7165" w:rsidP="00C33601">
      <w:pPr>
        <w:pStyle w:val="Textoindependiente"/>
        <w:rPr>
          <w:bCs/>
        </w:rPr>
      </w:pPr>
      <w:r w:rsidRPr="007317F2">
        <w:rPr>
          <w:bCs/>
          <w:lang w:val="es-ES"/>
        </w:rPr>
        <w:tab/>
      </w:r>
      <w:r w:rsidRPr="007317F2">
        <w:rPr>
          <w:bCs/>
        </w:rPr>
        <w:t>Las interrogantes que se enumeran a cont</w:t>
      </w:r>
      <w:r>
        <w:rPr>
          <w:bCs/>
        </w:rPr>
        <w:t>inuación, representan las dudas</w:t>
      </w:r>
      <w:r w:rsidRPr="007317F2">
        <w:rPr>
          <w:bCs/>
        </w:rPr>
        <w:t xml:space="preserve"> más comunes que se han hecho los investigadores que estudian las transnacionales para la producción, no sólo de la familia a las que pertenecen las principales frutas de exportación, sino incluso del grupo de hortalizas (jitomate, chile verde, papa, melón, cebolla), que destacan por crecientes inversiones de capital extranjero para su producción.</w:t>
      </w:r>
    </w:p>
    <w:p w:rsidR="002B7165" w:rsidRPr="007317F2" w:rsidRDefault="002B7165" w:rsidP="00C33601">
      <w:pPr>
        <w:pStyle w:val="Textoindependiente"/>
        <w:rPr>
          <w:bCs/>
        </w:rPr>
      </w:pPr>
      <w:r w:rsidRPr="007317F2">
        <w:rPr>
          <w:bCs/>
        </w:rPr>
        <w:tab/>
        <w:t>¿Por qué las empresas transnacionales deciden invertir en una determinada región y no en otra?</w:t>
      </w:r>
    </w:p>
    <w:p w:rsidR="002B7165" w:rsidRPr="007317F2" w:rsidRDefault="002B7165" w:rsidP="00C33601">
      <w:pPr>
        <w:pStyle w:val="Textoindependiente"/>
        <w:rPr>
          <w:bCs/>
        </w:rPr>
      </w:pPr>
      <w:r w:rsidRPr="007317F2">
        <w:rPr>
          <w:bCs/>
        </w:rPr>
        <w:tab/>
        <w:t>¿Cuáles son y en qué consisten las estrategias que emplean las transnacionales para producir un determinado cultivo?</w:t>
      </w:r>
    </w:p>
    <w:p w:rsidR="002B7165" w:rsidRPr="007317F2" w:rsidRDefault="002B7165" w:rsidP="00C33601">
      <w:pPr>
        <w:pStyle w:val="Textoindependiente"/>
        <w:rPr>
          <w:bCs/>
        </w:rPr>
      </w:pPr>
      <w:r w:rsidRPr="007317F2">
        <w:rPr>
          <w:bCs/>
        </w:rPr>
        <w:tab/>
      </w:r>
      <w:r>
        <w:rPr>
          <w:bCs/>
        </w:rPr>
        <w:t>¿Qué tanto y de qué</w:t>
      </w:r>
      <w:r w:rsidRPr="007317F2">
        <w:rPr>
          <w:bCs/>
        </w:rPr>
        <w:t xml:space="preserve"> forma las localidades o regiones con sus productores locales y sus condiciones naturales o geográficas (clima, suelo y agua) determinan la instalación de empresas?</w:t>
      </w:r>
    </w:p>
    <w:p w:rsidR="002B7165" w:rsidRPr="007317F2" w:rsidRDefault="002B7165" w:rsidP="00C33601">
      <w:pPr>
        <w:pStyle w:val="Textoindependiente"/>
        <w:rPr>
          <w:bCs/>
        </w:rPr>
      </w:pPr>
      <w:r w:rsidRPr="007317F2">
        <w:rPr>
          <w:bCs/>
        </w:rPr>
        <w:tab/>
        <w:t xml:space="preserve">Esta última pregunta, es de las más clásicas de todas, pues las trasnacionales sin lugar a dudas, invierten en estas localidades, porque aprovechan las ventajas comparativas que ofrecen estos espacios naturales que permiten reproducir el capital trasnacional localmente y consolidar su nicho de mercado al que exportan.    </w:t>
      </w:r>
    </w:p>
    <w:p w:rsidR="002B7165" w:rsidRPr="007317F2" w:rsidRDefault="002B7165" w:rsidP="00C33601">
      <w:pPr>
        <w:pStyle w:val="Textoindependiente"/>
        <w:rPr>
          <w:bCs/>
        </w:rPr>
      </w:pPr>
      <w:r w:rsidRPr="007317F2">
        <w:rPr>
          <w:bCs/>
        </w:rPr>
        <w:t xml:space="preserve">            De estas preguntas muy generales, se ubica la problemática en su justa dimensión, pues sin lugar a dudas, estas</w:t>
      </w:r>
      <w:r w:rsidRPr="007317F2">
        <w:t xml:space="preserve"> empresas transnacionales juegan un papel determinante en la acotación de espacios, regiones y territorios, al hacer que éstas sean protagonistas de la cadena de valor total. Estas transnacionales comandan estos procesos de producción porque </w:t>
      </w:r>
      <w:r w:rsidRPr="007317F2">
        <w:rPr>
          <w:b/>
          <w:bCs/>
          <w:i/>
          <w:iCs/>
        </w:rPr>
        <w:t>cuentan con el know how</w:t>
      </w:r>
      <w:r w:rsidRPr="007317F2">
        <w:t xml:space="preserve"> para controlar integralmente todas las fases, desde la producción, comercialización y distribución.</w:t>
      </w:r>
    </w:p>
    <w:p w:rsidR="002B7165" w:rsidRPr="007317F2" w:rsidRDefault="002B7165" w:rsidP="00C33601">
      <w:pPr>
        <w:jc w:val="both"/>
      </w:pPr>
      <w:r w:rsidRPr="007317F2">
        <w:rPr>
          <w:lang w:val="es-ES_tradnl"/>
        </w:rPr>
        <w:tab/>
      </w:r>
      <w:r w:rsidRPr="007317F2">
        <w:t>El objetivo consistirá en analizar en qué condiciones estas empresas operan en el municipio los Reyes y cómo se configura una región económica a partir de los patrones productivos que ellas imponen y que hace posible su reproducción local y global. También se analiza, cómo a inicios de los noventa, capitales Chilenos y estadounidenses establecen una serie de mecanismos de contratación de parcelas para que los productores locales cultiven la zarzamora, estableciendo éstas empresas un seguro de compromiso que les garantice que el cultivo, cumpla con las exigencias de calidad para poder ser comercializado en los Estados Unidos de América.</w:t>
      </w:r>
    </w:p>
    <w:p w:rsidR="002B7165" w:rsidRPr="007317F2" w:rsidRDefault="002B7165" w:rsidP="00C33601">
      <w:pPr>
        <w:pStyle w:val="Textoindependiente2"/>
        <w:spacing w:line="240" w:lineRule="auto"/>
        <w:rPr>
          <w:sz w:val="24"/>
          <w:szCs w:val="24"/>
        </w:rPr>
      </w:pPr>
      <w:r>
        <w:rPr>
          <w:sz w:val="24"/>
          <w:szCs w:val="24"/>
        </w:rPr>
        <w:tab/>
        <w:t>Sin lugar a dudas,  e</w:t>
      </w:r>
      <w:r w:rsidRPr="007317F2">
        <w:rPr>
          <w:sz w:val="24"/>
          <w:szCs w:val="24"/>
        </w:rPr>
        <w:t xml:space="preserve">l control que ejercen las transnacionales sobre las condiciones que priman desde el cultivo, cosecha, y comercialización de la zarzamora en el ámbito local/global, se expresa en las cuotas de poder que ejercen éstas para satisfacer un determinado nicho de mercado estadounidense.       </w:t>
      </w:r>
    </w:p>
    <w:p w:rsidR="002B7165" w:rsidRPr="007317F2" w:rsidRDefault="002B7165" w:rsidP="00C33601">
      <w:pPr>
        <w:pStyle w:val="Textoindependiente2"/>
        <w:spacing w:line="240" w:lineRule="auto"/>
        <w:rPr>
          <w:sz w:val="24"/>
          <w:szCs w:val="24"/>
        </w:rPr>
      </w:pPr>
      <w:r w:rsidRPr="007317F2">
        <w:rPr>
          <w:sz w:val="24"/>
          <w:szCs w:val="24"/>
        </w:rPr>
        <w:tab/>
        <w:t xml:space="preserve">La conjetura que sustenta este trabajo, consistirá en explicar que estos capitales sólo aprovechan las condiciones naturales que ofrece la región, sin originar una sinergia local que provoque efectos multiplicadores en el empleo, inversión e ingresos para todos los pobladores que indirectamente dependen de alguna forma de la siembra y cosecha de la zarzamora. </w:t>
      </w:r>
    </w:p>
    <w:p w:rsidR="002B7165" w:rsidRPr="007317F2" w:rsidRDefault="002B7165" w:rsidP="00C33601">
      <w:pPr>
        <w:pStyle w:val="Textoindependiente2"/>
        <w:spacing w:line="240" w:lineRule="auto"/>
        <w:rPr>
          <w:bCs/>
          <w:sz w:val="24"/>
          <w:szCs w:val="24"/>
        </w:rPr>
      </w:pPr>
      <w:r w:rsidRPr="007317F2">
        <w:rPr>
          <w:sz w:val="24"/>
          <w:szCs w:val="24"/>
        </w:rPr>
        <w:tab/>
      </w:r>
      <w:r w:rsidRPr="007317F2">
        <w:rPr>
          <w:bCs/>
          <w:sz w:val="24"/>
          <w:szCs w:val="24"/>
        </w:rPr>
        <w:t xml:space="preserve">Existen varios estudios, sobre los efectos que provoca el cultivo de la agricultura hortofrutícola a través del dominio que ejercen las transnacionales,  éstos trabajos de investigación coinciden en que éstas empresas afectan el medio ambiente por la utilización excesiva de agroquímicos, además de una  sobreexplotación excesiva del suelo y de los mantos acuíferos que hace que estas empresas busquen otras regiones para localizar sus </w:t>
      </w:r>
      <w:r w:rsidRPr="007317F2">
        <w:rPr>
          <w:bCs/>
          <w:sz w:val="24"/>
          <w:szCs w:val="24"/>
        </w:rPr>
        <w:lastRenderedPageBreak/>
        <w:t xml:space="preserve">inversiones, por lo que su estadía de éstas en un lugar determinado, depende exclusivamente del límite de tiempo que soporte la explotación del recurso suelo y agua. </w:t>
      </w:r>
    </w:p>
    <w:p w:rsidR="002B7165" w:rsidRPr="007317F2" w:rsidRDefault="002B7165" w:rsidP="00C33601">
      <w:pPr>
        <w:pStyle w:val="Textoindependiente2"/>
        <w:spacing w:line="240" w:lineRule="auto"/>
        <w:rPr>
          <w:bCs/>
          <w:sz w:val="24"/>
          <w:szCs w:val="24"/>
        </w:rPr>
      </w:pPr>
      <w:r w:rsidRPr="007317F2">
        <w:rPr>
          <w:bCs/>
          <w:sz w:val="24"/>
          <w:szCs w:val="24"/>
        </w:rPr>
        <w:tab/>
        <w:t xml:space="preserve">En cuanto al beneficio económico que reportan estas empresas; es que al pagarse salarios bajos y precarios no se incrementa el nivel de vida de la población local, además se generan otros problemas sociales debido a que la mano de obra que se ocupa para la siembra y cosecha  proviene de otros estados de </w:t>
      </w:r>
      <w:smartTag w:uri="urn:schemas-microsoft-com:office:smarttags" w:element="PersonName">
        <w:smartTagPr>
          <w:attr w:name="ProductID" w:val="la Rep￺blica"/>
        </w:smartTagPr>
        <w:r w:rsidRPr="007317F2">
          <w:rPr>
            <w:bCs/>
            <w:sz w:val="24"/>
            <w:szCs w:val="24"/>
          </w:rPr>
          <w:t>la República</w:t>
        </w:r>
      </w:smartTag>
      <w:r w:rsidRPr="007317F2">
        <w:rPr>
          <w:bCs/>
          <w:sz w:val="24"/>
          <w:szCs w:val="24"/>
        </w:rPr>
        <w:t xml:space="preserve"> y que al asentarse en lugares que carecen de las mínimas condiciones de infraestructura social, se originan problemas de arraigo social y delincuencia. </w:t>
      </w:r>
    </w:p>
    <w:p w:rsidR="002B7165" w:rsidRPr="007317F2" w:rsidRDefault="002B7165" w:rsidP="00C33601">
      <w:pPr>
        <w:pStyle w:val="Textoindependiente2"/>
        <w:spacing w:line="240" w:lineRule="auto"/>
      </w:pPr>
      <w:r>
        <w:rPr>
          <w:sz w:val="24"/>
          <w:szCs w:val="24"/>
        </w:rPr>
        <w:tab/>
        <w:t xml:space="preserve">Pero volviendo a la interrogante planteada al inicio </w:t>
      </w:r>
      <w:r>
        <w:t xml:space="preserve">de </w:t>
      </w:r>
      <w:r w:rsidRPr="007317F2">
        <w:t xml:space="preserve">por qué las transnacionales son los agentes protagónicos que dinamizan y le dan viabilidad al proyecto de una patrón agroexportador basado en el cultivo de productos que tienen una demanda internacional. </w:t>
      </w:r>
      <w:r>
        <w:t xml:space="preserve">El abordaje para contestar dicho cuestionamiento parte de la necesidad de configurar una  región </w:t>
      </w:r>
      <w:r w:rsidRPr="007317F2">
        <w:t xml:space="preserve">a partir de los patrones productivos que definen las empresas agroindustriales (transnacionales) </w:t>
      </w:r>
      <w:r>
        <w:t xml:space="preserve">y que les permite </w:t>
      </w:r>
      <w:r w:rsidRPr="007317F2">
        <w:t xml:space="preserve">reproducirse local y globalmente. </w:t>
      </w:r>
    </w:p>
    <w:p w:rsidR="002B7165" w:rsidRPr="007317F2" w:rsidRDefault="002B7165" w:rsidP="00C33601">
      <w:pPr>
        <w:pStyle w:val="Textoindependiente"/>
        <w:rPr>
          <w:bCs/>
        </w:rPr>
      </w:pPr>
      <w:r w:rsidRPr="007317F2">
        <w:rPr>
          <w:bCs/>
        </w:rPr>
        <w:tab/>
      </w:r>
      <w:r>
        <w:rPr>
          <w:bCs/>
        </w:rPr>
        <w:t>La metodología para abordar el estudio de la zarzamora se sustenta a partir de un estudio sobre la agroindustria del</w:t>
      </w:r>
      <w:r w:rsidRPr="007317F2">
        <w:rPr>
          <w:bCs/>
        </w:rPr>
        <w:t xml:space="preserve"> limón </w:t>
      </w:r>
      <w:r>
        <w:rPr>
          <w:bCs/>
        </w:rPr>
        <w:t xml:space="preserve">llevado a cabo por </w:t>
      </w:r>
      <w:r w:rsidRPr="007317F2">
        <w:rPr>
          <w:bCs/>
        </w:rPr>
        <w:t>(Merchand, M 2007),</w:t>
      </w:r>
      <w:r>
        <w:rPr>
          <w:bCs/>
        </w:rPr>
        <w:t xml:space="preserve"> que </w:t>
      </w:r>
      <w:r w:rsidRPr="007317F2">
        <w:rPr>
          <w:bCs/>
        </w:rPr>
        <w:t xml:space="preserve">ha permitido establecer los criterios </w:t>
      </w:r>
      <w:r>
        <w:rPr>
          <w:bCs/>
        </w:rPr>
        <w:t xml:space="preserve">epistemológicos </w:t>
      </w:r>
      <w:r w:rsidRPr="007317F2">
        <w:rPr>
          <w:bCs/>
        </w:rPr>
        <w:t>por dónde</w:t>
      </w:r>
      <w:r>
        <w:rPr>
          <w:bCs/>
        </w:rPr>
        <w:t xml:space="preserve"> empezar y </w:t>
      </w:r>
      <w:r w:rsidRPr="007317F2">
        <w:rPr>
          <w:bCs/>
        </w:rPr>
        <w:t>comprender la interacción entre el nivel regional, nacional e internacional y que explican en parte, el caso de la zarzamora. Estos cuatro niveles que interactúan, son: producción agrícola, comercialización, industrialización y mercado internacional (figura 1).</w:t>
      </w: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r>
        <w:rPr>
          <w:sz w:val="22"/>
          <w:lang w:val="es-ES_tradnl"/>
        </w:rPr>
        <w:t>Figura 1</w:t>
      </w: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r>
        <w:rPr>
          <w:sz w:val="22"/>
          <w:lang w:val="es-ES_tradnl"/>
        </w:rPr>
        <w:t>Instancias que interactúan conjuntamente</w:t>
      </w:r>
    </w:p>
    <w:p w:rsidR="002B7165" w:rsidRDefault="005318F1"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center"/>
        <w:rPr>
          <w:sz w:val="22"/>
          <w:lang w:val="es-ES_tradnl"/>
        </w:rPr>
      </w:pPr>
      <w:r w:rsidRPr="005318F1">
        <w:rPr>
          <w:noProof/>
          <w:sz w:val="22"/>
        </w:rPr>
        <w:pict>
          <v:rect id="_x0000_s1094" style="position:absolute;left:0;text-align:left;margin-left:-9pt;margin-top:4pt;width:450pt;height:247.8pt;z-index:251670528"/>
        </w:pict>
      </w:r>
      <w:r w:rsidRPr="005318F1">
        <w:rPr>
          <w:noProof/>
          <w:sz w:val="22"/>
        </w:rPr>
        <w:pict>
          <v:shapetype id="_x0000_t202" coordsize="21600,21600" o:spt="202" path="m,l,21600r21600,l21600,xe">
            <v:stroke joinstyle="miter"/>
            <v:path gradientshapeok="t" o:connecttype="rect"/>
          </v:shapetype>
          <v:shape id="_x0000_s1100" type="#_x0000_t202" style="position:absolute;left:0;text-align:left;margin-left:137pt;margin-top:12.75pt;width:154.75pt;height:50.4pt;z-index:251676672" filled="f" stroked="f">
            <v:textbox style="mso-next-textbox:#_x0000_s1100">
              <w:txbxContent>
                <w:p w:rsidR="00941B88" w:rsidRDefault="00941B88" w:rsidP="002B7165">
                  <w:pPr>
                    <w:jc w:val="center"/>
                    <w:rPr>
                      <w:rFonts w:ascii="Arial" w:hAnsi="Arial" w:cs="Arial"/>
                      <w:i/>
                      <w:iCs/>
                      <w:sz w:val="18"/>
                      <w:lang w:val="es-ES_tradnl"/>
                    </w:rPr>
                  </w:pPr>
                  <w:r>
                    <w:rPr>
                      <w:rFonts w:ascii="Arial" w:hAnsi="Arial" w:cs="Arial"/>
                      <w:sz w:val="18"/>
                      <w:lang w:val="es-ES_tradnl"/>
                    </w:rPr>
                    <w:t>Mercado internacional (empresas exportadoras de zarzamora congelada y fresca</w:t>
                  </w:r>
                  <w:r>
                    <w:rPr>
                      <w:rFonts w:ascii="Arial" w:hAnsi="Arial" w:cs="Arial"/>
                      <w:b/>
                      <w:bCs/>
                      <w:sz w:val="18"/>
                    </w:rPr>
                    <w:t xml:space="preserve"> broker´s</w:t>
                  </w:r>
                  <w:r>
                    <w:rPr>
                      <w:rFonts w:ascii="Arial" w:hAnsi="Arial" w:cs="Arial"/>
                      <w:sz w:val="18"/>
                    </w:rPr>
                    <w:t xml:space="preserve"> )</w:t>
                  </w:r>
                </w:p>
              </w:txbxContent>
            </v:textbox>
          </v:shape>
        </w:pict>
      </w: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p>
    <w:p w:rsidR="002B7165" w:rsidRDefault="005318F1"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r w:rsidRPr="005318F1">
        <w:rPr>
          <w:noProof/>
          <w:sz w:val="22"/>
        </w:rPr>
        <w:pict>
          <v:line id="_x0000_s1103" style="position:absolute;left:0;text-align:left;z-index:251679744" from="375pt,-.3pt" to="375pt,57.3pt">
            <v:stroke endarrow="block"/>
          </v:line>
        </w:pict>
      </w:r>
      <w:r w:rsidRPr="005318F1">
        <w:rPr>
          <w:noProof/>
          <w:sz w:val="22"/>
        </w:rPr>
        <w:pict>
          <v:line id="_x0000_s1101" style="position:absolute;left:0;text-align:left;z-index:251677696" from="60pt,14.25pt" to="60pt,57.45pt">
            <v:stroke endarrow="block"/>
          </v:line>
        </w:pict>
      </w:r>
      <w:r w:rsidRPr="005318F1">
        <w:rPr>
          <w:noProof/>
          <w:sz w:val="22"/>
        </w:rPr>
        <w:pict>
          <v:line id="_x0000_s1102" style="position:absolute;left:0;text-align:left;z-index:251678720" from="63.75pt,14.25pt" to="373.3pt,14.25pt"/>
        </w:pict>
      </w: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p>
    <w:p w:rsidR="002B7165" w:rsidRDefault="005318F1"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r w:rsidRPr="005318F1">
        <w:rPr>
          <w:noProof/>
          <w:sz w:val="22"/>
        </w:rPr>
        <w:pict>
          <v:line id="_x0000_s1107" style="position:absolute;left:0;text-align:left;flip:y;z-index:251683840" from="225pt,1.5pt" to="225pt,28.5pt">
            <v:stroke endarrow="block"/>
          </v:line>
        </w:pict>
      </w: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p>
    <w:p w:rsidR="002B7165" w:rsidRDefault="005318F1"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r w:rsidRPr="005318F1">
        <w:rPr>
          <w:noProof/>
          <w:sz w:val="22"/>
        </w:rPr>
        <w:pict>
          <v:shape id="_x0000_s1096" type="#_x0000_t202" style="position:absolute;left:0;text-align:left;margin-left:135pt;margin-top:12pt;width:150.75pt;height:1in;z-index:251672576" filled="f" stroked="f">
            <v:textbox style="mso-next-textbox:#_x0000_s1096">
              <w:txbxContent>
                <w:p w:rsidR="00941B88" w:rsidRDefault="00941B88" w:rsidP="002B7165">
                  <w:pPr>
                    <w:jc w:val="center"/>
                    <w:rPr>
                      <w:rFonts w:ascii="Arial" w:hAnsi="Arial" w:cs="Arial"/>
                      <w:sz w:val="16"/>
                    </w:rPr>
                  </w:pPr>
                  <w:r>
                    <w:rPr>
                      <w:rFonts w:ascii="Arial" w:hAnsi="Arial" w:cs="Arial"/>
                      <w:sz w:val="18"/>
                    </w:rPr>
                    <w:t xml:space="preserve">          </w:t>
                  </w:r>
                  <w:r>
                    <w:rPr>
                      <w:rFonts w:ascii="Arial" w:hAnsi="Arial" w:cs="Arial"/>
                      <w:sz w:val="16"/>
                    </w:rPr>
                    <w:t>REGION</w:t>
                  </w:r>
                </w:p>
                <w:p w:rsidR="00941B88" w:rsidRDefault="00941B88" w:rsidP="002B7165">
                  <w:pPr>
                    <w:jc w:val="center"/>
                    <w:rPr>
                      <w:rFonts w:ascii="Arial" w:hAnsi="Arial" w:cs="Arial"/>
                      <w:smallCaps/>
                      <w:sz w:val="16"/>
                    </w:rPr>
                  </w:pPr>
                  <w:r>
                    <w:rPr>
                      <w:rFonts w:ascii="Arial" w:hAnsi="Arial" w:cs="Arial"/>
                      <w:smallCaps/>
                      <w:sz w:val="16"/>
                    </w:rPr>
                    <w:t xml:space="preserve">              configuracion productiva</w:t>
                  </w:r>
                </w:p>
                <w:p w:rsidR="00941B88" w:rsidRDefault="00941B88" w:rsidP="002B7165">
                  <w:pPr>
                    <w:jc w:val="center"/>
                    <w:rPr>
                      <w:rFonts w:ascii="Arial" w:hAnsi="Arial" w:cs="Arial"/>
                      <w:sz w:val="18"/>
                    </w:rPr>
                  </w:pPr>
                  <w:r>
                    <w:rPr>
                      <w:rFonts w:ascii="Arial" w:hAnsi="Arial" w:cs="Arial"/>
                      <w:sz w:val="16"/>
                    </w:rPr>
                    <w:t xml:space="preserve">             (especialización productiva a partir de la zarzamora)</w:t>
                  </w:r>
                </w:p>
              </w:txbxContent>
            </v:textbox>
          </v:shape>
        </w:pict>
      </w:r>
      <w:r w:rsidRPr="005318F1">
        <w:rPr>
          <w:noProof/>
          <w:sz w:val="22"/>
        </w:rPr>
        <w:pict>
          <v:rect id="_x0000_s1095" style="position:absolute;left:0;text-align:left;margin-left:153pt;margin-top:12pt;width:154.75pt;height:64.8pt;z-index:251671552"/>
        </w:pict>
      </w:r>
      <w:r w:rsidRPr="005318F1">
        <w:rPr>
          <w:noProof/>
          <w:sz w:val="22"/>
        </w:rPr>
        <w:pict>
          <v:shape id="_x0000_s1097" type="#_x0000_t202" style="position:absolute;left:0;text-align:left;margin-left:0;margin-top:13.8pt;width:136.8pt;height:79.2pt;z-index:251673600" filled="f" stroked="f">
            <v:textbox style="mso-next-textbox:#_x0000_s1097">
              <w:txbxContent>
                <w:p w:rsidR="00941B88" w:rsidRDefault="00941B88" w:rsidP="002B7165">
                  <w:pPr>
                    <w:rPr>
                      <w:rFonts w:ascii="Arial" w:hAnsi="Arial" w:cs="Arial"/>
                      <w:sz w:val="18"/>
                    </w:rPr>
                  </w:pPr>
                  <w:r>
                    <w:rPr>
                      <w:rFonts w:ascii="Arial" w:hAnsi="Arial" w:cs="Arial"/>
                      <w:sz w:val="18"/>
                    </w:rPr>
                    <w:t>Producción agrícola</w:t>
                  </w:r>
                </w:p>
                <w:p w:rsidR="00941B88" w:rsidRDefault="00941B88" w:rsidP="002B7165">
                  <w:pPr>
                    <w:rPr>
                      <w:sz w:val="18"/>
                    </w:rPr>
                  </w:pPr>
                  <w:r>
                    <w:rPr>
                      <w:rFonts w:ascii="Arial" w:hAnsi="Arial" w:cs="Arial"/>
                      <w:sz w:val="18"/>
                    </w:rPr>
                    <w:t>(ejidatarios, propietarios privados y jornaleros)</w:t>
                  </w:r>
                </w:p>
              </w:txbxContent>
            </v:textbox>
          </v:shape>
        </w:pict>
      </w:r>
      <w:r w:rsidRPr="005318F1">
        <w:rPr>
          <w:noProof/>
          <w:sz w:val="22"/>
        </w:rPr>
        <w:pict>
          <v:shape id="_x0000_s1098" type="#_x0000_t202" style="position:absolute;left:0;text-align:left;margin-left:311.4pt;margin-top:8.4pt;width:129.6pt;height:79.65pt;z-index:251674624" filled="f" stroked="f">
            <v:textbox style="mso-next-textbox:#_x0000_s1098">
              <w:txbxContent>
                <w:p w:rsidR="00941B88" w:rsidRDefault="00941B88" w:rsidP="002B7165">
                  <w:pPr>
                    <w:rPr>
                      <w:rFonts w:ascii="Arial" w:hAnsi="Arial" w:cs="Arial"/>
                      <w:sz w:val="18"/>
                    </w:rPr>
                  </w:pPr>
                  <w:r>
                    <w:rPr>
                      <w:rFonts w:ascii="Arial" w:hAnsi="Arial" w:cs="Arial"/>
                      <w:sz w:val="18"/>
                    </w:rPr>
                    <w:t>Comercialización (“coyotes”, brokers, empacadores locales y bodegas)</w:t>
                  </w:r>
                </w:p>
              </w:txbxContent>
            </v:textbox>
          </v:shape>
        </w:pict>
      </w: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r>
        <w:rPr>
          <w:sz w:val="22"/>
          <w:lang w:val="es-ES_tradnl"/>
        </w:rPr>
        <w:t>*División Internacional del trabajo (DIT)</w:t>
      </w:r>
    </w:p>
    <w:p w:rsidR="002B7165" w:rsidRDefault="002B7165"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lang w:val="es-ES_tradnl"/>
        </w:rPr>
      </w:pPr>
      <w:r>
        <w:rPr>
          <w:sz w:val="22"/>
          <w:lang w:val="es-ES_tradnl"/>
        </w:rPr>
        <w:lastRenderedPageBreak/>
        <w:t xml:space="preserve">   Sistema Monetario Internacional (SMI)</w:t>
      </w:r>
    </w:p>
    <w:p w:rsidR="002B7165" w:rsidRDefault="005318F1" w:rsidP="00C33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9"/>
        <w:jc w:val="both"/>
        <w:rPr>
          <w:sz w:val="22"/>
        </w:rPr>
      </w:pPr>
      <w:r w:rsidRPr="005318F1">
        <w:rPr>
          <w:noProof/>
          <w:sz w:val="22"/>
        </w:rPr>
        <w:pict>
          <v:line id="_x0000_s1106" style="position:absolute;left:0;text-align:left;flip:y;z-index:251682816" from="378pt,10.45pt" to="378pt,104.05pt">
            <v:stroke endarrow="block"/>
          </v:line>
        </w:pict>
      </w:r>
      <w:r w:rsidRPr="005318F1">
        <w:rPr>
          <w:noProof/>
          <w:sz w:val="22"/>
        </w:rPr>
        <w:pict>
          <v:line id="_x0000_s1105" style="position:absolute;left:0;text-align:left;flip:y;z-index:251681792" from="63pt,7.7pt" to="63pt,101.3pt">
            <v:stroke endarrow="block"/>
          </v:line>
        </w:pict>
      </w:r>
      <w:r w:rsidR="002B7165">
        <w:rPr>
          <w:sz w:val="22"/>
          <w:lang w:val="es-ES_tradnl"/>
        </w:rPr>
        <w:t xml:space="preserve"> </w:t>
      </w:r>
      <w:r w:rsidR="002B7165">
        <w:rPr>
          <w:sz w:val="22"/>
        </w:rPr>
        <w:t xml:space="preserve">Figura 1 muestra los entrelazamientos entre estas cuatro </w:t>
      </w:r>
    </w:p>
    <w:p w:rsidR="002B7165" w:rsidRDefault="002B7165" w:rsidP="00C33601">
      <w:pPr>
        <w:pStyle w:val="Textoindependiente3"/>
        <w:rPr>
          <w:iCs/>
          <w:sz w:val="22"/>
        </w:rPr>
      </w:pPr>
    </w:p>
    <w:p w:rsidR="002B7165" w:rsidRDefault="005318F1" w:rsidP="00C33601">
      <w:pPr>
        <w:pStyle w:val="Textoindependiente3"/>
        <w:rPr>
          <w:iCs/>
          <w:sz w:val="22"/>
        </w:rPr>
      </w:pPr>
      <w:r w:rsidRPr="005318F1">
        <w:rPr>
          <w:iCs/>
          <w:noProof/>
          <w:sz w:val="22"/>
        </w:rPr>
        <w:pict>
          <v:line id="_x0000_s1108" style="position:absolute;left:0;text-align:left;z-index:251684864" from="225pt,9.3pt" to="225pt,45.3pt">
            <v:stroke endarrow="block"/>
          </v:line>
        </w:pict>
      </w:r>
    </w:p>
    <w:p w:rsidR="002B7165" w:rsidRDefault="002B7165" w:rsidP="00C33601">
      <w:pPr>
        <w:pStyle w:val="Textoindependiente3"/>
        <w:rPr>
          <w:iCs/>
          <w:sz w:val="22"/>
        </w:rPr>
      </w:pPr>
    </w:p>
    <w:p w:rsidR="002B7165" w:rsidRDefault="005318F1" w:rsidP="00C33601">
      <w:pPr>
        <w:pStyle w:val="Textoindependiente3"/>
        <w:rPr>
          <w:iCs/>
          <w:sz w:val="22"/>
        </w:rPr>
      </w:pPr>
      <w:r w:rsidRPr="005318F1">
        <w:rPr>
          <w:noProof/>
          <w:sz w:val="22"/>
        </w:rPr>
        <w:pict>
          <v:shape id="_x0000_s1099" type="#_x0000_t202" style="position:absolute;left:0;text-align:left;margin-left:126pt;margin-top:2.45pt;width:196.4pt;height:1in;z-index:251675648" filled="f" stroked="f">
            <v:textbox style="mso-next-textbox:#_x0000_s1099">
              <w:txbxContent>
                <w:p w:rsidR="00941B88" w:rsidRDefault="00941B88" w:rsidP="002B7165">
                  <w:pPr>
                    <w:rPr>
                      <w:sz w:val="18"/>
                    </w:rPr>
                  </w:pPr>
                </w:p>
                <w:p w:rsidR="00941B88" w:rsidRDefault="00941B88" w:rsidP="002B7165">
                  <w:pPr>
                    <w:rPr>
                      <w:sz w:val="18"/>
                    </w:rPr>
                  </w:pPr>
                </w:p>
                <w:p w:rsidR="00941B88" w:rsidRDefault="00941B88" w:rsidP="002B7165">
                  <w:pPr>
                    <w:jc w:val="center"/>
                    <w:rPr>
                      <w:rFonts w:ascii="Arial" w:hAnsi="Arial" w:cs="Arial"/>
                      <w:sz w:val="18"/>
                    </w:rPr>
                  </w:pPr>
                  <w:r>
                    <w:rPr>
                      <w:rFonts w:ascii="Arial" w:hAnsi="Arial" w:cs="Arial"/>
                      <w:sz w:val="18"/>
                    </w:rPr>
                    <w:t>Producción industrial (hortifrut, berries México, Driscoll´s agroindustrial el molinito, etc).</w:t>
                  </w:r>
                </w:p>
              </w:txbxContent>
            </v:textbox>
          </v:shape>
        </w:pict>
      </w:r>
    </w:p>
    <w:p w:rsidR="002B7165" w:rsidRDefault="002B7165" w:rsidP="00C33601">
      <w:pPr>
        <w:pStyle w:val="Textoindependiente3"/>
        <w:rPr>
          <w:iCs/>
          <w:sz w:val="22"/>
        </w:rPr>
      </w:pPr>
    </w:p>
    <w:p w:rsidR="002B7165" w:rsidRDefault="002B7165" w:rsidP="00C33601">
      <w:pPr>
        <w:pStyle w:val="Textoindependiente3"/>
        <w:rPr>
          <w:iCs/>
          <w:sz w:val="22"/>
        </w:rPr>
      </w:pPr>
    </w:p>
    <w:p w:rsidR="002B7165" w:rsidRDefault="002B7165" w:rsidP="00C33601">
      <w:pPr>
        <w:pStyle w:val="Textoindependiente3"/>
        <w:rPr>
          <w:iCs/>
          <w:sz w:val="22"/>
        </w:rPr>
      </w:pPr>
    </w:p>
    <w:p w:rsidR="002B7165" w:rsidRDefault="005318F1" w:rsidP="00C33601">
      <w:pPr>
        <w:pStyle w:val="Textoindependiente3"/>
        <w:rPr>
          <w:b/>
          <w:bCs/>
          <w:sz w:val="22"/>
        </w:rPr>
      </w:pPr>
      <w:r w:rsidRPr="005318F1">
        <w:rPr>
          <w:noProof/>
          <w:sz w:val="22"/>
        </w:rPr>
        <w:pict>
          <v:line id="_x0000_s1104" style="position:absolute;left:0;text-align:left;z-index:251680768" from="68pt,8.55pt" to="383.5pt,8.55pt"/>
        </w:pict>
      </w:r>
      <w:r w:rsidR="002B7165">
        <w:rPr>
          <w:sz w:val="22"/>
        </w:rPr>
        <w:t>Fuente: elaboración propia.</w:t>
      </w:r>
    </w:p>
    <w:p w:rsidR="002B7165" w:rsidRDefault="002B7165" w:rsidP="00C33601">
      <w:pPr>
        <w:pStyle w:val="Textoindependiente"/>
        <w:rPr>
          <w:b/>
          <w:bCs/>
          <w:sz w:val="22"/>
        </w:rPr>
      </w:pPr>
    </w:p>
    <w:p w:rsidR="002B7165" w:rsidRDefault="002B7165" w:rsidP="00C33601">
      <w:pPr>
        <w:pStyle w:val="Textoindependiente"/>
        <w:rPr>
          <w:b/>
          <w:bCs/>
          <w:sz w:val="22"/>
        </w:rPr>
      </w:pPr>
    </w:p>
    <w:p w:rsidR="002B7165" w:rsidRPr="007317F2" w:rsidRDefault="002B7165" w:rsidP="00C33601">
      <w:pPr>
        <w:pStyle w:val="Textoindependiente"/>
      </w:pPr>
      <w:r w:rsidRPr="007317F2">
        <w:t>Los integrantes de estos cuatro niveles, son los agentes productivos que se enumeran:</w:t>
      </w:r>
    </w:p>
    <w:p w:rsidR="002B7165" w:rsidRPr="007317F2" w:rsidRDefault="002B7165" w:rsidP="00C33601">
      <w:pPr>
        <w:pStyle w:val="Textoindependiente"/>
      </w:pPr>
    </w:p>
    <w:p w:rsidR="002B7165" w:rsidRPr="007317F2" w:rsidRDefault="002B7165" w:rsidP="00C33601">
      <w:pPr>
        <w:pStyle w:val="Textoindependiente"/>
      </w:pPr>
      <w:r w:rsidRPr="007317F2">
        <w:t>1.-Producción agrícola: ejidatarios, propietarios privados, jornaleros.</w:t>
      </w:r>
    </w:p>
    <w:p w:rsidR="002B7165" w:rsidRPr="007317F2" w:rsidRDefault="002B7165" w:rsidP="00C33601">
      <w:pPr>
        <w:pStyle w:val="Textoindependiente"/>
      </w:pPr>
      <w:r w:rsidRPr="007317F2">
        <w:t>2.-Comercialización: “coyotes”, empacadores locales y bodegas.</w:t>
      </w:r>
    </w:p>
    <w:p w:rsidR="002B7165" w:rsidRPr="007317F2" w:rsidRDefault="002B7165" w:rsidP="00C33601">
      <w:r w:rsidRPr="007317F2">
        <w:t>3.-Producción industrial: hortifrut, berries México, Driscoll´s agroindustrial el molinito, etc)).</w:t>
      </w:r>
    </w:p>
    <w:p w:rsidR="002B7165" w:rsidRPr="007317F2" w:rsidRDefault="002B7165" w:rsidP="00C33601">
      <w:pPr>
        <w:autoSpaceDE w:val="0"/>
        <w:autoSpaceDN w:val="0"/>
        <w:adjustRightInd w:val="0"/>
        <w:rPr>
          <w:iCs/>
        </w:rPr>
      </w:pPr>
      <w:r w:rsidRPr="007317F2">
        <w:t>4.-Mercado internacional: BROKER´S (mercado –EUA- Nueva Zelanda, Chile).</w:t>
      </w:r>
    </w:p>
    <w:p w:rsidR="002B7165" w:rsidRPr="007317F2" w:rsidRDefault="002B7165" w:rsidP="00C33601">
      <w:pPr>
        <w:pStyle w:val="Textoindependiente3"/>
        <w:rPr>
          <w:b/>
          <w:bCs/>
        </w:rPr>
      </w:pPr>
    </w:p>
    <w:p w:rsidR="002B7165" w:rsidRPr="00E44437" w:rsidRDefault="002B7165" w:rsidP="00C33601">
      <w:pPr>
        <w:pStyle w:val="Textoindependiente3"/>
        <w:rPr>
          <w:bCs/>
          <w:color w:val="auto"/>
        </w:rPr>
      </w:pPr>
      <w:r w:rsidRPr="007317F2">
        <w:rPr>
          <w:bCs/>
          <w:color w:val="auto"/>
        </w:rPr>
        <w:tab/>
        <w:t>Como puede notarse en la figura 1, las cuatro instancias se entrelazan, permitiendo observar las  ventajas comparativas que moldean a la región de los Reyes; hecho que plantea, la interrogante: ¿Cuáles son las estrategias que adopta cada instancia para reforzar en sí misma una dinámica que permita la funcionalidad de la región convertirse en un eslabón de la cadena productiva de valor?</w:t>
      </w:r>
    </w:p>
    <w:p w:rsidR="002B7165" w:rsidRPr="007317F2" w:rsidRDefault="002B7165" w:rsidP="00C33601">
      <w:pPr>
        <w:pStyle w:val="Textoindependiente"/>
      </w:pPr>
      <w:r w:rsidRPr="007317F2">
        <w:tab/>
        <w:t>Ahora bien, por lo que se refiere a la delimitación y ubicación  del concepto de región, éste se distingue del espacio por su homogeneidad interna y por la continuidad que presenta, lo que le da su carácter  específico y delimita su extensión (Asuad, 2001).</w:t>
      </w:r>
    </w:p>
    <w:p w:rsidR="002B7165" w:rsidRPr="007317F2" w:rsidRDefault="002B7165" w:rsidP="00C33601">
      <w:pPr>
        <w:pStyle w:val="Textoindependiente"/>
      </w:pPr>
      <w:r w:rsidRPr="007317F2">
        <w:tab/>
        <w:t>De esta manera el concepto de región en forma implícita está referido a un agregado espacial significativo que concentra un polo o punto focal o su área de influencia y que a pesar de sus diferencias de concepción se acepta la existencia de tres tipos de regiones:</w:t>
      </w:r>
    </w:p>
    <w:p w:rsidR="002B7165" w:rsidRPr="007317F2" w:rsidRDefault="002B7165" w:rsidP="00C33601">
      <w:pPr>
        <w:pStyle w:val="Textoindependiente"/>
      </w:pPr>
    </w:p>
    <w:p w:rsidR="002B7165" w:rsidRPr="007317F2" w:rsidRDefault="002B7165" w:rsidP="00C33601">
      <w:pPr>
        <w:pStyle w:val="Textoindependiente"/>
      </w:pPr>
      <w:r w:rsidRPr="007317F2">
        <w:t>1. Regiones homogéneas</w:t>
      </w:r>
    </w:p>
    <w:p w:rsidR="002B7165" w:rsidRPr="007317F2" w:rsidRDefault="002B7165" w:rsidP="00C33601">
      <w:pPr>
        <w:pStyle w:val="Textoindependiente"/>
      </w:pPr>
      <w:r w:rsidRPr="007317F2">
        <w:t>2. Regiones nodales, polares o funcionales</w:t>
      </w:r>
    </w:p>
    <w:p w:rsidR="002B7165" w:rsidRPr="007317F2" w:rsidRDefault="002B7165" w:rsidP="00C33601">
      <w:pPr>
        <w:pStyle w:val="Textoindependiente"/>
      </w:pPr>
      <w:r w:rsidRPr="007317F2">
        <w:t>3. Regiones Plan</w:t>
      </w:r>
    </w:p>
    <w:p w:rsidR="002B7165" w:rsidRPr="007317F2" w:rsidRDefault="002B7165" w:rsidP="00C33601">
      <w:pPr>
        <w:pStyle w:val="Textoindependiente"/>
      </w:pPr>
      <w:r w:rsidRPr="007317F2">
        <w:tab/>
        <w:t>Para el caso del objeto de estudio propuesto</w:t>
      </w:r>
      <w:r>
        <w:t>,</w:t>
      </w:r>
      <w:r w:rsidRPr="007317F2">
        <w:t xml:space="preserve"> nos limitaremos exclusivamente al análisis de las dos primeras acepciones</w:t>
      </w:r>
      <w:r>
        <w:t>,</w:t>
      </w:r>
      <w:r w:rsidRPr="007317F2">
        <w:t xml:space="preserve"> ya que el municipio de los Reyes </w:t>
      </w:r>
      <w:r>
        <w:t>y sus municipios colindantes se caracterizan</w:t>
      </w:r>
      <w:r w:rsidRPr="007317F2">
        <w:t xml:space="preserve"> por las propias condiciones naturales y geográficas que los ubica como una “región relativa”</w:t>
      </w:r>
      <w:r w:rsidRPr="007317F2">
        <w:rPr>
          <w:rStyle w:val="Refdenotaalpie"/>
        </w:rPr>
        <w:footnoteReference w:id="25"/>
      </w:r>
      <w:r w:rsidRPr="007317F2">
        <w:t xml:space="preserve">  con fuerte potencial en los productos frutales. Esta </w:t>
      </w:r>
      <w:r w:rsidRPr="007317F2">
        <w:lastRenderedPageBreak/>
        <w:t xml:space="preserve">“región relativa”  es un  ejemplo de cómo se dinamiza la estructuración espacial del proceso económico de la cadena de producción a partir del cultivo de la zarzamora  (Merchand, </w:t>
      </w:r>
      <w:r>
        <w:t xml:space="preserve"> M </w:t>
      </w:r>
      <w:r w:rsidRPr="007317F2">
        <w:t>2002).</w:t>
      </w:r>
    </w:p>
    <w:p w:rsidR="002B7165" w:rsidRPr="007317F2" w:rsidRDefault="002B7165" w:rsidP="00C33601">
      <w:pPr>
        <w:autoSpaceDE w:val="0"/>
        <w:autoSpaceDN w:val="0"/>
        <w:adjustRightInd w:val="0"/>
        <w:jc w:val="both"/>
      </w:pPr>
      <w:r w:rsidRPr="007317F2">
        <w:tab/>
        <w:t>Para contar con una geo-referencia espacial vale la pena citar un estudio que habla sobre la estrategia para el desarrollo regional del noroeste de Michoacán</w:t>
      </w:r>
      <w:r w:rsidRPr="007317F2">
        <w:rPr>
          <w:rStyle w:val="Refdenotaalpie"/>
        </w:rPr>
        <w:footnoteReference w:id="26"/>
      </w:r>
      <w:r w:rsidRPr="007317F2">
        <w:t>.  El área de estudio está conformada por 22 municipios, quince localizados en la región I y cinco en la parte norte de la región V, con base en la regionalización del gobierno del estado de Michoacán. En la región V llamada (Tepalcatepec), se encuentra los Reyes y otros municipios con las mismas características hidrológicas (Cotija, Peribán, Tingüindín y Tocumbo)</w:t>
      </w:r>
      <w:r w:rsidRPr="007317F2">
        <w:rPr>
          <w:rStyle w:val="Refdenotaalpie"/>
        </w:rPr>
        <w:footnoteReference w:id="27"/>
      </w:r>
      <w:r w:rsidRPr="007317F2">
        <w:t>.</w:t>
      </w:r>
    </w:p>
    <w:p w:rsidR="002B7165" w:rsidRPr="007317F2" w:rsidRDefault="002B7165" w:rsidP="00C33601">
      <w:pPr>
        <w:autoSpaceDE w:val="0"/>
        <w:autoSpaceDN w:val="0"/>
        <w:adjustRightInd w:val="0"/>
        <w:jc w:val="both"/>
      </w:pPr>
      <w:r w:rsidRPr="007317F2">
        <w:tab/>
        <w:t>Esta región V, debido a su propia ubicación intra-regional privilegiada en recursos acuíferos (Acuífero de Tepalcatepec), es propicia para el sembradío de productos frutales, por lo que esta región ha sido sujeta a mediados de los años noventa para que los productores locales renten sus parcelas a favor de las transnacionales.</w:t>
      </w:r>
    </w:p>
    <w:p w:rsidR="002B7165" w:rsidRPr="007317F2" w:rsidRDefault="002B7165" w:rsidP="00C33601">
      <w:pPr>
        <w:pStyle w:val="Textoindependiente2"/>
        <w:spacing w:line="240" w:lineRule="auto"/>
        <w:rPr>
          <w:sz w:val="24"/>
          <w:szCs w:val="24"/>
        </w:rPr>
      </w:pPr>
      <w:r w:rsidRPr="007317F2">
        <w:rPr>
          <w:sz w:val="24"/>
          <w:szCs w:val="24"/>
        </w:rPr>
        <w:tab/>
        <w:t>Este fenómeno de presión que ejercen las trasnacionales, se acentúa debido a las expectativas que se forman entre los lugareños por conseguir una mayor rentabilidad de su tierra y conseguir retornos crecientes más cortos de su tiempo invertido y de su trabajo; esto ha provocado que ejidatarios y comuneros ofrezcan sus parcelas a renta, éstos esgrimen, que prefieren sujetarse a las condiciones que dicten las empresas vía contratos, por las siguientes razones:</w:t>
      </w:r>
    </w:p>
    <w:p w:rsidR="002B7165" w:rsidRPr="007317F2" w:rsidRDefault="002B7165" w:rsidP="00C33601">
      <w:pPr>
        <w:autoSpaceDE w:val="0"/>
        <w:autoSpaceDN w:val="0"/>
        <w:adjustRightInd w:val="0"/>
      </w:pPr>
    </w:p>
    <w:p w:rsidR="002B7165" w:rsidRPr="007317F2" w:rsidRDefault="002B7165" w:rsidP="00C33601">
      <w:pPr>
        <w:autoSpaceDE w:val="0"/>
        <w:autoSpaceDN w:val="0"/>
        <w:adjustRightInd w:val="0"/>
      </w:pPr>
      <w:r w:rsidRPr="007317F2">
        <w:t>1. Incosteabilidad de la producción de granos.</w:t>
      </w:r>
    </w:p>
    <w:p w:rsidR="002B7165" w:rsidRPr="007317F2" w:rsidRDefault="002B7165" w:rsidP="00C33601">
      <w:pPr>
        <w:autoSpaceDE w:val="0"/>
        <w:autoSpaceDN w:val="0"/>
        <w:adjustRightInd w:val="0"/>
      </w:pPr>
    </w:p>
    <w:p w:rsidR="002B7165" w:rsidRPr="007317F2" w:rsidRDefault="002B7165" w:rsidP="00C33601">
      <w:pPr>
        <w:autoSpaceDE w:val="0"/>
        <w:autoSpaceDN w:val="0"/>
        <w:adjustRightInd w:val="0"/>
      </w:pPr>
      <w:r w:rsidRPr="007317F2">
        <w:t>2. Falta de recursos para invertir en cultivos de alta densidad.</w:t>
      </w:r>
    </w:p>
    <w:p w:rsidR="002B7165" w:rsidRPr="007317F2" w:rsidRDefault="002B7165" w:rsidP="00C33601">
      <w:pPr>
        <w:autoSpaceDE w:val="0"/>
        <w:autoSpaceDN w:val="0"/>
        <w:adjustRightInd w:val="0"/>
      </w:pPr>
    </w:p>
    <w:p w:rsidR="002B7165" w:rsidRPr="007317F2" w:rsidRDefault="002B7165" w:rsidP="00C33601">
      <w:pPr>
        <w:autoSpaceDE w:val="0"/>
        <w:autoSpaceDN w:val="0"/>
        <w:adjustRightInd w:val="0"/>
      </w:pPr>
      <w:r w:rsidRPr="007317F2">
        <w:t>3. Escasez de alimentos para la ganadería extensiva y semi-extensiva.</w:t>
      </w:r>
    </w:p>
    <w:p w:rsidR="002B7165" w:rsidRPr="007317F2" w:rsidRDefault="002B7165" w:rsidP="00C33601">
      <w:pPr>
        <w:autoSpaceDE w:val="0"/>
        <w:autoSpaceDN w:val="0"/>
        <w:adjustRightInd w:val="0"/>
        <w:jc w:val="both"/>
      </w:pPr>
    </w:p>
    <w:p w:rsidR="002B7165" w:rsidRPr="007317F2" w:rsidRDefault="002B7165" w:rsidP="00C33601">
      <w:pPr>
        <w:autoSpaceDE w:val="0"/>
        <w:autoSpaceDN w:val="0"/>
        <w:adjustRightInd w:val="0"/>
        <w:jc w:val="both"/>
      </w:pPr>
      <w:r w:rsidRPr="007317F2">
        <w:tab/>
        <w:t>Aunque en el valle de Zamora y otros valles pequeños como el de Jacona y Los Reyes, los suelos son de gran profundidad y altamente productivos para el cultivo de frutales; sin embargo,  la región en cuanto al número de fuentes de agua, su situación se torna crítica. En primer lugar, la captación de agua representa una recarga excedentaria y se detectan problemas en el agotamiento de los mantos freáticos por la perforación ilegal de pozos, se reporta que en la región V, donde se ubica los Reyes, 181 pozos se han perforado en forma clandestina</w:t>
      </w:r>
      <w:r w:rsidRPr="007317F2">
        <w:rPr>
          <w:rStyle w:val="Refdenotaalpie"/>
        </w:rPr>
        <w:footnoteReference w:id="28"/>
      </w:r>
      <w:r w:rsidRPr="007317F2">
        <w:t>.</w:t>
      </w:r>
    </w:p>
    <w:p w:rsidR="002B7165" w:rsidRPr="007317F2" w:rsidRDefault="002B7165" w:rsidP="00C33601">
      <w:pPr>
        <w:autoSpaceDE w:val="0"/>
        <w:autoSpaceDN w:val="0"/>
        <w:adjustRightInd w:val="0"/>
        <w:jc w:val="both"/>
      </w:pPr>
      <w:r w:rsidRPr="007317F2">
        <w:lastRenderedPageBreak/>
        <w:tab/>
        <w:t>Considerando la clasificación por Sistemas Productivos, los más representativos de la región se  vinculan con diferentes áreas de los municipios pero se concentran princi</w:t>
      </w:r>
      <w:r>
        <w:t>palmente de la siguiente manera, como se muestra en el cuadro 9.</w:t>
      </w:r>
    </w:p>
    <w:p w:rsidR="002B7165" w:rsidRDefault="002B7165" w:rsidP="00C33601">
      <w:pPr>
        <w:autoSpaceDE w:val="0"/>
        <w:autoSpaceDN w:val="0"/>
        <w:adjustRightInd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89"/>
        <w:gridCol w:w="4489"/>
      </w:tblGrid>
      <w:tr w:rsidR="002B7165" w:rsidTr="00941B88">
        <w:tc>
          <w:tcPr>
            <w:tcW w:w="8978" w:type="dxa"/>
            <w:gridSpan w:val="2"/>
          </w:tcPr>
          <w:p w:rsidR="002B7165" w:rsidRDefault="002B7165" w:rsidP="00C33601">
            <w:pPr>
              <w:autoSpaceDE w:val="0"/>
              <w:autoSpaceDN w:val="0"/>
              <w:adjustRightInd w:val="0"/>
            </w:pPr>
            <w:r>
              <w:rPr>
                <w:sz w:val="22"/>
                <w:szCs w:val="22"/>
              </w:rPr>
              <w:t>Cuadro 9</w:t>
            </w:r>
          </w:p>
        </w:tc>
      </w:tr>
      <w:tr w:rsidR="002B7165" w:rsidTr="00941B88">
        <w:tc>
          <w:tcPr>
            <w:tcW w:w="4489" w:type="dxa"/>
          </w:tcPr>
          <w:p w:rsidR="002B7165" w:rsidRDefault="002B7165" w:rsidP="00C33601">
            <w:pPr>
              <w:autoSpaceDE w:val="0"/>
              <w:autoSpaceDN w:val="0"/>
              <w:adjustRightInd w:val="0"/>
              <w:jc w:val="both"/>
            </w:pPr>
            <w:r>
              <w:rPr>
                <w:sz w:val="22"/>
                <w:szCs w:val="22"/>
              </w:rPr>
              <w:t>SISTEMAS</w:t>
            </w:r>
          </w:p>
        </w:tc>
        <w:tc>
          <w:tcPr>
            <w:tcW w:w="4489" w:type="dxa"/>
          </w:tcPr>
          <w:p w:rsidR="002B7165" w:rsidRDefault="002B7165" w:rsidP="00C33601">
            <w:pPr>
              <w:autoSpaceDE w:val="0"/>
              <w:autoSpaceDN w:val="0"/>
              <w:adjustRightInd w:val="0"/>
              <w:jc w:val="both"/>
            </w:pPr>
            <w:r>
              <w:rPr>
                <w:sz w:val="22"/>
                <w:szCs w:val="22"/>
              </w:rPr>
              <w:t>MUNICIPIOS</w:t>
            </w:r>
          </w:p>
        </w:tc>
      </w:tr>
      <w:tr w:rsidR="002B7165" w:rsidTr="00941B88">
        <w:tc>
          <w:tcPr>
            <w:tcW w:w="4489" w:type="dxa"/>
          </w:tcPr>
          <w:p w:rsidR="002B7165" w:rsidRDefault="002B7165" w:rsidP="00C33601">
            <w:pPr>
              <w:autoSpaceDE w:val="0"/>
              <w:autoSpaceDN w:val="0"/>
              <w:adjustRightInd w:val="0"/>
              <w:jc w:val="both"/>
            </w:pPr>
            <w:r>
              <w:rPr>
                <w:sz w:val="22"/>
                <w:szCs w:val="22"/>
              </w:rPr>
              <w:t>I. Ganadería y producción de granos.</w:t>
            </w:r>
          </w:p>
        </w:tc>
        <w:tc>
          <w:tcPr>
            <w:tcW w:w="4489" w:type="dxa"/>
          </w:tcPr>
          <w:p w:rsidR="002B7165" w:rsidRDefault="002B7165" w:rsidP="00C33601">
            <w:pPr>
              <w:autoSpaceDE w:val="0"/>
              <w:autoSpaceDN w:val="0"/>
              <w:adjustRightInd w:val="0"/>
            </w:pPr>
            <w:r>
              <w:rPr>
                <w:sz w:val="22"/>
                <w:szCs w:val="22"/>
              </w:rPr>
              <w:t>Marcos Castellanos, Cojumatlán, Jiquilpan,</w:t>
            </w:r>
          </w:p>
          <w:p w:rsidR="002B7165" w:rsidRDefault="002B7165" w:rsidP="00C33601">
            <w:pPr>
              <w:autoSpaceDE w:val="0"/>
              <w:autoSpaceDN w:val="0"/>
              <w:adjustRightInd w:val="0"/>
            </w:pPr>
            <w:r>
              <w:rPr>
                <w:sz w:val="22"/>
                <w:szCs w:val="22"/>
              </w:rPr>
              <w:t>Briseñas, Sahuayo, Pajacuarán, Venustiano Carranza, Chavinda, Purépero, Villamar,</w:t>
            </w:r>
          </w:p>
          <w:p w:rsidR="002B7165" w:rsidRDefault="002B7165" w:rsidP="00C33601">
            <w:pPr>
              <w:autoSpaceDE w:val="0"/>
              <w:autoSpaceDN w:val="0"/>
              <w:adjustRightInd w:val="0"/>
            </w:pPr>
            <w:r>
              <w:rPr>
                <w:sz w:val="22"/>
                <w:szCs w:val="22"/>
              </w:rPr>
              <w:t>Cotija y Tlazazalca.</w:t>
            </w:r>
          </w:p>
          <w:p w:rsidR="002B7165" w:rsidRDefault="002B7165" w:rsidP="00C33601">
            <w:pPr>
              <w:autoSpaceDE w:val="0"/>
              <w:autoSpaceDN w:val="0"/>
              <w:adjustRightInd w:val="0"/>
            </w:pPr>
          </w:p>
        </w:tc>
      </w:tr>
      <w:tr w:rsidR="002B7165" w:rsidTr="00941B88">
        <w:tc>
          <w:tcPr>
            <w:tcW w:w="4489" w:type="dxa"/>
          </w:tcPr>
          <w:p w:rsidR="002B7165" w:rsidRDefault="002B7165" w:rsidP="00C33601">
            <w:pPr>
              <w:autoSpaceDE w:val="0"/>
              <w:autoSpaceDN w:val="0"/>
              <w:adjustRightInd w:val="0"/>
            </w:pPr>
            <w:r>
              <w:rPr>
                <w:sz w:val="22"/>
                <w:szCs w:val="22"/>
              </w:rPr>
              <w:t>II. Frutillas (zarzamora), caña de azúcar y frutales.</w:t>
            </w:r>
          </w:p>
          <w:p w:rsidR="002B7165" w:rsidRDefault="002B7165" w:rsidP="00C33601">
            <w:pPr>
              <w:autoSpaceDE w:val="0"/>
              <w:autoSpaceDN w:val="0"/>
              <w:adjustRightInd w:val="0"/>
              <w:jc w:val="both"/>
            </w:pPr>
          </w:p>
        </w:tc>
        <w:tc>
          <w:tcPr>
            <w:tcW w:w="4489" w:type="dxa"/>
          </w:tcPr>
          <w:p w:rsidR="002B7165" w:rsidRDefault="002B7165" w:rsidP="00C33601">
            <w:pPr>
              <w:autoSpaceDE w:val="0"/>
              <w:autoSpaceDN w:val="0"/>
              <w:adjustRightInd w:val="0"/>
            </w:pPr>
            <w:r>
              <w:rPr>
                <w:sz w:val="22"/>
                <w:szCs w:val="22"/>
              </w:rPr>
              <w:t>Los Reyes, Tangancícuaro, Tocumbo,</w:t>
            </w:r>
          </w:p>
          <w:p w:rsidR="002B7165" w:rsidRDefault="002B7165" w:rsidP="00C33601">
            <w:pPr>
              <w:autoSpaceDE w:val="0"/>
              <w:autoSpaceDN w:val="0"/>
              <w:adjustRightInd w:val="0"/>
            </w:pPr>
            <w:r>
              <w:rPr>
                <w:sz w:val="22"/>
                <w:szCs w:val="22"/>
              </w:rPr>
              <w:t>Tangamandapio, Tingüindín, Cotija,</w:t>
            </w:r>
          </w:p>
          <w:p w:rsidR="002B7165" w:rsidRDefault="002B7165" w:rsidP="00C33601">
            <w:pPr>
              <w:autoSpaceDE w:val="0"/>
              <w:autoSpaceDN w:val="0"/>
              <w:adjustRightInd w:val="0"/>
            </w:pPr>
            <w:r>
              <w:rPr>
                <w:sz w:val="22"/>
                <w:szCs w:val="22"/>
              </w:rPr>
              <w:t>Tlazazalca.</w:t>
            </w:r>
          </w:p>
          <w:p w:rsidR="002B7165" w:rsidRDefault="002B7165" w:rsidP="00C33601">
            <w:pPr>
              <w:autoSpaceDE w:val="0"/>
              <w:autoSpaceDN w:val="0"/>
              <w:adjustRightInd w:val="0"/>
            </w:pPr>
          </w:p>
        </w:tc>
      </w:tr>
      <w:tr w:rsidR="002B7165" w:rsidTr="00941B88">
        <w:tc>
          <w:tcPr>
            <w:tcW w:w="4489" w:type="dxa"/>
          </w:tcPr>
          <w:p w:rsidR="002B7165" w:rsidRDefault="002B7165" w:rsidP="00C33601">
            <w:pPr>
              <w:autoSpaceDE w:val="0"/>
              <w:autoSpaceDN w:val="0"/>
              <w:adjustRightInd w:val="0"/>
            </w:pPr>
            <w:r>
              <w:rPr>
                <w:sz w:val="22"/>
                <w:szCs w:val="22"/>
              </w:rPr>
              <w:t>III. Fresa, ganadería y hortalizas.</w:t>
            </w:r>
          </w:p>
          <w:p w:rsidR="002B7165" w:rsidRDefault="002B7165" w:rsidP="00C33601">
            <w:pPr>
              <w:autoSpaceDE w:val="0"/>
              <w:autoSpaceDN w:val="0"/>
              <w:adjustRightInd w:val="0"/>
              <w:jc w:val="both"/>
            </w:pPr>
          </w:p>
        </w:tc>
        <w:tc>
          <w:tcPr>
            <w:tcW w:w="4489" w:type="dxa"/>
          </w:tcPr>
          <w:p w:rsidR="002B7165" w:rsidRDefault="002B7165" w:rsidP="00C33601">
            <w:pPr>
              <w:autoSpaceDE w:val="0"/>
              <w:autoSpaceDN w:val="0"/>
              <w:adjustRightInd w:val="0"/>
            </w:pPr>
            <w:r>
              <w:rPr>
                <w:sz w:val="22"/>
                <w:szCs w:val="22"/>
              </w:rPr>
              <w:t>Ixtlán, Jacona, Zamora, Cojumatlán,</w:t>
            </w:r>
          </w:p>
          <w:p w:rsidR="002B7165" w:rsidRDefault="002B7165" w:rsidP="00C33601">
            <w:pPr>
              <w:autoSpaceDE w:val="0"/>
              <w:autoSpaceDN w:val="0"/>
              <w:adjustRightInd w:val="0"/>
            </w:pPr>
            <w:r>
              <w:rPr>
                <w:sz w:val="22"/>
                <w:szCs w:val="22"/>
              </w:rPr>
              <w:t>Villamar y Tangancícuaro</w:t>
            </w:r>
          </w:p>
          <w:p w:rsidR="002B7165" w:rsidRDefault="002B7165" w:rsidP="00C33601">
            <w:pPr>
              <w:autoSpaceDE w:val="0"/>
              <w:autoSpaceDN w:val="0"/>
              <w:adjustRightInd w:val="0"/>
            </w:pPr>
          </w:p>
        </w:tc>
      </w:tr>
      <w:tr w:rsidR="002B7165" w:rsidTr="00941B88">
        <w:tc>
          <w:tcPr>
            <w:tcW w:w="4489" w:type="dxa"/>
          </w:tcPr>
          <w:p w:rsidR="002B7165" w:rsidRDefault="002B7165" w:rsidP="00C33601">
            <w:pPr>
              <w:autoSpaceDE w:val="0"/>
              <w:autoSpaceDN w:val="0"/>
              <w:adjustRightInd w:val="0"/>
            </w:pPr>
            <w:r>
              <w:rPr>
                <w:sz w:val="22"/>
                <w:szCs w:val="22"/>
              </w:rPr>
              <w:t>IV. Aguacate.</w:t>
            </w:r>
          </w:p>
          <w:p w:rsidR="002B7165" w:rsidRDefault="002B7165" w:rsidP="00C33601">
            <w:pPr>
              <w:autoSpaceDE w:val="0"/>
              <w:autoSpaceDN w:val="0"/>
              <w:adjustRightInd w:val="0"/>
              <w:jc w:val="both"/>
            </w:pPr>
          </w:p>
        </w:tc>
        <w:tc>
          <w:tcPr>
            <w:tcW w:w="4489" w:type="dxa"/>
          </w:tcPr>
          <w:p w:rsidR="002B7165" w:rsidRDefault="002B7165" w:rsidP="00C33601">
            <w:pPr>
              <w:autoSpaceDE w:val="0"/>
              <w:autoSpaceDN w:val="0"/>
              <w:adjustRightInd w:val="0"/>
            </w:pPr>
            <w:r>
              <w:rPr>
                <w:sz w:val="22"/>
                <w:szCs w:val="22"/>
              </w:rPr>
              <w:t>Peribán, Los Reyes y Tingüindín.</w:t>
            </w:r>
          </w:p>
          <w:p w:rsidR="002B7165" w:rsidRDefault="002B7165" w:rsidP="00C33601">
            <w:pPr>
              <w:autoSpaceDE w:val="0"/>
              <w:autoSpaceDN w:val="0"/>
              <w:adjustRightInd w:val="0"/>
            </w:pPr>
          </w:p>
        </w:tc>
      </w:tr>
    </w:tbl>
    <w:p w:rsidR="002B7165" w:rsidRDefault="002B7165" w:rsidP="00C33601">
      <w:pPr>
        <w:autoSpaceDE w:val="0"/>
        <w:autoSpaceDN w:val="0"/>
        <w:adjustRightInd w:val="0"/>
        <w:jc w:val="both"/>
        <w:rPr>
          <w:sz w:val="22"/>
          <w:szCs w:val="22"/>
        </w:rPr>
      </w:pPr>
    </w:p>
    <w:p w:rsidR="002B7165" w:rsidRPr="007317F2" w:rsidRDefault="002B7165" w:rsidP="00C33601">
      <w:pPr>
        <w:autoSpaceDE w:val="0"/>
        <w:autoSpaceDN w:val="0"/>
        <w:adjustRightInd w:val="0"/>
        <w:jc w:val="both"/>
      </w:pPr>
      <w:r>
        <w:rPr>
          <w:sz w:val="22"/>
          <w:szCs w:val="22"/>
        </w:rPr>
        <w:tab/>
      </w:r>
      <w:r w:rsidRPr="007317F2">
        <w:t>Cabe reafirmar, que entre los diferentes Sistema Productivos, sólo tres representan la fuerza económica de la región, cerca de un 80% del producto interno que se genera en ésta, es gracias a los sistemas II, III y IV que se especifican en el cuadro</w:t>
      </w:r>
      <w:r>
        <w:t xml:space="preserve"> 9</w:t>
      </w:r>
      <w:r w:rsidRPr="007317F2">
        <w:t>.</w:t>
      </w:r>
    </w:p>
    <w:p w:rsidR="002B7165" w:rsidRPr="007317F2" w:rsidRDefault="002B7165" w:rsidP="00C33601">
      <w:pPr>
        <w:pStyle w:val="Textoindependiente2"/>
        <w:spacing w:line="240" w:lineRule="auto"/>
        <w:rPr>
          <w:sz w:val="24"/>
          <w:szCs w:val="24"/>
        </w:rPr>
      </w:pPr>
      <w:r w:rsidRPr="007317F2">
        <w:rPr>
          <w:sz w:val="24"/>
          <w:szCs w:val="24"/>
        </w:rPr>
        <w:tab/>
        <w:t xml:space="preserve">Como se ha señalado, la zarzamora es un cultivo que se ha venido expandiendo durante los últimos años en diferentes zonas del estado, siendo la región de los Reyes donde ha alcanzado su mayor desarrollo debido a lo favorable en sus condiciones climáticas, de suelo y agua que prevalecen en la región. Esta región tiene una superficie aproximada de </w:t>
      </w:r>
      <w:smartTag w:uri="urn:schemas-microsoft-com:office:smarttags" w:element="metricconverter">
        <w:smartTagPr>
          <w:attr w:name="ProductID" w:val="1,100 hect￡reas"/>
        </w:smartTagPr>
        <w:r w:rsidRPr="007317F2">
          <w:rPr>
            <w:sz w:val="24"/>
            <w:szCs w:val="24"/>
          </w:rPr>
          <w:t>1,100 hectáreas</w:t>
        </w:r>
      </w:smartTag>
      <w:r w:rsidRPr="007317F2">
        <w:rPr>
          <w:sz w:val="24"/>
          <w:szCs w:val="24"/>
        </w:rPr>
        <w:t xml:space="preserve"> sembradas con 270 productores,  otra zona importante en esta región, es el Valle de Tangancicuaro con características similares, pero con mucha menor superficie sembrada.</w:t>
      </w:r>
    </w:p>
    <w:p w:rsidR="002B7165" w:rsidRPr="007317F2" w:rsidRDefault="002B7165" w:rsidP="00C33601">
      <w:pPr>
        <w:pStyle w:val="Textoindependiente2"/>
        <w:spacing w:line="240" w:lineRule="auto"/>
        <w:rPr>
          <w:sz w:val="24"/>
          <w:szCs w:val="24"/>
        </w:rPr>
      </w:pPr>
      <w:r w:rsidRPr="007317F2">
        <w:rPr>
          <w:sz w:val="24"/>
          <w:szCs w:val="24"/>
        </w:rPr>
        <w:tab/>
        <w:t>Se estima que la producción mundial de zarzamoras es de alrededor de 60.000 toneladas y en su mayor parte se destina a congelados (75%). La producción interna de Estados Unidos es cercana a las 13,000 toneladas y el resto de la producción mundial se reparte entre Europa y los países del Hemisferio Sur, tales como Nueva Zelanda, Chile y otros.</w:t>
      </w:r>
    </w:p>
    <w:p w:rsidR="002B7165" w:rsidRPr="007317F2" w:rsidRDefault="002B7165" w:rsidP="00C33601">
      <w:pPr>
        <w:autoSpaceDE w:val="0"/>
        <w:autoSpaceDN w:val="0"/>
        <w:adjustRightInd w:val="0"/>
        <w:jc w:val="both"/>
      </w:pPr>
      <w:r w:rsidRPr="007317F2">
        <w:tab/>
        <w:t>El período en que se desarrolla</w:t>
      </w:r>
      <w:r>
        <w:t>,</w:t>
      </w:r>
      <w:r w:rsidRPr="007317F2">
        <w:t xml:space="preserve"> la producción de zarzamora en Estados Unidos</w:t>
      </w:r>
      <w:r>
        <w:t>,</w:t>
      </w:r>
      <w:r w:rsidRPr="007317F2">
        <w:t xml:space="preserve"> va del mes de mayo hasta agosto, alcanzando su mayor nivel en el mes de junio. La exportación de Nueva Zelanda se destina mayoritariamente a Estados Unidos llegando fuera de temporada entre los meses de diciembre a marzo y la producción de Chile que se destina a Estados Unidos en estado fresco</w:t>
      </w:r>
      <w:r>
        <w:t>, llega a</w:t>
      </w:r>
      <w:r w:rsidRPr="007317F2">
        <w:t xml:space="preserve"> enero y abril.</w:t>
      </w:r>
    </w:p>
    <w:p w:rsidR="002B7165" w:rsidRPr="007317F2" w:rsidRDefault="002B7165" w:rsidP="00C33601">
      <w:pPr>
        <w:autoSpaceDE w:val="0"/>
        <w:autoSpaceDN w:val="0"/>
        <w:adjustRightInd w:val="0"/>
        <w:jc w:val="both"/>
      </w:pPr>
      <w:r w:rsidRPr="007317F2">
        <w:tab/>
        <w:t xml:space="preserve">Dentro de este contexto, la posición privilegiada de los Reyes para desarrollar el cultivo de la zarzamora, representa una gran ventaja  para cosechar durante los meses de </w:t>
      </w:r>
      <w:r w:rsidRPr="007317F2">
        <w:lastRenderedPageBreak/>
        <w:t>octubre a enero, periodo en que disminuye la producción considerablemente en otras partes del mundo.</w:t>
      </w:r>
    </w:p>
    <w:p w:rsidR="002B7165" w:rsidRPr="007317F2" w:rsidRDefault="002B7165" w:rsidP="00C33601">
      <w:pPr>
        <w:autoSpaceDE w:val="0"/>
        <w:autoSpaceDN w:val="0"/>
        <w:adjustRightInd w:val="0"/>
        <w:jc w:val="both"/>
      </w:pPr>
      <w:r w:rsidRPr="007317F2">
        <w:tab/>
        <w:t xml:space="preserve">Como se ha dicho, parte importante de este proceso son las empresas trasnacionales que se han ubicado en la región, principalmente capitales norteamericanos y chilenos, los cuales dan seguimiento puntual a todas las fases de la cadena productiva, desde su siembra, empaque y  comercialización.  La financiación que hacen las transnacionales de inicio es trascendente, pues se  llega a prestar un monto equivalente por $ 5000.00 dólares para inicio de siembra y labores agrícolas de campo, las condiciones y requisitos que exigen estas empresas, es garantizar que el producto cuente con las características idóneas de sanidad e inocuidad. Vale la pena aclarar, que la  mayor parte de la producción es vendida en forma congelada; sin embargo, la presentación en fresco es la de mayor importancia, ya que ofrece  la cotización más alta en el mercado externo. De ahí, que se utilice el avión como el transporte ideal para que el producto llegue en condiciones óptimas al consumidor. </w:t>
      </w:r>
    </w:p>
    <w:p w:rsidR="002B7165" w:rsidRPr="007317F2" w:rsidRDefault="002B7165" w:rsidP="00C33601">
      <w:pPr>
        <w:autoSpaceDE w:val="0"/>
        <w:autoSpaceDN w:val="0"/>
        <w:adjustRightInd w:val="0"/>
        <w:jc w:val="both"/>
        <w:rPr>
          <w:b/>
          <w:bCs/>
        </w:rPr>
      </w:pPr>
      <w:r w:rsidRPr="007317F2">
        <w:tab/>
        <w:t>El siguiente esquema</w:t>
      </w:r>
      <w:r>
        <w:t xml:space="preserve"> 1,</w:t>
      </w:r>
      <w:r w:rsidRPr="007317F2">
        <w:t xml:space="preserve"> ilustra la cadena de valor a partir de las necesidades de las transnacionales.</w:t>
      </w: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Default="002B7165" w:rsidP="00C33601">
      <w:pPr>
        <w:jc w:val="both"/>
        <w:rPr>
          <w:b/>
          <w:bCs/>
          <w:sz w:val="22"/>
          <w:szCs w:val="28"/>
        </w:rPr>
      </w:pPr>
    </w:p>
    <w:p w:rsidR="002B7165" w:rsidRPr="00C55B3A" w:rsidRDefault="002B7165" w:rsidP="00C33601">
      <w:pPr>
        <w:ind w:left="708" w:firstLine="708"/>
        <w:jc w:val="center"/>
        <w:rPr>
          <w:b/>
          <w:sz w:val="20"/>
          <w:szCs w:val="20"/>
        </w:rPr>
      </w:pPr>
      <w:r w:rsidRPr="00C55B3A">
        <w:rPr>
          <w:b/>
          <w:sz w:val="20"/>
          <w:szCs w:val="20"/>
        </w:rPr>
        <w:t>Transnacionalización de las fases de producción y comercialización de la zarzamora</w:t>
      </w:r>
    </w:p>
    <w:p w:rsidR="002B7165" w:rsidRDefault="005318F1" w:rsidP="00C33601">
      <w:pPr>
        <w:ind w:firstLine="708"/>
        <w:jc w:val="center"/>
        <w:rPr>
          <w:sz w:val="22"/>
        </w:rPr>
      </w:pPr>
      <w:r w:rsidRPr="005318F1">
        <w:rPr>
          <w:b/>
          <w:bCs/>
          <w:noProof/>
          <w:sz w:val="22"/>
        </w:rPr>
        <w:pict>
          <v:line id="_x0000_s1088" style="position:absolute;left:0;text-align:left;z-index:251664384" from="225pt,10.2pt" to="225pt,292.8pt"/>
        </w:pict>
      </w:r>
    </w:p>
    <w:p w:rsidR="002B7165" w:rsidRDefault="005318F1" w:rsidP="00C33601">
      <w:pPr>
        <w:pStyle w:val="Sangradetextonormal"/>
        <w:rPr>
          <w:b/>
          <w:bCs/>
          <w:sz w:val="22"/>
        </w:rPr>
      </w:pPr>
      <w:r w:rsidRPr="005318F1">
        <w:rPr>
          <w:b/>
          <w:bCs/>
          <w:noProof/>
          <w:sz w:val="22"/>
        </w:rPr>
        <w:pict>
          <v:line id="_x0000_s1087" style="position:absolute;left:0;text-align:left;z-index:251663360" from="117pt,0" to="117pt,282.6pt"/>
        </w:pict>
      </w:r>
      <w:r w:rsidRPr="005318F1">
        <w:rPr>
          <w:b/>
          <w:bCs/>
          <w:noProof/>
          <w:sz w:val="22"/>
        </w:rPr>
        <w:pict>
          <v:line id="_x0000_s1089" style="position:absolute;left:0;text-align:left;z-index:251665408" from="333pt,0" to="333pt,282.6pt"/>
        </w:pict>
      </w:r>
      <w:r w:rsidR="002B7165">
        <w:rPr>
          <w:b/>
          <w:bCs/>
          <w:sz w:val="22"/>
        </w:rPr>
        <w:t>Producción             Industria                               Canales de                                Destino</w:t>
      </w:r>
    </w:p>
    <w:p w:rsidR="002B7165" w:rsidRDefault="002B7165" w:rsidP="00C33601">
      <w:pPr>
        <w:ind w:firstLine="708"/>
        <w:rPr>
          <w:b/>
          <w:bCs/>
          <w:sz w:val="22"/>
        </w:rPr>
      </w:pPr>
      <w:r>
        <w:rPr>
          <w:b/>
          <w:bCs/>
          <w:sz w:val="22"/>
        </w:rPr>
        <w:t xml:space="preserve">                                                                        Comercialización                        final</w:t>
      </w:r>
    </w:p>
    <w:p w:rsidR="002B7165" w:rsidRDefault="005318F1" w:rsidP="00C33601">
      <w:pPr>
        <w:ind w:firstLine="708"/>
        <w:rPr>
          <w:b/>
          <w:bCs/>
          <w:sz w:val="22"/>
        </w:rPr>
      </w:pPr>
      <w:r w:rsidRPr="005318F1">
        <w:rPr>
          <w:b/>
          <w:bCs/>
          <w:noProof/>
          <w:sz w:val="22"/>
        </w:rPr>
        <w:pict>
          <v:shape id="_x0000_s1090" type="#_x0000_t202" style="position:absolute;left:0;text-align:left;margin-left:423pt;margin-top:8.4pt;width:90pt;height:75.6pt;z-index:251666432">
            <v:textbox style="mso-next-textbox:#_x0000_s1090">
              <w:txbxContent>
                <w:p w:rsidR="00941B88" w:rsidRDefault="00941B88" w:rsidP="002B7165">
                  <w:pPr>
                    <w:rPr>
                      <w:sz w:val="20"/>
                      <w:szCs w:val="22"/>
                      <w:lang w:val="es-MX"/>
                    </w:rPr>
                  </w:pPr>
                  <w:r>
                    <w:rPr>
                      <w:b/>
                      <w:bCs/>
                      <w:sz w:val="20"/>
                      <w:szCs w:val="22"/>
                      <w:lang w:val="es-MX"/>
                    </w:rPr>
                    <w:t>Exportación</w:t>
                  </w:r>
                </w:p>
                <w:p w:rsidR="00941B88" w:rsidRDefault="00941B88" w:rsidP="002B7165">
                  <w:pPr>
                    <w:rPr>
                      <w:sz w:val="20"/>
                      <w:szCs w:val="22"/>
                      <w:lang w:val="es-MX"/>
                    </w:rPr>
                  </w:pPr>
                  <w:r>
                    <w:rPr>
                      <w:sz w:val="20"/>
                      <w:szCs w:val="22"/>
                      <w:lang w:val="es-MX"/>
                    </w:rPr>
                    <w:t>EE.UU</w:t>
                  </w:r>
                </w:p>
                <w:p w:rsidR="00941B88" w:rsidRDefault="00941B88" w:rsidP="002B7165">
                  <w:pPr>
                    <w:rPr>
                      <w:sz w:val="20"/>
                      <w:szCs w:val="22"/>
                      <w:lang w:val="es-MX"/>
                    </w:rPr>
                  </w:pPr>
                  <w:r>
                    <w:rPr>
                      <w:sz w:val="20"/>
                      <w:szCs w:val="22"/>
                      <w:lang w:val="es-MX"/>
                    </w:rPr>
                    <w:t xml:space="preserve">Chile </w:t>
                  </w:r>
                </w:p>
                <w:p w:rsidR="00941B88" w:rsidRDefault="00941B88" w:rsidP="002B7165">
                  <w:pPr>
                    <w:rPr>
                      <w:sz w:val="20"/>
                      <w:szCs w:val="22"/>
                      <w:lang w:val="es-MX"/>
                    </w:rPr>
                  </w:pPr>
                  <w:r>
                    <w:rPr>
                      <w:sz w:val="20"/>
                      <w:szCs w:val="22"/>
                      <w:lang w:val="es-MX"/>
                    </w:rPr>
                    <w:t>Países Europeos</w:t>
                  </w:r>
                </w:p>
                <w:p w:rsidR="00941B88" w:rsidRDefault="00941B88" w:rsidP="002B7165">
                  <w:pPr>
                    <w:rPr>
                      <w:sz w:val="22"/>
                      <w:szCs w:val="22"/>
                      <w:lang w:val="es-MX"/>
                    </w:rPr>
                  </w:pPr>
                  <w:r>
                    <w:rPr>
                      <w:sz w:val="20"/>
                      <w:szCs w:val="22"/>
                      <w:lang w:val="es-MX"/>
                    </w:rPr>
                    <w:t>Asia</w:t>
                  </w:r>
                  <w:r>
                    <w:rPr>
                      <w:sz w:val="22"/>
                      <w:szCs w:val="22"/>
                      <w:lang w:val="es-MX"/>
                    </w:rPr>
                    <w:t xml:space="preserve">  </w:t>
                  </w:r>
                </w:p>
              </w:txbxContent>
            </v:textbox>
          </v:shape>
        </w:pict>
      </w:r>
      <w:r w:rsidR="002B7165">
        <w:rPr>
          <w:b/>
          <w:bCs/>
          <w:sz w:val="22"/>
        </w:rPr>
        <w:t xml:space="preserve">                                                                        y distribución. </w:t>
      </w:r>
    </w:p>
    <w:p w:rsidR="002B7165" w:rsidRDefault="005318F1" w:rsidP="00C33601">
      <w:pPr>
        <w:rPr>
          <w:sz w:val="22"/>
        </w:rPr>
      </w:pPr>
      <w:r w:rsidRPr="005318F1">
        <w:rPr>
          <w:noProof/>
          <w:sz w:val="22"/>
        </w:rPr>
        <w:pict>
          <v:line id="_x0000_s1093" style="position:absolute;z-index:251669504" from="0,183.6pt" to="36pt,183.6pt">
            <v:stroke endarrow="block"/>
          </v:line>
        </w:pict>
      </w:r>
      <w:r w:rsidRPr="005318F1">
        <w:rPr>
          <w:noProof/>
          <w:sz w:val="22"/>
        </w:rPr>
        <w:pict>
          <v:line id="_x0000_s1092" style="position:absolute;z-index:251668480" from="18pt,165.6pt" to="36pt,165.6pt"/>
        </w:pict>
      </w:r>
      <w:r w:rsidRPr="005318F1">
        <w:rPr>
          <w:noProof/>
          <w:sz w:val="22"/>
        </w:rPr>
        <w:pict>
          <v:line id="_x0000_s1091" style="position:absolute;z-index:251667456" from="0,120.6pt" to="0,183.6pt"/>
        </w:pict>
      </w:r>
      <w:r w:rsidRPr="005318F1">
        <w:rPr>
          <w:noProof/>
          <w:sz w:val="22"/>
        </w:rPr>
        <w:pict>
          <v:shape id="_x0000_s1085" type="#_x0000_t202" style="position:absolute;margin-left:6in;margin-top:138.6pt;width:1in;height:36pt;z-index:251661312">
            <v:textbox style="mso-next-textbox:#_x0000_s1085">
              <w:txbxContent>
                <w:p w:rsidR="00941B88" w:rsidRDefault="00941B88" w:rsidP="002B7165">
                  <w:pPr>
                    <w:rPr>
                      <w:sz w:val="20"/>
                      <w:szCs w:val="22"/>
                      <w:lang w:val="es-MX"/>
                    </w:rPr>
                  </w:pPr>
                  <w:r>
                    <w:rPr>
                      <w:sz w:val="20"/>
                      <w:szCs w:val="22"/>
                      <w:lang w:val="es-MX"/>
                    </w:rPr>
                    <w:t xml:space="preserve">Mercado nacional </w:t>
                  </w:r>
                </w:p>
              </w:txbxContent>
            </v:textbox>
          </v:shape>
        </w:pict>
      </w:r>
      <w:r w:rsidRPr="005318F1">
        <w:rPr>
          <w:noProof/>
          <w:sz w:val="22"/>
        </w:rPr>
        <w:pict>
          <v:shape id="_x0000_s1086" type="#_x0000_t202" style="position:absolute;margin-left:-54pt;margin-top:102.6pt;width:54pt;height:18pt;z-index:251662336">
            <v:textbox style="mso-next-textbox:#_x0000_s1086">
              <w:txbxContent>
                <w:p w:rsidR="00941B88" w:rsidRDefault="00941B88" w:rsidP="002B7165">
                  <w:pPr>
                    <w:rPr>
                      <w:sz w:val="20"/>
                      <w:lang w:val="es-MX"/>
                    </w:rPr>
                  </w:pPr>
                  <w:r>
                    <w:rPr>
                      <w:sz w:val="20"/>
                      <w:szCs w:val="22"/>
                      <w:lang w:val="es-MX"/>
                    </w:rPr>
                    <w:t>Viveros</w:t>
                  </w:r>
                  <w:r>
                    <w:rPr>
                      <w:sz w:val="20"/>
                      <w:lang w:val="es-MX"/>
                    </w:rPr>
                    <w:t xml:space="preserve"> </w:t>
                  </w:r>
                </w:p>
              </w:txbxContent>
            </v:textbox>
          </v:shape>
        </w:pict>
      </w:r>
      <w:r w:rsidRPr="005318F1">
        <w:rPr>
          <w:sz w:val="22"/>
        </w:rPr>
      </w:r>
      <w:r>
        <w:rPr>
          <w:sz w:val="22"/>
        </w:rPr>
        <w:pict>
          <v:group id="_x0000_s1026" editas="canvas" style="width:423.1pt;height:252pt;mso-position-horizontal-relative:char;mso-position-vertical-relative:line" coordorigin="2269,2733" coordsize="7202,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9;top:2733;width:7202;height:4320" o:preferrelative="f">
              <v:fill o:detectmouseclick="t"/>
              <v:path o:extrusionok="t" o:connecttype="none"/>
              <o:lock v:ext="edit" text="t"/>
            </v:shape>
            <v:line id="_x0000_s1028" style="position:absolute" from="3035,5048" to="3035,5048"/>
            <v:shape id="_x0000_s1029" type="#_x0000_t202" style="position:absolute;left:2729;top:3042;width:1225;height:618">
              <v:textbox style="mso-next-textbox:#_x0000_s1029">
                <w:txbxContent>
                  <w:p w:rsidR="00941B88" w:rsidRDefault="00941B88" w:rsidP="002B7165">
                    <w:pPr>
                      <w:rPr>
                        <w:sz w:val="20"/>
                        <w:szCs w:val="22"/>
                        <w:lang w:val="es-MX"/>
                      </w:rPr>
                    </w:pPr>
                    <w:r>
                      <w:rPr>
                        <w:sz w:val="20"/>
                        <w:szCs w:val="22"/>
                        <w:lang w:val="es-MX"/>
                      </w:rPr>
                      <w:t xml:space="preserve">Huerta de zarzamora </w:t>
                    </w:r>
                  </w:p>
                </w:txbxContent>
              </v:textbox>
            </v:shape>
            <v:shape id="_x0000_s1030" type="#_x0000_t202" style="position:absolute;left:2882;top:5418;width:1072;height:678">
              <v:textbox style="mso-next-textbox:#_x0000_s1030">
                <w:txbxContent>
                  <w:p w:rsidR="00941B88" w:rsidRDefault="00941B88" w:rsidP="002B7165">
                    <w:pPr>
                      <w:rPr>
                        <w:sz w:val="20"/>
                        <w:lang w:val="es-MX"/>
                      </w:rPr>
                    </w:pPr>
                    <w:r>
                      <w:rPr>
                        <w:sz w:val="20"/>
                        <w:lang w:val="es-MX"/>
                      </w:rPr>
                      <w:t xml:space="preserve">Empaque    local </w:t>
                    </w:r>
                  </w:p>
                </w:txbxContent>
              </v:textbox>
            </v:shape>
            <v:shape id="_x0000_s1031" type="#_x0000_t202" style="position:absolute;left:4414;top:3103;width:1378;height:401">
              <v:textbox style="mso-next-textbox:#_x0000_s1031">
                <w:txbxContent>
                  <w:p w:rsidR="00941B88" w:rsidRDefault="00941B88" w:rsidP="002B7165">
                    <w:pPr>
                      <w:pStyle w:val="Textonotapie"/>
                      <w:rPr>
                        <w:szCs w:val="22"/>
                        <w:lang w:val="es-MX"/>
                      </w:rPr>
                    </w:pPr>
                    <w:r>
                      <w:rPr>
                        <w:szCs w:val="22"/>
                        <w:lang w:val="es-MX"/>
                      </w:rPr>
                      <w:t>Intermediario</w:t>
                    </w:r>
                  </w:p>
                </w:txbxContent>
              </v:textbox>
            </v:shape>
            <v:shape id="_x0000_s1032" type="#_x0000_t202" style="position:absolute;left:4414;top:4893;width:1532;height:309">
              <v:textbox style="mso-next-textbox:#_x0000_s1032">
                <w:txbxContent>
                  <w:p w:rsidR="00941B88" w:rsidRDefault="00941B88" w:rsidP="002B7165">
                    <w:pPr>
                      <w:pStyle w:val="Textonotapie"/>
                      <w:rPr>
                        <w:szCs w:val="22"/>
                        <w:lang w:val="es-MX"/>
                      </w:rPr>
                    </w:pPr>
                    <w:r>
                      <w:rPr>
                        <w:szCs w:val="22"/>
                        <w:lang w:val="es-MX"/>
                      </w:rPr>
                      <w:t xml:space="preserve">Procesadora                    </w:t>
                    </w:r>
                  </w:p>
                </w:txbxContent>
              </v:textbox>
            </v:shape>
            <v:shape id="_x0000_s1033" type="#_x0000_t202" style="position:absolute;left:6558;top:3196;width:1226;height:462">
              <v:textbox style="mso-next-textbox:#_x0000_s1033">
                <w:txbxContent>
                  <w:p w:rsidR="00941B88" w:rsidRDefault="00941B88" w:rsidP="002B7165">
                    <w:pPr>
                      <w:pStyle w:val="Textonotapie"/>
                      <w:rPr>
                        <w:szCs w:val="22"/>
                        <w:lang w:val="es-MX"/>
                      </w:rPr>
                    </w:pPr>
                    <w:r>
                      <w:rPr>
                        <w:szCs w:val="22"/>
                        <w:lang w:val="es-MX"/>
                      </w:rPr>
                      <w:t xml:space="preserve">Importador </w:t>
                    </w:r>
                  </w:p>
                </w:txbxContent>
              </v:textbox>
            </v:shape>
            <v:shape id="_x0000_s1034" type="#_x0000_t202" style="position:absolute;left:6252;top:4276;width:1073;height:554">
              <v:textbox style="mso-next-textbox:#_x0000_s1034">
                <w:txbxContent>
                  <w:p w:rsidR="00941B88" w:rsidRDefault="00941B88" w:rsidP="002B7165">
                    <w:pPr>
                      <w:rPr>
                        <w:sz w:val="20"/>
                        <w:szCs w:val="22"/>
                        <w:lang w:val="es-MX"/>
                      </w:rPr>
                    </w:pPr>
                    <w:r>
                      <w:rPr>
                        <w:sz w:val="20"/>
                        <w:szCs w:val="22"/>
                        <w:lang w:val="es-MX"/>
                      </w:rPr>
                      <w:t>Industria terciaria.</w:t>
                    </w:r>
                  </w:p>
                </w:txbxContent>
              </v:textbox>
            </v:shape>
            <v:shape id="_x0000_s1035" type="#_x0000_t202" style="position:absolute;left:6558;top:6127;width:1073;height:401">
              <v:textbox style="mso-next-textbox:#_x0000_s1035">
                <w:txbxContent>
                  <w:p w:rsidR="00941B88" w:rsidRDefault="00941B88" w:rsidP="002B7165">
                    <w:pPr>
                      <w:pStyle w:val="Textonotapie"/>
                      <w:rPr>
                        <w:szCs w:val="22"/>
                        <w:lang w:val="es-MX"/>
                      </w:rPr>
                    </w:pPr>
                    <w:r>
                      <w:rPr>
                        <w:szCs w:val="22"/>
                        <w:lang w:val="es-MX"/>
                      </w:rPr>
                      <w:t xml:space="preserve">Broker´s </w:t>
                    </w:r>
                  </w:p>
                </w:txbxContent>
              </v:textbox>
            </v:shape>
            <v:shape id="_x0000_s1036" type="#_x0000_t202" style="position:absolute;left:8091;top:2733;width:1071;height:463">
              <v:textbox style="mso-next-textbox:#_x0000_s1036">
                <w:txbxContent>
                  <w:p w:rsidR="00941B88" w:rsidRDefault="00941B88" w:rsidP="002B7165">
                    <w:pPr>
                      <w:rPr>
                        <w:sz w:val="20"/>
                        <w:lang w:val="es-MX"/>
                      </w:rPr>
                    </w:pPr>
                    <w:r>
                      <w:rPr>
                        <w:sz w:val="20"/>
                        <w:lang w:val="es-MX"/>
                      </w:rPr>
                      <w:t xml:space="preserve">Vía área </w:t>
                    </w:r>
                  </w:p>
                </w:txbxContent>
              </v:textbox>
            </v:shape>
            <v:shape id="_x0000_s1037" type="#_x0000_t202" style="position:absolute;left:8091;top:5263;width:1225;height:401">
              <v:textbox style="mso-next-textbox:#_x0000_s1037">
                <w:txbxContent>
                  <w:p w:rsidR="00941B88" w:rsidRDefault="00941B88" w:rsidP="002B7165">
                    <w:pPr>
                      <w:pStyle w:val="Textonotapie"/>
                      <w:rPr>
                        <w:szCs w:val="22"/>
                        <w:lang w:val="es-MX"/>
                      </w:rPr>
                    </w:pPr>
                    <w:r>
                      <w:rPr>
                        <w:szCs w:val="22"/>
                        <w:lang w:val="es-MX"/>
                      </w:rPr>
                      <w:t xml:space="preserve">Vía terrestre </w:t>
                    </w:r>
                  </w:p>
                </w:txbxContent>
              </v:textbox>
            </v:shape>
            <v:line id="_x0000_s1038" style="position:absolute" from="3947,6035" to="3954,6436"/>
            <v:line id="_x0000_s1039" style="position:absolute" from="3954,6436" to="6559,6437">
              <v:stroke endarrow="block"/>
            </v:line>
            <v:line id="_x0000_s1040" style="position:absolute;flip:y" from="2569,2887" to="2575,5572"/>
            <v:line id="_x0000_s1041" style="position:absolute" from="2575,2887" to="8091,2888">
              <v:stroke endarrow="block"/>
            </v:line>
            <v:line id="_x0000_s1042" style="position:absolute" from="3954,5510" to="8091,5510">
              <v:stroke endarrow="block"/>
            </v:line>
            <v:line id="_x0000_s1043" style="position:absolute;flip:y" from="3954,5047" to="3955,5510"/>
            <v:line id="_x0000_s1044" style="position:absolute" from="3954,5047" to="4414,5047">
              <v:stroke endarrow="block"/>
            </v:line>
            <v:shape id="_x0000_s1045" type="#_x0000_t202" style="position:absolute;left:6252;top:5047;width:1233;height:309">
              <v:textbox style="mso-next-textbox:#_x0000_s1045">
                <w:txbxContent>
                  <w:p w:rsidR="00941B88" w:rsidRDefault="00941B88" w:rsidP="002B7165">
                    <w:pPr>
                      <w:pStyle w:val="Textonotapie"/>
                      <w:rPr>
                        <w:szCs w:val="22"/>
                        <w:lang w:val="es-MX"/>
                      </w:rPr>
                    </w:pPr>
                    <w:r>
                      <w:rPr>
                        <w:szCs w:val="22"/>
                        <w:lang w:val="es-MX"/>
                      </w:rPr>
                      <w:t>Mermelada</w:t>
                    </w:r>
                  </w:p>
                </w:txbxContent>
              </v:textbox>
            </v:shape>
            <v:line id="_x0000_s1046" style="position:absolute;flip:y" from="5946,4584" to="5947,4893"/>
            <v:line id="_x0000_s1047" style="position:absolute" from="5946,4584" to="6252,4584">
              <v:stroke endarrow="block"/>
            </v:line>
            <v:line id="_x0000_s1048" style="position:absolute" from="6858,4904" to="6858,4904">
              <v:stroke endarrow="block"/>
            </v:line>
            <v:line id="_x0000_s1049" style="position:absolute" from="6712,4739" to="6712,4739">
              <v:stroke endarrow="block"/>
            </v:line>
            <v:line id="_x0000_s1050" style="position:absolute" from="6712,4893" to="6713,5047">
              <v:stroke endarrow="block"/>
            </v:line>
            <v:line id="_x0000_s1051" style="position:absolute" from="3954,3300" to="4414,3300">
              <v:stroke endarrow="block"/>
            </v:line>
            <v:line id="_x0000_s1052" style="position:absolute" from="5793,3454" to="6559,3454">
              <v:stroke endarrow="block"/>
            </v:line>
            <v:line id="_x0000_s1053" style="position:absolute" from="9163,3145" to="9469,3145">
              <v:stroke endarrow="block"/>
            </v:line>
            <v:line id="_x0000_s1054" style="position:absolute" from="9316,5510" to="9471,5510">
              <v:stroke endarrow="block"/>
            </v:line>
            <v:line id="_x0000_s1055" style="position:absolute" from="7784,3444" to="8703,3444"/>
            <v:line id="_x0000_s1056" style="position:absolute;flip:y" from="8703,3196" to="8703,3504">
              <v:stroke endarrow="block"/>
            </v:line>
            <v:line id="_x0000_s1057" style="position:absolute" from="8703,3526" to="8703,5223">
              <v:stroke endarrow="block"/>
            </v:line>
            <v:line id="_x0000_s1058" style="position:absolute;flip:y" from="3954,3967" to="3955,5202"/>
            <v:line id="_x0000_s1059" style="position:absolute" from="3954,3967" to="5027,3967"/>
            <v:line id="_x0000_s1060" style="position:absolute;flip:y" from="5027,3504" to="5027,3967">
              <v:stroke endarrow="block"/>
            </v:line>
            <w10:wrap type="none"/>
            <w10:anchorlock/>
          </v:group>
        </w:pict>
      </w:r>
    </w:p>
    <w:p w:rsidR="002B7165" w:rsidRDefault="002B7165" w:rsidP="00C33601">
      <w:pPr>
        <w:rPr>
          <w:sz w:val="22"/>
        </w:rPr>
      </w:pPr>
      <w:r>
        <w:rPr>
          <w:sz w:val="22"/>
        </w:rPr>
        <w:t>Fuente Elaboración a partir de Merchand, M (2004).</w:t>
      </w:r>
    </w:p>
    <w:p w:rsidR="002B7165" w:rsidRDefault="002B7165" w:rsidP="00C33601">
      <w:pPr>
        <w:rPr>
          <w:sz w:val="22"/>
        </w:rPr>
      </w:pPr>
    </w:p>
    <w:p w:rsidR="002B7165" w:rsidRPr="007317F2" w:rsidRDefault="002B7165" w:rsidP="00C33601">
      <w:pPr>
        <w:pStyle w:val="Textoindependiente2"/>
        <w:spacing w:line="240" w:lineRule="auto"/>
        <w:rPr>
          <w:sz w:val="24"/>
          <w:szCs w:val="24"/>
        </w:rPr>
      </w:pPr>
      <w:r>
        <w:rPr>
          <w:szCs w:val="23"/>
        </w:rPr>
        <w:tab/>
      </w:r>
      <w:r w:rsidRPr="007317F2">
        <w:rPr>
          <w:sz w:val="24"/>
          <w:szCs w:val="24"/>
        </w:rPr>
        <w:t>La empresa Hortifrut en 1995, reporta en sus estadísticas que en la región de Los Reyes, Michoacán, se inició la siembra comercial de la zarzamora a partir de 1993, estableciendo la variedad “Brazos” en su mayor parte, con la finalidad expresa de obtener fruta con calidad de exportación. Después de esta empresa, se han venido estableciendo otras más, siendo las principales; Hortifrut, Solo Berries, Berimex, Expofrut, Sundrys, Agroindustrial el Molinito, Jaguar y Drisco.</w:t>
      </w:r>
    </w:p>
    <w:p w:rsidR="002B7165" w:rsidRDefault="002B7165" w:rsidP="00C33601">
      <w:pPr>
        <w:autoSpaceDE w:val="0"/>
        <w:autoSpaceDN w:val="0"/>
        <w:adjustRightInd w:val="0"/>
        <w:jc w:val="both"/>
      </w:pPr>
      <w:r w:rsidRPr="007317F2">
        <w:tab/>
        <w:t xml:space="preserve">Sin embargo, las expectativas a través del tiempo se han venido perdiendo, sobre todo entre pequeños y medianos productores que han sido desplazados al no poder competir con sistemas tecnificados y altos costos de producción. </w:t>
      </w:r>
    </w:p>
    <w:p w:rsidR="002B7165" w:rsidRPr="007317F2" w:rsidRDefault="002B7165" w:rsidP="00C33601">
      <w:pPr>
        <w:autoSpaceDE w:val="0"/>
        <w:autoSpaceDN w:val="0"/>
        <w:adjustRightInd w:val="0"/>
        <w:jc w:val="both"/>
      </w:pPr>
      <w:r>
        <w:tab/>
      </w:r>
      <w:r w:rsidRPr="007317F2">
        <w:tab/>
        <w:t xml:space="preserve">El destino de la producción, bajo el sistema tecnificado es que el 95% de su producción se destina al mercado externo y el 5%  restante para mercado nacional; en </w:t>
      </w:r>
      <w:r w:rsidRPr="007317F2">
        <w:lastRenderedPageBreak/>
        <w:t>contraparte con el sistema tradicional (sin túnel), el 40% de fruta es para exportación y el 60% para el mercado nacional.  Cabe mencionar que los precios que ha registrado la zarzamora, la han convertido en el segundo cu</w:t>
      </w:r>
      <w:r>
        <w:t>ltivo más rentable de la región,</w:t>
      </w:r>
      <w:r w:rsidRPr="007317F2">
        <w:t xml:space="preserve"> después del aguacate.</w:t>
      </w:r>
    </w:p>
    <w:p w:rsidR="002B7165" w:rsidRPr="007317F2" w:rsidRDefault="002B7165" w:rsidP="00C33601">
      <w:pPr>
        <w:autoSpaceDE w:val="0"/>
        <w:autoSpaceDN w:val="0"/>
        <w:adjustRightInd w:val="0"/>
        <w:jc w:val="both"/>
      </w:pPr>
      <w:r w:rsidRPr="007317F2">
        <w:tab/>
      </w:r>
      <w:r>
        <w:t>El siguiente esquema 2</w:t>
      </w:r>
      <w:r w:rsidRPr="007317F2">
        <w:t xml:space="preserve">, muestra como cada agente participa en la producción y comercialización de la zarzamora, donde cada uno determina dentro del espacio físico que le corresponde una función en la cadena de valor analizada más arriba. </w:t>
      </w:r>
    </w:p>
    <w:p w:rsidR="002B7165" w:rsidRDefault="002B7165" w:rsidP="00C33601">
      <w:pPr>
        <w:jc w:val="center"/>
        <w:rPr>
          <w:b/>
          <w:color w:val="000000"/>
          <w:sz w:val="22"/>
        </w:rPr>
      </w:pPr>
    </w:p>
    <w:p w:rsidR="002B7165" w:rsidRDefault="002B7165" w:rsidP="00C33601">
      <w:pPr>
        <w:jc w:val="center"/>
        <w:rPr>
          <w:b/>
          <w:color w:val="000000"/>
          <w:sz w:val="22"/>
        </w:rPr>
      </w:pPr>
    </w:p>
    <w:p w:rsidR="002B7165" w:rsidRDefault="002B7165" w:rsidP="00C33601">
      <w:pPr>
        <w:jc w:val="center"/>
        <w:rPr>
          <w:b/>
          <w:color w:val="000000"/>
          <w:sz w:val="22"/>
        </w:rPr>
      </w:pPr>
    </w:p>
    <w:p w:rsidR="002B7165" w:rsidRDefault="002B7165" w:rsidP="00C33601">
      <w:pPr>
        <w:jc w:val="center"/>
        <w:rPr>
          <w:b/>
          <w:color w:val="000000"/>
          <w:sz w:val="22"/>
        </w:rPr>
      </w:pPr>
    </w:p>
    <w:p w:rsidR="002B7165" w:rsidRDefault="002B7165" w:rsidP="00C33601">
      <w:pPr>
        <w:jc w:val="center"/>
        <w:rPr>
          <w:b/>
          <w:color w:val="000000"/>
          <w:sz w:val="22"/>
        </w:rPr>
      </w:pPr>
    </w:p>
    <w:p w:rsidR="002B7165" w:rsidRDefault="002B7165" w:rsidP="00C33601">
      <w:pPr>
        <w:jc w:val="center"/>
        <w:rPr>
          <w:b/>
          <w:color w:val="000000"/>
          <w:sz w:val="22"/>
        </w:rPr>
      </w:pPr>
    </w:p>
    <w:p w:rsidR="002B7165" w:rsidRDefault="002B7165" w:rsidP="00C33601">
      <w:pPr>
        <w:jc w:val="center"/>
        <w:rPr>
          <w:bCs/>
          <w:color w:val="000000"/>
          <w:sz w:val="22"/>
        </w:rPr>
      </w:pPr>
      <w:r>
        <w:rPr>
          <w:bCs/>
          <w:color w:val="000000"/>
          <w:sz w:val="22"/>
        </w:rPr>
        <w:t xml:space="preserve">Esquema2 </w:t>
      </w:r>
    </w:p>
    <w:p w:rsidR="002B7165" w:rsidRDefault="002B7165" w:rsidP="00C33601">
      <w:pPr>
        <w:jc w:val="center"/>
        <w:rPr>
          <w:b/>
          <w:color w:val="000000"/>
          <w:sz w:val="22"/>
        </w:rPr>
      </w:pPr>
      <w:r>
        <w:rPr>
          <w:b/>
          <w:color w:val="000000"/>
          <w:sz w:val="22"/>
        </w:rPr>
        <w:t xml:space="preserve">Fases de producción y comercialización  </w:t>
      </w:r>
    </w:p>
    <w:p w:rsidR="002B7165" w:rsidRDefault="002B7165" w:rsidP="00C33601">
      <w:pPr>
        <w:ind w:left="2832" w:firstLine="708"/>
        <w:rPr>
          <w:b/>
          <w:color w:val="000000"/>
          <w:sz w:val="22"/>
        </w:rPr>
      </w:pPr>
      <w:r>
        <w:rPr>
          <w:b/>
          <w:color w:val="000000"/>
          <w:sz w:val="22"/>
        </w:rPr>
        <w:t xml:space="preserve"> de la zarzamora</w:t>
      </w:r>
    </w:p>
    <w:p w:rsidR="002B7165" w:rsidRDefault="005318F1" w:rsidP="00C33601">
      <w:pPr>
        <w:jc w:val="center"/>
        <w:rPr>
          <w:b/>
          <w:color w:val="000000"/>
          <w:sz w:val="22"/>
        </w:rPr>
      </w:pPr>
      <w:r w:rsidRPr="005318F1">
        <w:rPr>
          <w:noProof/>
          <w:sz w:val="22"/>
        </w:rPr>
        <w:pict>
          <v:group id="_x0000_s1061" editas="canvas" style="position:absolute;margin-left:-220.95pt;margin-top:13.5pt;width:450pt;height:270pt;z-index:251660288;mso-position-horizontal-relative:char;mso-position-vertical-relative:line" coordorigin="2192,4982" coordsize="7200,4320">
            <o:lock v:ext="edit" aspectratio="t"/>
            <v:shape id="_x0000_s1062" type="#_x0000_t75" style="position:absolute;left:2192;top:4982;width:7200;height:4320" o:preferrelative="f">
              <v:fill o:detectmouseclick="t"/>
              <v:path o:extrusionok="t" o:connecttype="none"/>
              <o:lock v:ext="edit" text="t"/>
            </v:shape>
            <v:oval id="_x0000_s1063" style="position:absolute;left:4036;top:5616;width:3456;height:2880"/>
            <v:oval id="_x0000_s1064" style="position:absolute;left:5620;top:5472;width:288;height:288" fillcolor="black"/>
            <v:oval id="_x0000_s1065" style="position:absolute;left:4208;top:6134;width:288;height:288" fillcolor="black"/>
            <v:oval id="_x0000_s1066" style="position:absolute;left:7088;top:6134;width:288;height:288" fillcolor="black"/>
            <v:oval id="_x0000_s1067" style="position:absolute;left:7088;top:7574;width:288;height:288" fillcolor="black"/>
            <v:oval id="_x0000_s1068" style="position:absolute;left:4064;top:7430;width:288;height:288" fillcolor="black"/>
            <v:oval id="_x0000_s1069" style="position:absolute;left:5648;top:8294;width:288;height:288" fillcolor="black"/>
            <v:oval id="_x0000_s1070" style="position:absolute;left:5360;top:6422;width:1124;height:1056"/>
            <v:shape id="_x0000_s1071" type="#_x0000_t202" style="position:absolute;left:7469;top:6192;width:455;height:288">
              <v:textbox style="mso-next-textbox:#_x0000_s1071">
                <w:txbxContent>
                  <w:p w:rsidR="00941B88" w:rsidRDefault="00941B88" w:rsidP="002B7165">
                    <w:pPr>
                      <w:rPr>
                        <w:sz w:val="22"/>
                        <w:lang w:val="es-MX"/>
                      </w:rPr>
                    </w:pPr>
                    <w:r>
                      <w:rPr>
                        <w:sz w:val="22"/>
                        <w:lang w:val="es-MX"/>
                      </w:rPr>
                      <w:t>1</w:t>
                    </w:r>
                  </w:p>
                  <w:p w:rsidR="00941B88" w:rsidRDefault="00941B88" w:rsidP="002B7165">
                    <w:pPr>
                      <w:rPr>
                        <w:lang w:val="es-MX"/>
                      </w:rPr>
                    </w:pPr>
                  </w:p>
                </w:txbxContent>
              </v:textbox>
            </v:shape>
            <v:shape id="_x0000_s1072" type="#_x0000_t202" style="position:absolute;left:5885;top:5184;width:432;height:288">
              <v:textbox style="mso-next-textbox:#_x0000_s1072">
                <w:txbxContent>
                  <w:p w:rsidR="00941B88" w:rsidRDefault="00941B88" w:rsidP="002B7165">
                    <w:pPr>
                      <w:rPr>
                        <w:sz w:val="22"/>
                        <w:lang w:val="es-MX"/>
                      </w:rPr>
                    </w:pPr>
                    <w:r>
                      <w:rPr>
                        <w:sz w:val="22"/>
                        <w:lang w:val="es-MX"/>
                      </w:rPr>
                      <w:t>2</w:t>
                    </w:r>
                  </w:p>
                </w:txbxContent>
              </v:textbox>
            </v:shape>
            <v:shape id="_x0000_s1073" type="#_x0000_t202" style="position:absolute;left:7492;top:7632;width:432;height:288">
              <v:textbox style="mso-next-textbox:#_x0000_s1073">
                <w:txbxContent>
                  <w:p w:rsidR="00941B88" w:rsidRDefault="00941B88" w:rsidP="002B7165">
                    <w:pPr>
                      <w:rPr>
                        <w:sz w:val="22"/>
                        <w:lang w:val="es-MX"/>
                      </w:rPr>
                    </w:pPr>
                    <w:r>
                      <w:rPr>
                        <w:sz w:val="22"/>
                        <w:lang w:val="es-MX"/>
                      </w:rPr>
                      <w:t>3</w:t>
                    </w:r>
                  </w:p>
                </w:txbxContent>
              </v:textbox>
            </v:shape>
            <v:shape id="_x0000_s1074" type="#_x0000_t202" style="position:absolute;left:5908;top:8640;width:432;height:288">
              <v:textbox style="mso-next-textbox:#_x0000_s1074">
                <w:txbxContent>
                  <w:p w:rsidR="00941B88" w:rsidRDefault="00941B88" w:rsidP="002B7165">
                    <w:pPr>
                      <w:rPr>
                        <w:sz w:val="22"/>
                        <w:lang w:val="es-MX"/>
                      </w:rPr>
                    </w:pPr>
                    <w:r>
                      <w:rPr>
                        <w:sz w:val="22"/>
                        <w:lang w:val="es-MX"/>
                      </w:rPr>
                      <w:t>4</w:t>
                    </w:r>
                  </w:p>
                </w:txbxContent>
              </v:textbox>
            </v:shape>
            <v:shape id="_x0000_s1075" type="#_x0000_t202" style="position:absolute;left:3892;top:7776;width:432;height:288">
              <v:textbox style="mso-next-textbox:#_x0000_s1075">
                <w:txbxContent>
                  <w:p w:rsidR="00941B88" w:rsidRDefault="00941B88" w:rsidP="002B7165">
                    <w:pPr>
                      <w:rPr>
                        <w:sz w:val="22"/>
                        <w:lang w:val="es-MX"/>
                      </w:rPr>
                    </w:pPr>
                    <w:r>
                      <w:rPr>
                        <w:sz w:val="22"/>
                        <w:lang w:val="es-MX"/>
                      </w:rPr>
                      <w:t>5</w:t>
                    </w:r>
                  </w:p>
                </w:txbxContent>
              </v:textbox>
            </v:shape>
            <v:shape id="_x0000_s1076" type="#_x0000_t202" style="position:absolute;left:3892;top:5904;width:432;height:288">
              <v:textbox style="mso-next-textbox:#_x0000_s1076">
                <w:txbxContent>
                  <w:p w:rsidR="00941B88" w:rsidRDefault="00941B88" w:rsidP="002B7165">
                    <w:pPr>
                      <w:rPr>
                        <w:sz w:val="22"/>
                        <w:lang w:val="es-MX"/>
                      </w:rPr>
                    </w:pPr>
                    <w:r>
                      <w:rPr>
                        <w:sz w:val="22"/>
                        <w:lang w:val="es-MX"/>
                      </w:rPr>
                      <w:t>6</w:t>
                    </w:r>
                  </w:p>
                </w:txbxContent>
              </v:textbox>
            </v:shape>
            <v:shape id="_x0000_s1077" type="#_x0000_t202" style="position:absolute;left:5620;top:6768;width:432;height:288">
              <v:textbox style="mso-next-textbox:#_x0000_s1077">
                <w:txbxContent>
                  <w:p w:rsidR="00941B88" w:rsidRDefault="00941B88" w:rsidP="002B7165">
                    <w:pPr>
                      <w:rPr>
                        <w:sz w:val="22"/>
                        <w:lang w:val="es-MX"/>
                      </w:rPr>
                    </w:pPr>
                    <w:r>
                      <w:rPr>
                        <w:sz w:val="22"/>
                        <w:lang w:val="es-MX"/>
                      </w:rPr>
                      <w:t>7</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8" type="#_x0000_t66" style="position:absolute;left:6484;top:8208;width:1008;height:432" fillcolor="black"/>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9" type="#_x0000_t68" style="position:absolute;left:3604;top:6480;width:432;height:854" fillcolor="black"/>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0" type="#_x0000_t67" style="position:absolute;left:7492;top:6768;width:432;height:720" fillcolor="black"/>
            <v:shape id="_x0000_s1081" type="#_x0000_t67" style="position:absolute;left:6628;top:5318;width:432;height:576" fillcolor="black"/>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2" type="#_x0000_t13" style="position:absolute;left:4612;top:6182;width:1008;height:432" fillcolor="black"/>
            <v:shape id="_x0000_s1083" type="#_x0000_t13" style="position:absolute;left:4180;top:7046;width:1152;height:432" fillcolor="black"/>
            <v:shape id="_x0000_s1084" type="#_x0000_t66" style="position:absolute;left:4612;top:7622;width:2448;height:432" fillcolor="black"/>
          </v:group>
        </w:pict>
      </w:r>
    </w:p>
    <w:p w:rsidR="002B7165" w:rsidRDefault="005318F1" w:rsidP="00C33601">
      <w:pPr>
        <w:jc w:val="center"/>
        <w:rPr>
          <w:b/>
          <w:color w:val="000000"/>
          <w:sz w:val="22"/>
        </w:rPr>
      </w:pPr>
      <w:r w:rsidRPr="005318F1">
        <w:rPr>
          <w:b/>
          <w:color w:val="000000"/>
          <w:sz w:val="22"/>
        </w:rPr>
        <w:pict>
          <v:shape id="_x0000_i1026" type="#_x0000_t75" style="width:450.25pt;height:270.25pt">
            <v:imagedata croptop="-65520f" cropbottom="65520f"/>
          </v:shape>
        </w:pict>
      </w:r>
    </w:p>
    <w:p w:rsidR="002B7165" w:rsidRPr="007317F2" w:rsidRDefault="002B7165" w:rsidP="00C33601">
      <w:pPr>
        <w:jc w:val="both"/>
        <w:rPr>
          <w:bCs/>
          <w:color w:val="000000"/>
        </w:rPr>
      </w:pPr>
      <w:r w:rsidRPr="007317F2">
        <w:rPr>
          <w:bCs/>
          <w:color w:val="000000"/>
        </w:rPr>
        <w:t>1. Cultivo de la zarzamora</w:t>
      </w:r>
    </w:p>
    <w:p w:rsidR="002B7165" w:rsidRPr="007317F2" w:rsidRDefault="002B7165" w:rsidP="00C33601">
      <w:pPr>
        <w:jc w:val="both"/>
        <w:rPr>
          <w:bCs/>
          <w:color w:val="000000"/>
        </w:rPr>
      </w:pPr>
      <w:r w:rsidRPr="007317F2">
        <w:rPr>
          <w:bCs/>
          <w:color w:val="000000"/>
        </w:rPr>
        <w:t xml:space="preserve">2. Insumos agrícolas (fertilizantes, herbicidas y foliares). </w:t>
      </w:r>
    </w:p>
    <w:p w:rsidR="002B7165" w:rsidRPr="007317F2" w:rsidRDefault="002B7165" w:rsidP="00C33601">
      <w:pPr>
        <w:jc w:val="both"/>
        <w:rPr>
          <w:bCs/>
          <w:color w:val="000000"/>
        </w:rPr>
      </w:pPr>
      <w:r w:rsidRPr="007317F2">
        <w:rPr>
          <w:bCs/>
          <w:color w:val="000000"/>
        </w:rPr>
        <w:t>3. Empaque en cada una de las huertas.</w:t>
      </w:r>
      <w:r w:rsidRPr="007317F2">
        <w:rPr>
          <w:rStyle w:val="Refdenotaalpie"/>
          <w:bCs/>
          <w:color w:val="000000"/>
        </w:rPr>
        <w:footnoteReference w:id="29"/>
      </w:r>
    </w:p>
    <w:p w:rsidR="002B7165" w:rsidRPr="007317F2" w:rsidRDefault="002B7165" w:rsidP="00C33601">
      <w:pPr>
        <w:jc w:val="both"/>
        <w:rPr>
          <w:bCs/>
          <w:color w:val="000000"/>
        </w:rPr>
      </w:pPr>
      <w:r w:rsidRPr="007317F2">
        <w:rPr>
          <w:bCs/>
          <w:color w:val="000000"/>
        </w:rPr>
        <w:t xml:space="preserve">4. Transnacionales </w:t>
      </w:r>
    </w:p>
    <w:p w:rsidR="002B7165" w:rsidRPr="007317F2" w:rsidRDefault="002B7165" w:rsidP="00C33601">
      <w:pPr>
        <w:jc w:val="both"/>
        <w:rPr>
          <w:bCs/>
          <w:color w:val="000000"/>
        </w:rPr>
      </w:pPr>
      <w:r w:rsidRPr="007317F2">
        <w:rPr>
          <w:bCs/>
          <w:color w:val="000000"/>
        </w:rPr>
        <w:t>5. Empresa local (compradora de la zarzamora que no pasó el control de calidad)</w:t>
      </w:r>
      <w:r w:rsidRPr="007317F2">
        <w:rPr>
          <w:rStyle w:val="Refdenotaalpie"/>
          <w:bCs/>
          <w:color w:val="000000"/>
        </w:rPr>
        <w:footnoteReference w:id="30"/>
      </w:r>
      <w:r w:rsidRPr="007317F2">
        <w:rPr>
          <w:bCs/>
          <w:color w:val="000000"/>
        </w:rPr>
        <w:t xml:space="preserve"> </w:t>
      </w:r>
    </w:p>
    <w:p w:rsidR="002B7165" w:rsidRPr="007317F2" w:rsidRDefault="002B7165" w:rsidP="00C33601">
      <w:pPr>
        <w:jc w:val="both"/>
        <w:rPr>
          <w:bCs/>
          <w:color w:val="000000"/>
        </w:rPr>
      </w:pPr>
      <w:r w:rsidRPr="007317F2">
        <w:rPr>
          <w:bCs/>
          <w:color w:val="000000"/>
        </w:rPr>
        <w:t xml:space="preserve">6. Destino (Internacional y nacional). </w:t>
      </w:r>
    </w:p>
    <w:p w:rsidR="002B7165" w:rsidRPr="007317F2" w:rsidRDefault="002B7165" w:rsidP="00C33601">
      <w:pPr>
        <w:jc w:val="both"/>
        <w:rPr>
          <w:b/>
          <w:color w:val="000000"/>
        </w:rPr>
      </w:pPr>
      <w:r w:rsidRPr="007317F2">
        <w:rPr>
          <w:bCs/>
          <w:color w:val="000000"/>
        </w:rPr>
        <w:lastRenderedPageBreak/>
        <w:t>7. Consumidores</w:t>
      </w:r>
      <w:r w:rsidRPr="007317F2">
        <w:rPr>
          <w:b/>
          <w:color w:val="000000"/>
        </w:rPr>
        <w:t xml:space="preserve"> </w:t>
      </w:r>
    </w:p>
    <w:p w:rsidR="002B7165" w:rsidRPr="007317F2" w:rsidRDefault="002B7165" w:rsidP="00C33601">
      <w:pPr>
        <w:autoSpaceDE w:val="0"/>
        <w:autoSpaceDN w:val="0"/>
        <w:adjustRightInd w:val="0"/>
        <w:jc w:val="both"/>
      </w:pPr>
      <w:r>
        <w:tab/>
        <w:t>Como bien,</w:t>
      </w:r>
      <w:r w:rsidRPr="007317F2">
        <w:t xml:space="preserve"> lo explica Macías, A (2003), </w:t>
      </w:r>
      <w:r w:rsidRPr="007317F2">
        <w:rPr>
          <w:bCs/>
        </w:rPr>
        <w:t>aplicando el caso para el jitomate mexicano; pero de igual forma se puede extender al caso de la zarzamora. Las actividades agrícolas o agroindustriales de frutas y otros cultivos se caracterizan por desarrollar  enclaves agrícolas modernos, surgidos de la apertura internacional de los me</w:t>
      </w:r>
      <w:r w:rsidRPr="007317F2">
        <w:t>rcados y de las nuevas exigencias de la producción flexible.  Esta flexibilización en las estructuras productivas se gesta y se apoya a través de contratos</w:t>
      </w:r>
      <w:r w:rsidRPr="007317F2">
        <w:rPr>
          <w:rStyle w:val="Refdenotaalpie"/>
        </w:rPr>
        <w:footnoteReference w:id="31"/>
      </w:r>
      <w:r w:rsidRPr="007317F2">
        <w:t xml:space="preserve"> entre el productor dueño de la tierra y el que controla la calidad de la producción, así como su provisión oportuna de parte del contratista, es decir, de la empresa transnacional. </w:t>
      </w:r>
    </w:p>
    <w:p w:rsidR="002B7165" w:rsidRPr="007317F2" w:rsidRDefault="002B7165" w:rsidP="00C33601">
      <w:pPr>
        <w:autoSpaceDE w:val="0"/>
        <w:autoSpaceDN w:val="0"/>
        <w:adjustRightInd w:val="0"/>
        <w:jc w:val="both"/>
      </w:pPr>
      <w:r w:rsidRPr="007317F2">
        <w:tab/>
        <w:t>Se puede decir, como lo sostuvo hace treinta años Feder, E (1981), que la superioridad financiera y tecnológica de los negociantes norteamericanos no beneficia a la agricultura mexicana, pues se contribuye a la inestabilidad y descapitalización. El empleo en la agricultura de contrato dificulta el cumplimiento cabal de las leyes laborales; además permite a  la empresa ahorrar en seguro médico, compensaciones al trabajador y evita la organización permanente de los trabajadores.</w:t>
      </w:r>
    </w:p>
    <w:p w:rsidR="002B7165" w:rsidRPr="007317F2" w:rsidRDefault="002B7165" w:rsidP="00C33601">
      <w:pPr>
        <w:jc w:val="both"/>
      </w:pPr>
      <w:r>
        <w:tab/>
      </w:r>
    </w:p>
    <w:p w:rsidR="002B7165" w:rsidRPr="007317F2" w:rsidRDefault="002B7165" w:rsidP="00C33601">
      <w:pPr>
        <w:pStyle w:val="Textonotapie"/>
        <w:tabs>
          <w:tab w:val="left" w:pos="2880"/>
        </w:tabs>
        <w:jc w:val="both"/>
        <w:rPr>
          <w:sz w:val="24"/>
          <w:szCs w:val="24"/>
        </w:rPr>
      </w:pPr>
      <w:r w:rsidRPr="007317F2">
        <w:rPr>
          <w:b/>
          <w:bCs/>
          <w:sz w:val="24"/>
          <w:szCs w:val="24"/>
        </w:rPr>
        <w:t>Conclusiones</w:t>
      </w:r>
      <w:r w:rsidRPr="007317F2">
        <w:rPr>
          <w:sz w:val="24"/>
          <w:szCs w:val="24"/>
        </w:rPr>
        <w:t>.</w:t>
      </w:r>
    </w:p>
    <w:p w:rsidR="002B7165" w:rsidRPr="007317F2" w:rsidRDefault="002B7165" w:rsidP="00C33601">
      <w:pPr>
        <w:pStyle w:val="Textonotapie"/>
        <w:tabs>
          <w:tab w:val="left" w:pos="2880"/>
        </w:tabs>
        <w:jc w:val="both"/>
        <w:rPr>
          <w:sz w:val="24"/>
          <w:szCs w:val="24"/>
        </w:rPr>
      </w:pPr>
    </w:p>
    <w:p w:rsidR="002B7165" w:rsidRPr="007317F2" w:rsidRDefault="002B7165" w:rsidP="00C33601">
      <w:pPr>
        <w:pStyle w:val="Textonotapie"/>
        <w:tabs>
          <w:tab w:val="left" w:pos="2880"/>
        </w:tabs>
        <w:jc w:val="both"/>
        <w:rPr>
          <w:sz w:val="24"/>
          <w:szCs w:val="24"/>
        </w:rPr>
      </w:pPr>
      <w:r w:rsidRPr="007317F2">
        <w:rPr>
          <w:sz w:val="24"/>
          <w:szCs w:val="24"/>
        </w:rPr>
        <w:t>Se</w:t>
      </w:r>
      <w:r>
        <w:rPr>
          <w:sz w:val="24"/>
          <w:szCs w:val="24"/>
        </w:rPr>
        <w:t xml:space="preserve"> ha</w:t>
      </w:r>
      <w:r w:rsidRPr="007317F2">
        <w:rPr>
          <w:sz w:val="24"/>
          <w:szCs w:val="24"/>
        </w:rPr>
        <w:t xml:space="preserve"> identificado por qué las transnacionales invierten en determinadas regiones y no en otras, también se presenta la conjetura;</w:t>
      </w:r>
      <w:r>
        <w:rPr>
          <w:sz w:val="24"/>
          <w:szCs w:val="24"/>
        </w:rPr>
        <w:t xml:space="preserve"> en torno a que estos capitales</w:t>
      </w:r>
      <w:r w:rsidRPr="007317F2">
        <w:rPr>
          <w:sz w:val="24"/>
          <w:szCs w:val="24"/>
        </w:rPr>
        <w:t xml:space="preserve"> no aseguran su permanencia en la localidad en la región, pues desarrollan la misma lógica de las maquilas, en el sentido de permanecer sólo cuando las ventajas comparativas (mano de obra abundante y barata, recursos naturales –suelo, agua-), les garantice reproducir su capital mundial.    </w:t>
      </w:r>
    </w:p>
    <w:p w:rsidR="002B7165" w:rsidRPr="007317F2" w:rsidRDefault="002B7165" w:rsidP="00C33601">
      <w:pPr>
        <w:pStyle w:val="Textonotapie"/>
        <w:tabs>
          <w:tab w:val="left" w:pos="2880"/>
        </w:tabs>
        <w:jc w:val="both"/>
        <w:rPr>
          <w:sz w:val="24"/>
          <w:szCs w:val="24"/>
        </w:rPr>
      </w:pPr>
      <w:r>
        <w:rPr>
          <w:sz w:val="24"/>
          <w:szCs w:val="24"/>
        </w:rPr>
        <w:tab/>
      </w:r>
      <w:r w:rsidRPr="007317F2">
        <w:rPr>
          <w:sz w:val="24"/>
          <w:szCs w:val="24"/>
        </w:rPr>
        <w:t xml:space="preserve">Las estrategias de estos capitales globalizados, emplean los encadenamientos mercantiles y los mecanismos de flexibilización que les permite reproducir su capital glocal, estos mecanismos operan va la lógica de una relación asimétrica entre el productor local que se compromete vías acuerdos de  contratación verbales para sujetar sus intereses  a lo de ellos, imponiendo las reglas y las normas que dicte el empresario.    </w:t>
      </w:r>
    </w:p>
    <w:p w:rsidR="002B7165" w:rsidRPr="00703474" w:rsidRDefault="002B7165" w:rsidP="00C33601">
      <w:pPr>
        <w:pStyle w:val="Textonotapie"/>
        <w:tabs>
          <w:tab w:val="left" w:pos="2880"/>
        </w:tabs>
        <w:jc w:val="both"/>
        <w:rPr>
          <w:sz w:val="24"/>
          <w:szCs w:val="24"/>
        </w:rPr>
      </w:pPr>
      <w:r w:rsidRPr="007317F2">
        <w:rPr>
          <w:sz w:val="24"/>
          <w:szCs w:val="24"/>
        </w:rPr>
        <w:tab/>
        <w:t>Por supuesto que esta forma de operar por parte de las transnacionales no tiene sólo una lógica micro-empresarial, obedece a un modelo o patrón agro-exportador neoliberal que explica en gran parte su accionar; ¿Por qué se les permite a estas empresas asentarse de esta forma y explotar los recursos naturales, sin ningún instrumento por parte del Estado que regule y oriente este tipo de inversiones? Al contrario, todo apunta a señalar que sucede lo contrario, que las transnacionales como siempre, son los únicos árbitros que imponen sus reglas para que el juego este a su favor  y  que los otros pierdan lo poco que tienen</w:t>
      </w:r>
      <w:r>
        <w:rPr>
          <w:sz w:val="24"/>
          <w:szCs w:val="24"/>
        </w:rPr>
        <w:t>, aquí juega; el</w:t>
      </w:r>
      <w:r w:rsidRPr="007317F2">
        <w:rPr>
          <w:sz w:val="24"/>
          <w:szCs w:val="24"/>
        </w:rPr>
        <w:t xml:space="preserve"> estado Federal y local</w:t>
      </w:r>
      <w:r>
        <w:rPr>
          <w:sz w:val="24"/>
          <w:szCs w:val="24"/>
        </w:rPr>
        <w:t xml:space="preserve"> un papel fundamental al instrumentar un</w:t>
      </w:r>
      <w:r w:rsidRPr="007317F2">
        <w:rPr>
          <w:sz w:val="24"/>
          <w:szCs w:val="24"/>
        </w:rPr>
        <w:t xml:space="preserve"> modelo económico agroexportador que acentúa y legaliza las reglas </w:t>
      </w:r>
      <w:r w:rsidRPr="007317F2">
        <w:rPr>
          <w:sz w:val="24"/>
          <w:szCs w:val="24"/>
        </w:rPr>
        <w:lastRenderedPageBreak/>
        <w:t>asimétricas que reproducen un patrón de acumulación fundamentado en la sobreexplotación del recurso natural a partir de la exclusividad de las transnacionales</w:t>
      </w:r>
      <w:r>
        <w:rPr>
          <w:sz w:val="24"/>
          <w:szCs w:val="24"/>
        </w:rPr>
        <w:t>.</w:t>
      </w:r>
      <w:r w:rsidRPr="007317F2">
        <w:rPr>
          <w:sz w:val="24"/>
          <w:szCs w:val="24"/>
        </w:rPr>
        <w:t xml:space="preserve">        </w:t>
      </w:r>
    </w:p>
    <w:p w:rsidR="002B7165" w:rsidRPr="009E484D" w:rsidRDefault="002B7165" w:rsidP="00C33601">
      <w:pPr>
        <w:jc w:val="both"/>
      </w:pPr>
      <w:r>
        <w:tab/>
        <w:t>L</w:t>
      </w:r>
      <w:r w:rsidRPr="009E484D">
        <w:t>a importa</w:t>
      </w:r>
      <w:r>
        <w:t>ncia de las aglomeraciones (conjunto de empresas transnacionales agroexportadoras</w:t>
      </w:r>
      <w:r w:rsidRPr="009E484D">
        <w:t>) y su proceso de acumulación de riqueza en los l</w:t>
      </w:r>
      <w:r>
        <w:t>ugares favorecidos por éstas, refuerza un</w:t>
      </w:r>
      <w:r w:rsidRPr="009E484D">
        <w:t xml:space="preserve"> patrón territorial concentrador y excluyente</w:t>
      </w:r>
      <w:r>
        <w:t>;</w:t>
      </w:r>
      <w:r w:rsidRPr="009E484D">
        <w:t xml:space="preserve"> es</w:t>
      </w:r>
      <w:r>
        <w:t>tá es</w:t>
      </w:r>
      <w:r w:rsidRPr="009E484D">
        <w:t xml:space="preserve"> la práctica que ha operado en México. </w:t>
      </w:r>
      <w:r>
        <w:t>Como se ha explicado, e</w:t>
      </w:r>
      <w:r w:rsidRPr="009E484D">
        <w:t xml:space="preserve">stas aglomeraciones </w:t>
      </w:r>
      <w:r w:rsidRPr="009E484D">
        <w:rPr>
          <w:lang w:eastAsia="es-ES_tradnl"/>
        </w:rPr>
        <w:t xml:space="preserve">pueden calificarse como </w:t>
      </w:r>
      <w:r w:rsidRPr="009E484D">
        <w:rPr>
          <w:iCs/>
          <w:lang w:eastAsia="es-ES_tradnl"/>
        </w:rPr>
        <w:t xml:space="preserve">escenarios inestables, este adjetivo de inestables, se debe a que la dinámica económica de estas aglomeraciones dependen en gran parte del monto de inversiones productivas que las empresas, sobre todo las multinacionales realicen en la economía local, lo que coloca a estas localidades en un posicionamiento muy vulnerable y dependiente de los flujos de inversiones que generen estas empresas en in situ.  </w:t>
      </w:r>
      <w:r>
        <w:rPr>
          <w:iCs/>
          <w:lang w:eastAsia="es-ES_tradnl"/>
        </w:rPr>
        <w:t>El</w:t>
      </w:r>
      <w:r w:rsidRPr="009E484D">
        <w:t xml:space="preserve"> territorio mexicano ha estado configurándose en el transcurso de los últimos veinticinco años a una reestructuración territorial sujeta a un patrón o estilo de desarrollo extrovertido que más ha beneficiado a ciertos espacios funcionales (aglomeraciones) que cumplen con las expectativas de las ventajas competitivas que exige el capital mundial. </w:t>
      </w:r>
    </w:p>
    <w:p w:rsidR="002B7165" w:rsidRPr="002B7165" w:rsidRDefault="002B7165" w:rsidP="00C33601">
      <w:pPr>
        <w:pStyle w:val="Textonotapie"/>
        <w:tabs>
          <w:tab w:val="left" w:pos="2880"/>
        </w:tabs>
        <w:jc w:val="both"/>
        <w:rPr>
          <w:b/>
          <w:sz w:val="24"/>
          <w:szCs w:val="24"/>
        </w:rPr>
      </w:pPr>
      <w:r w:rsidRPr="002B7165">
        <w:rPr>
          <w:b/>
          <w:sz w:val="24"/>
          <w:szCs w:val="24"/>
        </w:rPr>
        <w:t>Bibliografía</w:t>
      </w:r>
    </w:p>
    <w:p w:rsidR="002B7165" w:rsidRDefault="002B7165" w:rsidP="00C33601">
      <w:pPr>
        <w:jc w:val="both"/>
      </w:pPr>
      <w:r>
        <w:t>-Arroyo, A</w:t>
      </w:r>
      <w:r w:rsidR="007B6109">
        <w:t xml:space="preserve"> et al</w:t>
      </w:r>
      <w:r>
        <w:t xml:space="preserve">. Resultados de 7 años el TLCAN en México: Lecciones para la negociación del ALCA. Red Mexicana de acción frente al libre Comercio </w:t>
      </w:r>
      <w:r w:rsidR="005526AC">
        <w:t>Apoyado por Oxfam Internacional</w:t>
      </w:r>
      <w:r w:rsidR="005C1DF4">
        <w:t>, 2001</w:t>
      </w:r>
      <w:r w:rsidR="005526AC">
        <w:t>.</w:t>
      </w:r>
    </w:p>
    <w:p w:rsidR="002B7165" w:rsidRDefault="007B6109" w:rsidP="00C33601">
      <w:pPr>
        <w:pStyle w:val="Textoindependiente"/>
      </w:pPr>
      <w:r>
        <w:t>-Asuad, N.</w:t>
      </w:r>
      <w:r w:rsidR="002B7165" w:rsidRPr="00D84917">
        <w:t xml:space="preserve"> Economía regional y urbana: introducción a las teorías, técnicas y metodologías básicas. Benemérita Univers</w:t>
      </w:r>
      <w:r>
        <w:t>idad Autónoma de Puebla, México</w:t>
      </w:r>
      <w:r w:rsidR="005C1DF4">
        <w:t>, 2001.</w:t>
      </w:r>
    </w:p>
    <w:p w:rsidR="002B7165" w:rsidRPr="00C05F1A" w:rsidRDefault="007B6109" w:rsidP="00C33601">
      <w:pPr>
        <w:jc w:val="both"/>
        <w:rPr>
          <w:lang w:val="es-MX"/>
        </w:rPr>
      </w:pPr>
      <w:r>
        <w:t>-Balassa, B</w:t>
      </w:r>
      <w:r w:rsidR="002B7165">
        <w:t xml:space="preserve">. </w:t>
      </w:r>
      <w:r w:rsidR="002B7165">
        <w:rPr>
          <w:lang w:val="en-US"/>
        </w:rPr>
        <w:t xml:space="preserve">“Prices incentives and economic growth further evidence”. </w:t>
      </w:r>
      <w:r w:rsidR="002B7165" w:rsidRPr="00C05F1A">
        <w:rPr>
          <w:lang w:val="es-MX"/>
        </w:rPr>
        <w:t>Journal o</w:t>
      </w:r>
      <w:r w:rsidR="005526AC">
        <w:rPr>
          <w:lang w:val="es-MX"/>
        </w:rPr>
        <w:t>f Dev</w:t>
      </w:r>
      <w:r w:rsidR="005C1DF4">
        <w:rPr>
          <w:lang w:val="es-MX"/>
        </w:rPr>
        <w:t>elopment Economics, vol. 5,</w:t>
      </w:r>
      <w:r>
        <w:rPr>
          <w:lang w:val="es-MX"/>
        </w:rPr>
        <w:t>1984</w:t>
      </w:r>
      <w:r w:rsidR="005526AC">
        <w:rPr>
          <w:lang w:val="es-MX"/>
        </w:rPr>
        <w:t>.</w:t>
      </w:r>
    </w:p>
    <w:p w:rsidR="002B7165" w:rsidRDefault="007B6109" w:rsidP="00C33601">
      <w:pPr>
        <w:jc w:val="both"/>
        <w:rPr>
          <w:lang w:val="es-MX"/>
        </w:rPr>
      </w:pPr>
      <w:r>
        <w:rPr>
          <w:lang w:val="es-MX"/>
        </w:rPr>
        <w:t>-Barkin, D</w:t>
      </w:r>
      <w:r w:rsidR="002B7165">
        <w:rPr>
          <w:lang w:val="es-MX"/>
        </w:rPr>
        <w:t>. Un desarrollo distorsionado: la integración de México a la economía mundial.  México, Siglo XX1</w:t>
      </w:r>
      <w:r w:rsidR="005C1DF4">
        <w:rPr>
          <w:lang w:val="es-MX"/>
        </w:rPr>
        <w:t>,1991</w:t>
      </w:r>
      <w:r>
        <w:rPr>
          <w:lang w:val="es-MX"/>
        </w:rPr>
        <w:t>.</w:t>
      </w:r>
    </w:p>
    <w:p w:rsidR="002B7165" w:rsidRDefault="007B6109" w:rsidP="00C33601">
      <w:pPr>
        <w:jc w:val="both"/>
      </w:pPr>
      <w:r>
        <w:rPr>
          <w:lang w:val="es-MX"/>
        </w:rPr>
        <w:t>-Bonnefoy, J</w:t>
      </w:r>
      <w:r w:rsidR="002B7165" w:rsidRPr="00C05F1A">
        <w:rPr>
          <w:lang w:val="es-MX"/>
        </w:rPr>
        <w:t xml:space="preserve">. La matriz de marco lógico; indicadores. Seminario –taller “Matriz de marco lógico de programas públicos. </w:t>
      </w:r>
      <w:r w:rsidR="005C1DF4">
        <w:t>ILPES y Sedesol, 2006</w:t>
      </w:r>
      <w:r>
        <w:t>.</w:t>
      </w:r>
      <w:r w:rsidR="002B7165">
        <w:t xml:space="preserve"> </w:t>
      </w:r>
    </w:p>
    <w:p w:rsidR="002B7165" w:rsidRDefault="007B6109" w:rsidP="00C33601">
      <w:pPr>
        <w:jc w:val="both"/>
      </w:pPr>
      <w:r>
        <w:t>-Cámara de diputados</w:t>
      </w:r>
      <w:r w:rsidR="002B7165">
        <w:t xml:space="preserve">. La liberalización y el comercio intra-regional agrícola de México con los países que integran el TLCAN. Servicio de Investigación y análisis. </w:t>
      </w:r>
      <w:r>
        <w:t>División de Economía y C</w:t>
      </w:r>
      <w:r w:rsidR="005C1DF4">
        <w:t>omercio, 2004</w:t>
      </w:r>
      <w:r>
        <w:t>.</w:t>
      </w:r>
    </w:p>
    <w:p w:rsidR="002B7165" w:rsidRPr="007E1395" w:rsidRDefault="002B7165" w:rsidP="00C33601">
      <w:pPr>
        <w:jc w:val="both"/>
        <w:rPr>
          <w:i/>
          <w:color w:val="000000"/>
        </w:rPr>
      </w:pPr>
      <w:r>
        <w:t>_________________</w:t>
      </w:r>
      <w:r>
        <w:rPr>
          <w:bCs/>
          <w:color w:val="000000"/>
        </w:rPr>
        <w:t xml:space="preserve">.  Servicio de Investigación y Análisis y División de Economía y Comercio. </w:t>
      </w:r>
      <w:r>
        <w:rPr>
          <w:bCs/>
          <w:iCs/>
          <w:color w:val="000000"/>
        </w:rPr>
        <w:t>La política de asignación del crédito agrícola en México durante el periodo de 1994-</w:t>
      </w:r>
      <w:smartTag w:uri="urn:schemas-microsoft-com:office:smarttags" w:element="metricconverter">
        <w:smartTagPr>
          <w:attr w:name="ProductID" w:val="2000.”"/>
        </w:smartTagPr>
        <w:r>
          <w:rPr>
            <w:bCs/>
            <w:iCs/>
            <w:color w:val="000000"/>
          </w:rPr>
          <w:t>2000.”</w:t>
        </w:r>
      </w:smartTag>
      <w:r>
        <w:rPr>
          <w:iCs/>
          <w:color w:val="000000"/>
        </w:rPr>
        <w:t xml:space="preserve"> </w:t>
      </w:r>
      <w:hyperlink r:id="rId12" w:history="1">
        <w:r>
          <w:rPr>
            <w:rStyle w:val="Hipervnculo"/>
            <w:iCs/>
            <w:color w:val="000000"/>
          </w:rPr>
          <w:t>http://www.diputados.gob.mx/sia/ecoycom/pdf/dec47.pdf</w:t>
        </w:r>
      </w:hyperlink>
      <w:r w:rsidR="005C1DF4">
        <w:t>, 2004</w:t>
      </w:r>
      <w:r w:rsidR="007B6109">
        <w:t>.</w:t>
      </w:r>
    </w:p>
    <w:p w:rsidR="002B7165" w:rsidRPr="00D84917" w:rsidRDefault="002B7165" w:rsidP="00C33601">
      <w:pPr>
        <w:autoSpaceDE w:val="0"/>
        <w:autoSpaceDN w:val="0"/>
        <w:adjustRightInd w:val="0"/>
        <w:jc w:val="both"/>
      </w:pPr>
      <w:r w:rsidRPr="00D84917">
        <w:t xml:space="preserve">-Comisión Nacional del Agua (CNA).  Gerencia Estatal en Michoacán, Subgerencia de Administración de Agua, 2001. </w:t>
      </w:r>
    </w:p>
    <w:p w:rsidR="002B7165" w:rsidRDefault="007B6109" w:rsidP="00C33601">
      <w:pPr>
        <w:jc w:val="both"/>
        <w:rPr>
          <w:lang w:val="en-US"/>
        </w:rPr>
      </w:pPr>
      <w:r>
        <w:t>-Cuadrado, J et  al</w:t>
      </w:r>
      <w:r w:rsidR="002B7165">
        <w:t xml:space="preserve">. Introducción a la política económica. </w:t>
      </w:r>
      <w:r w:rsidR="002B7165">
        <w:rPr>
          <w:lang w:val="en-US"/>
        </w:rPr>
        <w:t>McGraw-Hill</w:t>
      </w:r>
      <w:r w:rsidR="005C1DF4">
        <w:rPr>
          <w:lang w:val="en-US"/>
        </w:rPr>
        <w:t>,1995.</w:t>
      </w:r>
      <w:r w:rsidR="002B7165">
        <w:rPr>
          <w:lang w:val="en-US"/>
        </w:rPr>
        <w:t xml:space="preserve"> </w:t>
      </w:r>
    </w:p>
    <w:p w:rsidR="002B7165" w:rsidRDefault="007B6109" w:rsidP="00C33601">
      <w:pPr>
        <w:jc w:val="both"/>
      </w:pPr>
      <w:r>
        <w:t>-Curbelo, L</w:t>
      </w:r>
      <w:r w:rsidR="002B7165">
        <w:t xml:space="preserve">. “El espacio del ajuste estructural: algunas reflexiones acerca de </w:t>
      </w:r>
      <w:smartTag w:uri="urn:schemas-microsoft-com:office:smarttags" w:element="PersonName">
        <w:smartTagPr>
          <w:attr w:name="ProductID" w:val="la Am￩rica"/>
        </w:smartTagPr>
        <w:r w:rsidR="002B7165">
          <w:t>la América</w:t>
        </w:r>
      </w:smartTag>
      <w:r w:rsidR="002B7165">
        <w:t xml:space="preserve"> latina”, (Alburqueque, F et al, coord.) Revolución tecnológica y reestructuración </w:t>
      </w:r>
      <w:r>
        <w:t xml:space="preserve"> </w:t>
      </w:r>
      <w:r w:rsidR="002B7165">
        <w:t>productiva: impactos y d</w:t>
      </w:r>
      <w:r>
        <w:t>esafíos territoriales ILPES/ONU</w:t>
      </w:r>
      <w:r w:rsidR="005C1DF4">
        <w:t>, 1990</w:t>
      </w:r>
      <w:r>
        <w:t>.</w:t>
      </w:r>
    </w:p>
    <w:p w:rsidR="002B7165" w:rsidRDefault="007B6109" w:rsidP="00C33601">
      <w:pPr>
        <w:jc w:val="both"/>
      </w:pPr>
      <w:r>
        <w:t>-Dixon, K</w:t>
      </w:r>
      <w:r w:rsidR="002B7165">
        <w:t>. Entrevista con Keith Dixon: “comprender los lazos históricos y políticos del Neoliberalismo con la mundializaci</w:t>
      </w:r>
      <w:r>
        <w:t>ón”, Red voltaire.net -</w:t>
      </w:r>
      <w:r w:rsidR="002B7165">
        <w:t>http://www.</w:t>
      </w:r>
      <w:r>
        <w:t>redvoltaire.net/article90.html-</w:t>
      </w:r>
      <w:r w:rsidR="005C1DF4">
        <w:t>, 2002</w:t>
      </w:r>
      <w:r>
        <w:t>.</w:t>
      </w:r>
      <w:r w:rsidR="002B7165">
        <w:t xml:space="preserve">   </w:t>
      </w:r>
    </w:p>
    <w:p w:rsidR="002B7165" w:rsidRDefault="002B7165" w:rsidP="00C33601">
      <w:pPr>
        <w:jc w:val="both"/>
        <w:rPr>
          <w:lang w:val="es-ES_tradnl"/>
        </w:rPr>
      </w:pPr>
      <w:r>
        <w:t>-ETC-</w:t>
      </w:r>
      <w:r w:rsidR="007B6109">
        <w:t>group. Globalización, S.A</w:t>
      </w:r>
      <w:r>
        <w:t>.  Concentración del poder corporativo: la agenda olvidada. Communique. N.71, julio-agosto,</w:t>
      </w:r>
      <w:r w:rsidR="007B6109">
        <w:t xml:space="preserve"> </w:t>
      </w:r>
      <w:hyperlink r:id="rId13" w:history="1">
        <w:r w:rsidR="007B6109" w:rsidRPr="00F24F3A">
          <w:rPr>
            <w:rStyle w:val="Hipervnculo"/>
          </w:rPr>
          <w:t>www.etcgroup.org</w:t>
        </w:r>
      </w:hyperlink>
      <w:r w:rsidR="005C1DF4">
        <w:t>, 2001</w:t>
      </w:r>
      <w:r w:rsidR="007B6109">
        <w:t>.</w:t>
      </w:r>
      <w:r>
        <w:t xml:space="preserve"> </w:t>
      </w:r>
    </w:p>
    <w:p w:rsidR="002B7165" w:rsidRPr="00344F2A" w:rsidRDefault="007B6109" w:rsidP="00C33601">
      <w:pPr>
        <w:jc w:val="both"/>
        <w:rPr>
          <w:lang w:val="en-US"/>
        </w:rPr>
      </w:pPr>
      <w:r>
        <w:t>-Feder, E</w:t>
      </w:r>
      <w:r w:rsidR="002B7165" w:rsidRPr="00D84917">
        <w:t xml:space="preserve">. El Imperialismo Fresa. </w:t>
      </w:r>
      <w:r w:rsidR="002B7165" w:rsidRPr="00344F2A">
        <w:rPr>
          <w:lang w:val="en-US"/>
        </w:rPr>
        <w:t>Edicion</w:t>
      </w:r>
      <w:r>
        <w:rPr>
          <w:lang w:val="en-US"/>
        </w:rPr>
        <w:t>es Nueva Sociología</w:t>
      </w:r>
      <w:r w:rsidR="005C1DF4">
        <w:rPr>
          <w:lang w:val="en-US"/>
        </w:rPr>
        <w:t>, 1981.</w:t>
      </w:r>
    </w:p>
    <w:p w:rsidR="002B7165" w:rsidRDefault="002B7165" w:rsidP="00C33601">
      <w:pPr>
        <w:jc w:val="both"/>
        <w:rPr>
          <w:bCs/>
        </w:rPr>
      </w:pPr>
      <w:r>
        <w:t>-Gómez, A (2004). Liberalización agrícola y soberanía alimentaria. México: Unión Nacional de Organizaciones Regional</w:t>
      </w:r>
      <w:r w:rsidR="007B6109">
        <w:t>es Campesinas Autónomas –UNORCA-</w:t>
      </w:r>
      <w:r w:rsidR="005C1DF4">
        <w:t xml:space="preserve"> 2004</w:t>
      </w:r>
      <w:r w:rsidR="007B6109">
        <w:t>.</w:t>
      </w:r>
    </w:p>
    <w:p w:rsidR="002B7165" w:rsidRDefault="007B6109" w:rsidP="00C33601">
      <w:pPr>
        <w:jc w:val="both"/>
      </w:pPr>
      <w:r>
        <w:lastRenderedPageBreak/>
        <w:t>-González, H</w:t>
      </w:r>
      <w:r w:rsidR="002B7165">
        <w:t xml:space="preserve">. “Las redes transnacionales y las cadenas globales de mercancías: la agricultura de exportación en México”, URL: </w:t>
      </w:r>
      <w:hyperlink r:id="rId14" w:history="1">
        <w:r w:rsidRPr="00F24F3A">
          <w:rPr>
            <w:rStyle w:val="Hipervnculo"/>
          </w:rPr>
          <w:t>http://alhim.revues.org/document613.html</w:t>
        </w:r>
      </w:hyperlink>
      <w:r w:rsidR="005C1DF4">
        <w:t>, 2001</w:t>
      </w:r>
      <w:r>
        <w:t>.</w:t>
      </w:r>
      <w:r w:rsidR="002B7165">
        <w:t xml:space="preserve"> </w:t>
      </w:r>
    </w:p>
    <w:p w:rsidR="002B7165" w:rsidRDefault="007B6109" w:rsidP="00C33601">
      <w:pPr>
        <w:jc w:val="both"/>
        <w:rPr>
          <w:iCs/>
        </w:rPr>
      </w:pPr>
      <w:r>
        <w:t>-Graciarena, J</w:t>
      </w:r>
      <w:r w:rsidR="002B7165">
        <w:t xml:space="preserve">. "Poder y estilos de desarrollo: una perspectiva heterodoxa", </w:t>
      </w:r>
      <w:r w:rsidR="002B7165">
        <w:rPr>
          <w:iCs/>
        </w:rPr>
        <w:t>Revista de la CEPAL</w:t>
      </w:r>
      <w:r w:rsidR="005C1DF4">
        <w:t>, nº 1, 1976</w:t>
      </w:r>
      <w:r>
        <w:t>.</w:t>
      </w:r>
    </w:p>
    <w:p w:rsidR="002B7165" w:rsidRPr="00326D86" w:rsidRDefault="007B6109" w:rsidP="00C33601">
      <w:pPr>
        <w:jc w:val="both"/>
      </w:pPr>
      <w:r>
        <w:t>-Juárez, L.</w:t>
      </w:r>
      <w:r w:rsidR="002B7165" w:rsidRPr="00831571">
        <w:t xml:space="preserve"> La dependencia alimentaría de México: en manos de las grandes empresas transnacionale</w:t>
      </w:r>
      <w:r>
        <w:t>s. Universidad Obrera de México</w:t>
      </w:r>
      <w:r w:rsidR="005C1DF4">
        <w:t>, 2003</w:t>
      </w:r>
      <w:r>
        <w:t>.</w:t>
      </w:r>
    </w:p>
    <w:p w:rsidR="00DE1324" w:rsidRDefault="00DE1324" w:rsidP="00DE1324">
      <w:pPr>
        <w:jc w:val="both"/>
      </w:pPr>
      <w:r>
        <w:rPr>
          <w:sz w:val="22"/>
          <w:szCs w:val="22"/>
        </w:rPr>
        <w:t>-Harvey, D</w:t>
      </w:r>
      <w:r w:rsidRPr="00F902D3">
        <w:rPr>
          <w:sz w:val="22"/>
          <w:szCs w:val="22"/>
        </w:rPr>
        <w:t>. El  nuevo im</w:t>
      </w:r>
      <w:r>
        <w:rPr>
          <w:sz w:val="22"/>
          <w:szCs w:val="22"/>
        </w:rPr>
        <w:t>perialismo, Akal, Madrid España, 2007.</w:t>
      </w:r>
    </w:p>
    <w:p w:rsidR="002B7165" w:rsidRDefault="007B6109" w:rsidP="00C33601">
      <w:pPr>
        <w:jc w:val="both"/>
        <w:rPr>
          <w:lang w:val="en-US"/>
        </w:rPr>
      </w:pPr>
      <w:r>
        <w:rPr>
          <w:lang w:val="es-MX"/>
        </w:rPr>
        <w:t>-Hewitt, C</w:t>
      </w:r>
      <w:r w:rsidR="002B7165" w:rsidRPr="00326D86">
        <w:rPr>
          <w:lang w:val="es-MX"/>
        </w:rPr>
        <w:t xml:space="preserve">. </w:t>
      </w:r>
      <w:r w:rsidR="002B7165">
        <w:rPr>
          <w:lang w:val="en-US"/>
        </w:rPr>
        <w:t>Structural Adjustment in a changing World, United Nations Research Institute for social Development, Brefing paper 4, World Summit for Social Deve</w:t>
      </w:r>
      <w:r>
        <w:rPr>
          <w:lang w:val="en-US"/>
        </w:rPr>
        <w:t>lopment, Decemb</w:t>
      </w:r>
      <w:r w:rsidR="005C1DF4">
        <w:rPr>
          <w:lang w:val="en-US"/>
        </w:rPr>
        <w:t>er, 1994</w:t>
      </w:r>
      <w:r>
        <w:rPr>
          <w:lang w:val="en-US"/>
        </w:rPr>
        <w:t>.</w:t>
      </w:r>
    </w:p>
    <w:p w:rsidR="002B7165" w:rsidRDefault="007B6109" w:rsidP="00C33601">
      <w:pPr>
        <w:jc w:val="both"/>
      </w:pPr>
      <w:r>
        <w:t>-Hidalgo, A</w:t>
      </w:r>
      <w:r w:rsidR="002B7165">
        <w:t>. El pensamiento económico sobre del desarrollo de los mercantilistas al PNUD.  Universidad de Hu</w:t>
      </w:r>
      <w:r>
        <w:t>e</w:t>
      </w:r>
      <w:r w:rsidR="005C1DF4">
        <w:t>lva, servicio de publicaciones, 2005</w:t>
      </w:r>
      <w:r>
        <w:t>.</w:t>
      </w:r>
    </w:p>
    <w:p w:rsidR="002B7165" w:rsidRDefault="007B6109" w:rsidP="00C33601">
      <w:pPr>
        <w:jc w:val="both"/>
      </w:pPr>
      <w:r>
        <w:t>-Hidalgo, A</w:t>
      </w:r>
      <w:r w:rsidR="002B7165">
        <w:t>. “</w:t>
      </w:r>
      <w:r w:rsidR="002B7165">
        <w:rPr>
          <w:bCs/>
        </w:rPr>
        <w:t xml:space="preserve">EL Desarrollo socioeconómico de América Latina y el Caribe bajo el modelo multiexportador”. </w:t>
      </w:r>
      <w:r w:rsidR="002B7165">
        <w:t>XVII Reunión de directores de cooperación internacional de América Latina y el Caribe. Sistema Económico Latinoamericano–Caracas, Rep</w:t>
      </w:r>
      <w:r>
        <w:t>ública Boli</w:t>
      </w:r>
      <w:r w:rsidR="005C1DF4">
        <w:t>variana de Venezuela, 2005</w:t>
      </w:r>
      <w:r>
        <w:t>.</w:t>
      </w:r>
    </w:p>
    <w:p w:rsidR="002B7165" w:rsidRPr="0014575B" w:rsidRDefault="002B7165" w:rsidP="00C33601">
      <w:pPr>
        <w:pStyle w:val="Textoindependiente2"/>
        <w:spacing w:line="240" w:lineRule="auto"/>
        <w:rPr>
          <w:sz w:val="24"/>
          <w:szCs w:val="24"/>
          <w:lang w:val="en-US"/>
        </w:rPr>
      </w:pPr>
      <w:r w:rsidRPr="00D84917">
        <w:rPr>
          <w:b/>
          <w:color w:val="000000"/>
          <w:sz w:val="24"/>
          <w:szCs w:val="24"/>
          <w:lang w:val="en-US"/>
        </w:rPr>
        <w:t>-</w:t>
      </w:r>
      <w:r>
        <w:rPr>
          <w:sz w:val="24"/>
          <w:szCs w:val="24"/>
          <w:lang w:val="en-US"/>
        </w:rPr>
        <w:t>Hilhorst, J</w:t>
      </w:r>
      <w:r w:rsidR="007B6109">
        <w:rPr>
          <w:sz w:val="24"/>
          <w:szCs w:val="24"/>
          <w:lang w:val="en-US"/>
        </w:rPr>
        <w:t>.</w:t>
      </w:r>
      <w:r w:rsidRPr="00D84917">
        <w:rPr>
          <w:sz w:val="24"/>
          <w:szCs w:val="24"/>
          <w:lang w:val="en-US"/>
        </w:rPr>
        <w:t xml:space="preserve"> </w:t>
      </w:r>
      <w:r w:rsidRPr="00D84917">
        <w:rPr>
          <w:iCs/>
          <w:sz w:val="24"/>
          <w:szCs w:val="24"/>
          <w:lang w:val="en-US"/>
        </w:rPr>
        <w:t>On Unresolved Issues in Regional Development Thinking</w:t>
      </w:r>
      <w:r w:rsidRPr="00D84917">
        <w:rPr>
          <w:sz w:val="24"/>
          <w:szCs w:val="24"/>
          <w:lang w:val="en-US"/>
        </w:rPr>
        <w:t>, Occasional Paper N° 81, ISS, The Hague</w:t>
      </w:r>
      <w:r w:rsidR="005C1DF4">
        <w:rPr>
          <w:sz w:val="24"/>
          <w:szCs w:val="24"/>
          <w:lang w:val="en-US"/>
        </w:rPr>
        <w:t>, 1981</w:t>
      </w:r>
      <w:r w:rsidR="007B6109">
        <w:rPr>
          <w:sz w:val="24"/>
          <w:szCs w:val="24"/>
          <w:lang w:val="en-US"/>
        </w:rPr>
        <w:t>.</w:t>
      </w:r>
    </w:p>
    <w:p w:rsidR="002B7165" w:rsidRDefault="007B6109" w:rsidP="00C33601">
      <w:pPr>
        <w:jc w:val="both"/>
      </w:pPr>
      <w:r>
        <w:t>-Lira, L</w:t>
      </w:r>
      <w:r w:rsidR="002B7165">
        <w:t>. La revalorización de la planificación del desa</w:t>
      </w:r>
      <w:r>
        <w:t>rrollo, ILPES, Gestión Pública</w:t>
      </w:r>
      <w:r w:rsidR="005C1DF4">
        <w:t>, 2006</w:t>
      </w:r>
      <w:r>
        <w:t>.</w:t>
      </w:r>
    </w:p>
    <w:p w:rsidR="002B7165" w:rsidRDefault="002B7165" w:rsidP="00C33601">
      <w:pPr>
        <w:jc w:val="both"/>
      </w:pPr>
      <w:r>
        <w:t>-Macías</w:t>
      </w:r>
      <w:r w:rsidR="007B6109">
        <w:t>, A</w:t>
      </w:r>
      <w:r>
        <w:t>. Enclaves agrícolas modernos: el caso del jitomate mexicano en los mercados internacionales. Región y sociedad</w:t>
      </w:r>
      <w:r w:rsidR="007B6109">
        <w:t>,</w:t>
      </w:r>
      <w:r w:rsidR="005C1DF4">
        <w:t xml:space="preserve"> revista del Colegio de Sonora, 2003</w:t>
      </w:r>
      <w:r w:rsidR="007B6109">
        <w:t>.</w:t>
      </w:r>
      <w:r>
        <w:t xml:space="preserve">   </w:t>
      </w:r>
    </w:p>
    <w:p w:rsidR="002B7165" w:rsidRPr="0014575B" w:rsidRDefault="007B6109" w:rsidP="00C33601">
      <w:pPr>
        <w:jc w:val="both"/>
      </w:pPr>
      <w:r>
        <w:t>-Marther, R</w:t>
      </w:r>
      <w:r w:rsidR="002B7165">
        <w:t>. Estrategias de política económica en un mundo incierto. Reglas, indicadores, criterio</w:t>
      </w:r>
      <w:r>
        <w:t>s</w:t>
      </w:r>
      <w:r w:rsidR="005C1DF4">
        <w:t>. Serie de cuadernos del ILPES, 2000</w:t>
      </w:r>
      <w:r>
        <w:t>.</w:t>
      </w:r>
      <w:r w:rsidR="002B7165">
        <w:t xml:space="preserve">  </w:t>
      </w:r>
    </w:p>
    <w:p w:rsidR="002B7165" w:rsidRPr="0014575B" w:rsidRDefault="007B6109" w:rsidP="00C33601">
      <w:pPr>
        <w:autoSpaceDE w:val="0"/>
        <w:autoSpaceDN w:val="0"/>
        <w:adjustRightInd w:val="0"/>
        <w:jc w:val="both"/>
      </w:pPr>
      <w:r>
        <w:t>-Manrrubio, M</w:t>
      </w:r>
      <w:r w:rsidR="002B7165" w:rsidRPr="0014575B">
        <w:t>. EL mercado mundial de la frambuesa y zar</w:t>
      </w:r>
      <w:r w:rsidR="005C1DF4">
        <w:t>zamora, CIESTAAM y ASERCA, 1995</w:t>
      </w:r>
      <w:r>
        <w:t xml:space="preserve">. </w:t>
      </w:r>
    </w:p>
    <w:p w:rsidR="002B7165" w:rsidRDefault="00B01C25" w:rsidP="00C33601">
      <w:pPr>
        <w:jc w:val="both"/>
      </w:pPr>
      <w:r>
        <w:rPr>
          <w:lang w:val="es-MX"/>
        </w:rPr>
        <w:t>-Mattar, J y Schatan, C</w:t>
      </w:r>
      <w:r w:rsidR="002B7165">
        <w:rPr>
          <w:lang w:val="es-MX"/>
        </w:rPr>
        <w:t>. “El comercio intraindustrial e intrafirma México-Estados Unidos: autopartes, electrónicos y petroquímicos” Revist</w:t>
      </w:r>
      <w:r>
        <w:rPr>
          <w:lang w:val="es-MX"/>
        </w:rPr>
        <w:t>a</w:t>
      </w:r>
      <w:r w:rsidR="005C1DF4">
        <w:rPr>
          <w:lang w:val="es-MX"/>
        </w:rPr>
        <w:t xml:space="preserve"> de Comercio Exterior, febrero, 1993</w:t>
      </w:r>
      <w:r>
        <w:rPr>
          <w:lang w:val="es-MX"/>
        </w:rPr>
        <w:t>.</w:t>
      </w:r>
    </w:p>
    <w:p w:rsidR="002B7165" w:rsidRPr="00D84917" w:rsidRDefault="002B7165" w:rsidP="00C33601">
      <w:pPr>
        <w:jc w:val="both"/>
        <w:rPr>
          <w:lang w:val="es-ES_tradnl"/>
        </w:rPr>
      </w:pPr>
      <w:r w:rsidRPr="00D84917">
        <w:t>-</w:t>
      </w:r>
      <w:r w:rsidR="00B01C25">
        <w:rPr>
          <w:lang w:val="es-ES_tradnl"/>
        </w:rPr>
        <w:t>Merchand, M</w:t>
      </w:r>
      <w:r w:rsidRPr="00D84917">
        <w:rPr>
          <w:lang w:val="es-ES_tradnl"/>
        </w:rPr>
        <w:t xml:space="preserve">. </w:t>
      </w:r>
      <w:r w:rsidRPr="00D84917">
        <w:rPr>
          <w:iCs/>
          <w:lang w:val="es-ES_tradnl"/>
        </w:rPr>
        <w:t xml:space="preserve">La dinámica económica de la industria electrónica desde una perspectiva regional y competitividad sistémica en </w:t>
      </w:r>
      <w:smartTag w:uri="urn:schemas-microsoft-com:office:smarttags" w:element="PersonName">
        <w:smartTagPr>
          <w:attr w:name="ProductID" w:val="la Zona Metropolitana"/>
        </w:smartTagPr>
        <w:r w:rsidRPr="00D84917">
          <w:rPr>
            <w:iCs/>
            <w:lang w:val="es-ES_tradnl"/>
          </w:rPr>
          <w:t>la Zona Metropolitana</w:t>
        </w:r>
      </w:smartTag>
      <w:r w:rsidRPr="00D84917">
        <w:rPr>
          <w:iCs/>
          <w:lang w:val="es-ES_tradnl"/>
        </w:rPr>
        <w:t xml:space="preserve"> de Guadalajara (ZMG), México. </w:t>
      </w:r>
      <w:r w:rsidRPr="00D84917">
        <w:rPr>
          <w:lang w:val="es-ES_tradnl"/>
        </w:rPr>
        <w:t xml:space="preserve">Tesis para obtener el grado de doctor en Ciencias Sociales de </w:t>
      </w:r>
      <w:smartTag w:uri="urn:schemas-microsoft-com:office:smarttags" w:element="PersonName">
        <w:smartTagPr>
          <w:attr w:name="ProductID" w:val="la Universidad"/>
        </w:smartTagPr>
        <w:r w:rsidRPr="00D84917">
          <w:rPr>
            <w:lang w:val="es-ES_tradnl"/>
          </w:rPr>
          <w:t>la Universidad</w:t>
        </w:r>
      </w:smartTag>
      <w:r w:rsidRPr="00D84917">
        <w:rPr>
          <w:lang w:val="es-ES_tradnl"/>
        </w:rPr>
        <w:t xml:space="preserve"> de Guadalajara y el Centro Interdisciplinario de Estudios Sociales de Antropología Occidente</w:t>
      </w:r>
      <w:r w:rsidR="005C1DF4">
        <w:rPr>
          <w:lang w:val="es-ES_tradnl"/>
        </w:rPr>
        <w:t>, 2002</w:t>
      </w:r>
      <w:r w:rsidR="00B01C25">
        <w:rPr>
          <w:lang w:val="es-ES_tradnl"/>
        </w:rPr>
        <w:t>.</w:t>
      </w:r>
    </w:p>
    <w:p w:rsidR="002B7165" w:rsidRDefault="002B7165" w:rsidP="00C33601">
      <w:pPr>
        <w:jc w:val="both"/>
      </w:pPr>
      <w:r>
        <w:rPr>
          <w:lang w:val="es-ES_tradnl"/>
        </w:rPr>
        <w:t>_________</w:t>
      </w:r>
      <w:r>
        <w:t>. La dinámica transnacional de la agroindustria del limón y su hinterland agrícola en el Valle de Tecomán. Revista de Análisis económico de la UAM-A Núm</w:t>
      </w:r>
      <w:r w:rsidR="005C1DF4">
        <w:t xml:space="preserve"> 44, vol XX Segundo trimestre, 2005.</w:t>
      </w:r>
    </w:p>
    <w:p w:rsidR="002B7165" w:rsidRDefault="002B7165" w:rsidP="00C33601">
      <w:pPr>
        <w:jc w:val="both"/>
      </w:pPr>
      <w:r>
        <w:t>___________</w:t>
      </w:r>
      <w:r w:rsidR="00B01C25">
        <w:t>___</w:t>
      </w:r>
      <w:r>
        <w:t xml:space="preserve">. </w:t>
      </w:r>
      <w:r>
        <w:rPr>
          <w:bCs/>
        </w:rPr>
        <w:t xml:space="preserve">Estudio exploratorio que analiza las razones de por qué las transnacionales deciden invertir para producir el fruto de la zarzamora en la región de Los Reyes, Michoacán: México. Ponencia presentada en </w:t>
      </w:r>
      <w:smartTag w:uri="urn:schemas-microsoft-com:office:smarttags" w:element="PersonName">
        <w:smartTagPr>
          <w:attr w:name="ProductID" w:val="la Asociaci￳n Latinoamericana"/>
        </w:smartTagPr>
        <w:r>
          <w:rPr>
            <w:bCs/>
          </w:rPr>
          <w:t xml:space="preserve">la </w:t>
        </w:r>
        <w:r>
          <w:t>Asociación Latinoamericana</w:t>
        </w:r>
      </w:smartTag>
      <w:r>
        <w:t xml:space="preserve"> de Sociología Rural</w:t>
      </w:r>
      <w:r>
        <w:rPr>
          <w:color w:val="000000"/>
        </w:rPr>
        <w:t xml:space="preserve"> VII</w:t>
      </w:r>
      <w:r>
        <w:t xml:space="preserve"> Congreso Latinoamericano de So</w:t>
      </w:r>
      <w:r w:rsidR="00B01C25">
        <w:t>c</w:t>
      </w:r>
      <w:r w:rsidR="005C1DF4">
        <w:t>iología Rural en Quito Ecuador, 2006.</w:t>
      </w:r>
    </w:p>
    <w:p w:rsidR="002B7165" w:rsidRDefault="002B7165" w:rsidP="00C33601">
      <w:pPr>
        <w:jc w:val="both"/>
      </w:pPr>
      <w:r>
        <w:rPr>
          <w:rFonts w:eastAsia="MS Mincho"/>
          <w:bCs/>
        </w:rPr>
        <w:t>-</w:t>
      </w:r>
      <w:r w:rsidR="00B01C25">
        <w:t>OCDE</w:t>
      </w:r>
      <w:r>
        <w:t>.  Perspectivas del desarrollo regional y</w:t>
      </w:r>
      <w:r w:rsidR="00B01C25">
        <w:t xml:space="preserve"> política estructural en México (1997)</w:t>
      </w:r>
      <w:r>
        <w:t xml:space="preserve">  </w:t>
      </w:r>
    </w:p>
    <w:p w:rsidR="002B7165" w:rsidRPr="00B040F0" w:rsidRDefault="00B01C25" w:rsidP="00C33601">
      <w:pPr>
        <w:jc w:val="both"/>
      </w:pPr>
      <w:r>
        <w:t>-Pinto, A</w:t>
      </w:r>
      <w:r w:rsidR="002B7165">
        <w:t xml:space="preserve">. "Notas sobre los estilos de desarrollo en América Latina, </w:t>
      </w:r>
      <w:r w:rsidR="002B7165">
        <w:rPr>
          <w:iCs/>
        </w:rPr>
        <w:t xml:space="preserve">Revista de </w:t>
      </w:r>
      <w:smartTag w:uri="urn:schemas-microsoft-com:office:smarttags" w:element="PersonName">
        <w:smartTagPr>
          <w:attr w:name="ProductID" w:val="la CEPAL"/>
        </w:smartTagPr>
        <w:r w:rsidR="002B7165">
          <w:rPr>
            <w:iCs/>
          </w:rPr>
          <w:t>la CEPAL</w:t>
        </w:r>
      </w:smartTag>
      <w:r w:rsidR="005C1DF4">
        <w:t>, nº 1, 1976.</w:t>
      </w:r>
      <w:r w:rsidR="002B7165">
        <w:t xml:space="preserve"> </w:t>
      </w:r>
    </w:p>
    <w:p w:rsidR="002B7165" w:rsidRDefault="00B01C25" w:rsidP="00C33601">
      <w:pPr>
        <w:jc w:val="both"/>
        <w:rPr>
          <w:lang w:val="es-ES_tradnl"/>
        </w:rPr>
      </w:pPr>
      <w:r>
        <w:rPr>
          <w:lang w:val="es-ES_tradnl"/>
        </w:rPr>
        <w:t>-Román, I</w:t>
      </w:r>
      <w:r w:rsidR="002B7165">
        <w:rPr>
          <w:lang w:val="es-ES_tradnl"/>
        </w:rPr>
        <w:t xml:space="preserve">. ¿Qué es el ajuste estructural?: la racionalidad e irracionalidad de las políticas de libre mercado. Casa </w:t>
      </w:r>
      <w:r>
        <w:rPr>
          <w:lang w:val="es-ES_tradnl"/>
        </w:rPr>
        <w:t>México</w:t>
      </w:r>
      <w:r w:rsidR="005C1DF4">
        <w:rPr>
          <w:lang w:val="es-ES_tradnl"/>
        </w:rPr>
        <w:t xml:space="preserve"> 1997-2001. Informe Final, </w:t>
      </w:r>
      <w:r>
        <w:rPr>
          <w:lang w:val="es-ES_tradnl"/>
        </w:rPr>
        <w:t>2001</w:t>
      </w:r>
      <w:r w:rsidR="005C1DF4">
        <w:rPr>
          <w:lang w:val="es-ES_tradnl"/>
        </w:rPr>
        <w:t>.</w:t>
      </w:r>
    </w:p>
    <w:p w:rsidR="002B7165" w:rsidRDefault="00B01C25" w:rsidP="00C33601">
      <w:pPr>
        <w:jc w:val="both"/>
      </w:pPr>
      <w:r>
        <w:lastRenderedPageBreak/>
        <w:t>-Rubio, B</w:t>
      </w:r>
      <w:r w:rsidR="002B7165">
        <w:t xml:space="preserve">. </w:t>
      </w:r>
      <w:r w:rsidR="002B7165">
        <w:rPr>
          <w:bCs/>
        </w:rPr>
        <w:t xml:space="preserve">Voces de la desesperanza: La desestructuración alimentaria en México (1994-2004). </w:t>
      </w:r>
      <w:r w:rsidR="002B7165">
        <w:t>Gaceta12 (1) completa, Instituto de Investi</w:t>
      </w:r>
      <w:r>
        <w:t>gacion</w:t>
      </w:r>
      <w:r w:rsidR="005C1DF4">
        <w:t>es Sociales. UNAM, México, 2004.</w:t>
      </w:r>
    </w:p>
    <w:p w:rsidR="002B7165" w:rsidRDefault="002B7165" w:rsidP="00C33601">
      <w:pPr>
        <w:jc w:val="both"/>
      </w:pPr>
      <w:r>
        <w:rPr>
          <w:lang w:val="es-ES_tradnl"/>
        </w:rPr>
        <w:t>-</w:t>
      </w:r>
      <w:r w:rsidR="00B01C25">
        <w:t>Rutrauff, J</w:t>
      </w:r>
      <w:r>
        <w:t>. Una introducción al Banco Mundial, Banco Interamericano de Desarrollo y el fondo Monetario Internacional. Centro para Educación Democrática, Maryland</w:t>
      </w:r>
      <w:r w:rsidR="00B01C25">
        <w:t>, E.U</w:t>
      </w:r>
      <w:r w:rsidR="005C1DF4">
        <w:t>, 1997.</w:t>
      </w:r>
    </w:p>
    <w:p w:rsidR="002B7165" w:rsidRDefault="002B7165" w:rsidP="00C33601">
      <w:pPr>
        <w:jc w:val="both"/>
        <w:rPr>
          <w:lang w:val="es-ES_tradnl"/>
        </w:rPr>
      </w:pPr>
      <w:r>
        <w:t xml:space="preserve">-Stiglitz, </w:t>
      </w:r>
      <w:r w:rsidR="00B01C25">
        <w:t xml:space="preserve"> J</w:t>
      </w:r>
      <w:r>
        <w:t xml:space="preserve">. Globalization and its discontents, Norton &amp; Company, NY. </w:t>
      </w:r>
      <w:r>
        <w:rPr>
          <w:lang w:val="es-ES_tradnl"/>
        </w:rPr>
        <w:t>Citado por Gerardo Reyes Guzmán: “Economistas contemporáneos: un resumen de obras selectas”, Un</w:t>
      </w:r>
      <w:r w:rsidR="00B01C25">
        <w:rPr>
          <w:lang w:val="es-ES_tradnl"/>
        </w:rPr>
        <w:t>i</w:t>
      </w:r>
      <w:r w:rsidR="005C1DF4">
        <w:rPr>
          <w:lang w:val="es-ES_tradnl"/>
        </w:rPr>
        <w:t>versidad Iberoamericana Puebla, 2002.</w:t>
      </w:r>
    </w:p>
    <w:p w:rsidR="002B7165" w:rsidRDefault="00B01C25" w:rsidP="00C33601">
      <w:pPr>
        <w:jc w:val="both"/>
      </w:pPr>
      <w:r>
        <w:t>-Saxe-Fernández J</w:t>
      </w:r>
      <w:r w:rsidR="002B7165">
        <w:t xml:space="preserve">. “El Banco Mundial y el FMI en México: el nuevo monroísmo”, en el libro de: Calva, L  (coord). </w:t>
      </w:r>
      <w:r w:rsidR="002B7165">
        <w:rPr>
          <w:iCs/>
        </w:rPr>
        <w:t xml:space="preserve">Política Económica para el Desarrollo Sostenido con Equidad. </w:t>
      </w:r>
      <w:r w:rsidR="005C1DF4">
        <w:t>Tomo I. Edit UNAM, JP y IIE, 2002</w:t>
      </w:r>
      <w:r>
        <w:t>.</w:t>
      </w:r>
      <w:r w:rsidR="002B7165">
        <w:t xml:space="preserve">  </w:t>
      </w:r>
    </w:p>
    <w:p w:rsidR="002B7165" w:rsidRDefault="002B7165" w:rsidP="00C33601">
      <w:pPr>
        <w:jc w:val="both"/>
      </w:pPr>
      <w:r>
        <w:t xml:space="preserve">-Sunkel, O. y Paz, P. El </w:t>
      </w:r>
      <w:r>
        <w:rPr>
          <w:iCs/>
        </w:rPr>
        <w:t>subdesarrollo latinoamericano y la teoría del desarrollo</w:t>
      </w:r>
      <w:r w:rsidR="005C1DF4">
        <w:t>, Siglo XXI, Madrid, 1970</w:t>
      </w:r>
      <w:r w:rsidR="00B01C25">
        <w:t>.</w:t>
      </w:r>
    </w:p>
    <w:p w:rsidR="002B7165" w:rsidRDefault="00B01C25" w:rsidP="00C33601">
      <w:pPr>
        <w:jc w:val="both"/>
        <w:rPr>
          <w:color w:val="000000"/>
        </w:rPr>
      </w:pPr>
      <w:r>
        <w:rPr>
          <w:color w:val="000000"/>
        </w:rPr>
        <w:t>-Sagarpa</w:t>
      </w:r>
      <w:r w:rsidR="002B7165">
        <w:rPr>
          <w:color w:val="000000"/>
        </w:rPr>
        <w:t xml:space="preserve">. El Sector Agrícola en México </w:t>
      </w:r>
      <w:hyperlink r:id="rId15" w:history="1">
        <w:r w:rsidR="002B7165">
          <w:rPr>
            <w:rStyle w:val="Hipervnculo"/>
            <w:color w:val="000000"/>
          </w:rPr>
          <w:t>http://www.infoaserca.gob.mx/boletineszip/repusda.pdf</w:t>
        </w:r>
      </w:hyperlink>
      <w:r w:rsidR="002B7165">
        <w:rPr>
          <w:color w:val="000000"/>
        </w:rPr>
        <w:t xml:space="preserve"> </w:t>
      </w:r>
      <w:r w:rsidR="005C1DF4">
        <w:rPr>
          <w:color w:val="000000"/>
        </w:rPr>
        <w:t>,</w:t>
      </w:r>
      <w:r w:rsidR="002B7165">
        <w:rPr>
          <w:color w:val="000000"/>
        </w:rPr>
        <w:t xml:space="preserve"> 15/09/2005.</w:t>
      </w:r>
    </w:p>
    <w:p w:rsidR="00941B88" w:rsidRPr="00F902D3" w:rsidRDefault="00941B88" w:rsidP="00941B88">
      <w:pPr>
        <w:pStyle w:val="Textoindependiente"/>
        <w:rPr>
          <w:sz w:val="22"/>
          <w:szCs w:val="22"/>
        </w:rPr>
      </w:pPr>
      <w:r>
        <w:rPr>
          <w:sz w:val="22"/>
          <w:szCs w:val="22"/>
        </w:rPr>
        <w:t>-Santos, M</w:t>
      </w:r>
      <w:r w:rsidRPr="00F902D3">
        <w:rPr>
          <w:sz w:val="22"/>
          <w:szCs w:val="22"/>
        </w:rPr>
        <w:t>. El espacio dividido. U</w:t>
      </w:r>
      <w:r>
        <w:rPr>
          <w:sz w:val="22"/>
          <w:szCs w:val="22"/>
        </w:rPr>
        <w:t>niversidad de Sao Paulo, Brasil, 2004.</w:t>
      </w:r>
    </w:p>
    <w:p w:rsidR="002B7165" w:rsidRDefault="00B01C25" w:rsidP="00C33601">
      <w:pPr>
        <w:jc w:val="both"/>
        <w:rPr>
          <w:lang w:val="es-ES_tradnl"/>
        </w:rPr>
      </w:pPr>
      <w:r>
        <w:t>-Trujillo, J.</w:t>
      </w:r>
      <w:r w:rsidR="002B7165">
        <w:t xml:space="preserve"> Las reformas de las políticas agrícolas de Estados Unidos, la Unión Europea y México. Análisis comparativo e implicaciones para México. Tesis para obtener el grado de Doctor de </w:t>
      </w:r>
      <w:smartTag w:uri="urn:schemas-microsoft-com:office:smarttags" w:element="PersonName">
        <w:smartTagPr>
          <w:attr w:name="ProductID" w:val="la Universidad Aut￳noma"/>
        </w:smartTagPr>
        <w:r w:rsidR="002B7165">
          <w:t>la Universidad Autónoma</w:t>
        </w:r>
      </w:smartTag>
      <w:r w:rsidR="005C1DF4">
        <w:t xml:space="preserve"> de Chapingo, Ciestaam, 2004</w:t>
      </w:r>
      <w:r>
        <w:t>.</w:t>
      </w:r>
    </w:p>
    <w:p w:rsidR="002B7165" w:rsidRDefault="00B01C25" w:rsidP="00C33601">
      <w:pPr>
        <w:jc w:val="both"/>
      </w:pPr>
      <w:r>
        <w:t>-Ventura, V y Durán, J</w:t>
      </w:r>
      <w:r w:rsidR="002B7165">
        <w:t xml:space="preserve">. Comercio intrafirma: concepto, alcance y magnitud, CEPAL. </w:t>
      </w:r>
      <w:hyperlink r:id="rId16" w:history="1">
        <w:r w:rsidR="005C1DF4" w:rsidRPr="00F24F3A">
          <w:rPr>
            <w:rStyle w:val="Hipervnculo"/>
          </w:rPr>
          <w:t>http://www.eclac.cl/cgibin/getProd.asp?xml=publicaciones/xml1=/2/14482/P14482.xml&amp;xsl=/comercio</w:t>
        </w:r>
      </w:hyperlink>
      <w:r w:rsidR="005C1DF4">
        <w:rPr>
          <w:color w:val="000000"/>
        </w:rPr>
        <w:t xml:space="preserve">, </w:t>
      </w:r>
      <w:r>
        <w:rPr>
          <w:color w:val="000000"/>
        </w:rPr>
        <w:t>2003</w:t>
      </w:r>
      <w:r w:rsidR="005C1DF4">
        <w:rPr>
          <w:color w:val="000000"/>
        </w:rPr>
        <w:t>.</w:t>
      </w:r>
    </w:p>
    <w:p w:rsidR="002B7165" w:rsidRDefault="002B7165" w:rsidP="00C33601">
      <w:pPr>
        <w:jc w:val="both"/>
        <w:rPr>
          <w:bCs/>
        </w:rPr>
      </w:pPr>
      <w:r>
        <w:t xml:space="preserve">-Valenzuela, F. </w:t>
      </w:r>
      <w:r>
        <w:rPr>
          <w:iCs/>
        </w:rPr>
        <w:t xml:space="preserve">El capitalismo mexicano en los ochenta, </w:t>
      </w:r>
      <w:r w:rsidR="005C1DF4">
        <w:t>ERA, México, 1986</w:t>
      </w:r>
      <w:r w:rsidR="00B01C25">
        <w:t>.</w:t>
      </w:r>
    </w:p>
    <w:p w:rsidR="002B7165" w:rsidRPr="00C05F1A" w:rsidRDefault="00B01C25" w:rsidP="00C33601">
      <w:pPr>
        <w:jc w:val="both"/>
        <w:rPr>
          <w:lang w:val="en-US"/>
        </w:rPr>
      </w:pPr>
      <w:r>
        <w:t>-Villarreal, R</w:t>
      </w:r>
      <w:r w:rsidR="002B7165">
        <w:t xml:space="preserve">. Hacia una economía participativa de Mercado. El recuentro del mercado con el Estado y la sociedad.  El economista mexicano, revista del Colegio Nacional de Economistas, nueva época, vol. </w:t>
      </w:r>
      <w:r w:rsidR="005C1DF4">
        <w:rPr>
          <w:lang w:val="en-US"/>
        </w:rPr>
        <w:t xml:space="preserve">I, núm. 3, </w:t>
      </w:r>
      <w:r>
        <w:rPr>
          <w:lang w:val="en-US"/>
        </w:rPr>
        <w:t>199</w:t>
      </w:r>
      <w:r w:rsidR="005C1DF4">
        <w:rPr>
          <w:lang w:val="en-US"/>
        </w:rPr>
        <w:t>7.</w:t>
      </w:r>
      <w:r w:rsidR="002B7165" w:rsidRPr="00C05F1A">
        <w:rPr>
          <w:lang w:val="en-US"/>
        </w:rPr>
        <w:t xml:space="preserve">    </w:t>
      </w:r>
    </w:p>
    <w:p w:rsidR="002B7165" w:rsidRPr="006A6DF8" w:rsidRDefault="00B01C25" w:rsidP="00C33601">
      <w:pPr>
        <w:autoSpaceDE w:val="0"/>
        <w:autoSpaceDN w:val="0"/>
        <w:adjustRightInd w:val="0"/>
        <w:jc w:val="both"/>
      </w:pPr>
      <w:r>
        <w:t>-Villegas, S et al</w:t>
      </w:r>
      <w:r w:rsidR="002B7165" w:rsidRPr="006A6DF8">
        <w:t>. La agricultura  de contrato: el caso del ejido Tziritzicuaro, Mic</w:t>
      </w:r>
      <w:r>
        <w:t>h</w:t>
      </w:r>
      <w:r w:rsidR="005C1DF4">
        <w:t>oacán. Agrociencia 38: 437-444, 2004</w:t>
      </w:r>
      <w:r>
        <w:t>.</w:t>
      </w:r>
    </w:p>
    <w:p w:rsidR="002B7165" w:rsidRPr="00C05F1A" w:rsidRDefault="002B7165" w:rsidP="00C33601">
      <w:pPr>
        <w:jc w:val="both"/>
        <w:rPr>
          <w:lang w:val="en-US"/>
        </w:rPr>
      </w:pPr>
      <w:r w:rsidRPr="006A6DF8">
        <w:rPr>
          <w:lang w:val="en-US"/>
        </w:rPr>
        <w:t>-Williamson, J</w:t>
      </w:r>
      <w:r w:rsidRPr="00C05F1A">
        <w:rPr>
          <w:lang w:val="en-US"/>
        </w:rPr>
        <w:t>. “GAT Washington means by policy reform y the progress of policy reform in Latin America” Washington</w:t>
      </w:r>
      <w:r w:rsidR="005C1DF4">
        <w:rPr>
          <w:lang w:val="en-US"/>
        </w:rPr>
        <w:t>, IIE, 1990.</w:t>
      </w:r>
    </w:p>
    <w:p w:rsidR="006B16B5" w:rsidRDefault="002B7165" w:rsidP="00C33601">
      <w:pPr>
        <w:jc w:val="both"/>
      </w:pPr>
      <w:r>
        <w:t xml:space="preserve">-Wesner, </w:t>
      </w:r>
      <w:r w:rsidR="00B01C25">
        <w:t>E, Garnier, L y Medina, J</w:t>
      </w:r>
      <w:r>
        <w:t>. Funciones básicas de la planificación. Serie de cuadernos del ILPES</w:t>
      </w:r>
      <w:r w:rsidR="005C1DF4">
        <w:t>, 2000</w:t>
      </w:r>
      <w:r w:rsidR="00B01C25">
        <w:t>.</w:t>
      </w:r>
    </w:p>
    <w:sectPr w:rsidR="006B16B5" w:rsidSect="006B16B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B80" w:rsidRDefault="00F15B80" w:rsidP="002B7165">
      <w:r>
        <w:separator/>
      </w:r>
    </w:p>
  </w:endnote>
  <w:endnote w:type="continuationSeparator" w:id="1">
    <w:p w:rsidR="00F15B80" w:rsidRDefault="00F15B80" w:rsidP="002B71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B80" w:rsidRDefault="00F15B80" w:rsidP="002B7165">
      <w:r>
        <w:separator/>
      </w:r>
    </w:p>
  </w:footnote>
  <w:footnote w:type="continuationSeparator" w:id="1">
    <w:p w:rsidR="00F15B80" w:rsidRDefault="00F15B80" w:rsidP="002B7165">
      <w:r>
        <w:continuationSeparator/>
      </w:r>
    </w:p>
  </w:footnote>
  <w:footnote w:id="2">
    <w:p w:rsidR="00941B88" w:rsidRPr="00170BD5" w:rsidRDefault="00941B88" w:rsidP="002B7165">
      <w:pPr>
        <w:pStyle w:val="Textonotapie"/>
        <w:jc w:val="both"/>
        <w:rPr>
          <w:sz w:val="22"/>
          <w:szCs w:val="22"/>
          <w:lang w:val="es-ES_tradnl"/>
        </w:rPr>
      </w:pPr>
      <w:r w:rsidRPr="00170BD5">
        <w:rPr>
          <w:rStyle w:val="Refdenotaalpie"/>
          <w:sz w:val="22"/>
          <w:szCs w:val="22"/>
        </w:rPr>
        <w:footnoteRef/>
      </w:r>
      <w:r w:rsidRPr="00170BD5">
        <w:rPr>
          <w:sz w:val="22"/>
          <w:szCs w:val="22"/>
        </w:rPr>
        <w:t xml:space="preserve"> La estabilización y el ajuste son dos elementos separados, pero complementarios en términos de su análisis. La estabilización macroeconómica plantea la disciplina presupuestal y el control de la inflación. El ajuste estructural es lo meta de largo plazo para impulsar a la economía en un camino de crecimiento. El ajuste debe ser sensible a las condiciones iníciales y a las capacidades institucionales. En todo caso, la secuencia de estabilización y ajuste, se mantiene, pero bajo formas particulares y variadas en función del poder (Hewitt, C 1994). </w:t>
      </w:r>
    </w:p>
  </w:footnote>
  <w:footnote w:id="3">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De acuerdo a la clasificación hecha por Hidalgo, A (2005), un modelo de desarrollo es aquel modelo que representa los pasos que debe seguir un sistema socioeconómico para transitar de un modelo histórico estructural a otro por medio de una transformación estructural, es decir, es un modelo de transformación estructural. En caso de América Latina y el Caribe, excluidos los períodos precolombino y colonial, podemos distinguir tres modelos histórico-estructurales (el primario exportador, el doméstico-industrial primario-exportador y para el caso de México respecto al tercer modelo, se presenta una fuerte especialización sectorial en –productos agro-exportables y manufacturas diversas-) y dos modelos de desarrollo (el de industrialización por sustitución de importaciones y el reformista de ajuste estructural). Los conceptos esgrimidos, derivan de los planteamientos de Sunkel y Paz (1970) y, en cierto modo, es equivalente a otros conceptos empleados por algunas corrientes de pensamiento, como el concepto cepalino de “estilo de desarrollo” (Graciarena, 1976; Pinto, 1976) o el concepto marxista de “patrón de acumulación” (Valenzuela, 1986).</w:t>
      </w:r>
    </w:p>
  </w:footnote>
  <w:footnote w:id="4">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El neoliberalismo anglo-sajón es tanto una corriente política que una corriente de pensamiento económico. El neoliberalismo, tal como se ha desarrollado a partir de los años 70’s, tenía una visión y un objetivo político internacional. El neoliberalismo es efectivamente la ideología de acompañamiento de eso que se llama globalización o mundialización (Dixon, K 2002).  </w:t>
      </w:r>
    </w:p>
  </w:footnote>
  <w:footnote w:id="5">
    <w:p w:rsidR="00941B88" w:rsidRPr="00170BD5" w:rsidRDefault="00941B88" w:rsidP="002B7165">
      <w:pPr>
        <w:pStyle w:val="Textonotapie"/>
        <w:jc w:val="both"/>
        <w:rPr>
          <w:sz w:val="22"/>
          <w:szCs w:val="22"/>
          <w:lang w:val="es-ES_tradnl"/>
        </w:rPr>
      </w:pPr>
      <w:r w:rsidRPr="00170BD5">
        <w:rPr>
          <w:rStyle w:val="Refdenotaalpie"/>
          <w:sz w:val="22"/>
          <w:szCs w:val="22"/>
        </w:rPr>
        <w:footnoteRef/>
      </w:r>
      <w:r w:rsidRPr="00170BD5">
        <w:rPr>
          <w:sz w:val="22"/>
          <w:szCs w:val="22"/>
        </w:rPr>
        <w:t xml:space="preserve"> </w:t>
      </w:r>
      <w:r w:rsidRPr="00170BD5">
        <w:rPr>
          <w:sz w:val="22"/>
          <w:szCs w:val="22"/>
          <w:lang w:val="es-ES_tradnl"/>
        </w:rPr>
        <w:t xml:space="preserve">Las crisis de los países endeudados, fueron tratadas por las instituciones financieras internacionales (BM y FMI) privilegiando esquemas de recuperación con base en el enfoque del “lado de la oferta” </w:t>
      </w:r>
    </w:p>
  </w:footnote>
  <w:footnote w:id="6">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La focalización se centraría en el sector agrario como motor del desarrollo, y las estrategias de ayuda correspondientes (aumento de los rendimientos, mejora de semillas, etc.)</w:t>
      </w:r>
    </w:p>
  </w:footnote>
  <w:footnote w:id="7">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Sea cual sea el usuario institucional, la revalorización de la planificación y de las políticas, enfatizan la concepción estratégica tanto del diseño como de la ejecución, el obligado carácter participativo de ambos subprocesos y la necesidad de asegurar la anticipación del futuro, la coordinación de las acciones y la evaluación de resultados.</w:t>
      </w:r>
    </w:p>
  </w:footnote>
  <w:footnote w:id="8">
    <w:p w:rsidR="00941B88" w:rsidRPr="00170BD5" w:rsidRDefault="00941B88" w:rsidP="002B7165">
      <w:pPr>
        <w:pStyle w:val="Textonotapie"/>
        <w:jc w:val="both"/>
        <w:rPr>
          <w:sz w:val="22"/>
          <w:szCs w:val="22"/>
          <w:lang w:val="es-ES_tradnl"/>
        </w:rPr>
      </w:pPr>
      <w:r w:rsidRPr="00170BD5">
        <w:rPr>
          <w:rStyle w:val="Refdenotaalpie"/>
          <w:sz w:val="22"/>
          <w:szCs w:val="22"/>
        </w:rPr>
        <w:footnoteRef/>
      </w:r>
      <w:r w:rsidRPr="00170BD5">
        <w:rPr>
          <w:sz w:val="22"/>
          <w:szCs w:val="22"/>
        </w:rPr>
        <w:t xml:space="preserve"> Las apreciaciones sobre la definición de </w:t>
      </w:r>
      <w:smartTag w:uri="urn:schemas-microsoft-com:office:smarttags" w:element="PersonName">
        <w:smartTagPr>
          <w:attr w:name="ProductID" w:val="la PA"/>
        </w:smartTagPr>
        <w:r w:rsidRPr="00170BD5">
          <w:rPr>
            <w:sz w:val="22"/>
            <w:szCs w:val="22"/>
          </w:rPr>
          <w:t>la PA</w:t>
        </w:r>
      </w:smartTag>
      <w:r w:rsidRPr="00170BD5">
        <w:rPr>
          <w:sz w:val="22"/>
          <w:szCs w:val="22"/>
        </w:rPr>
        <w:t xml:space="preserve"> se basan en el análisis que realiza (Trujillo, J 2004).</w:t>
      </w:r>
    </w:p>
  </w:footnote>
  <w:footnote w:id="9">
    <w:p w:rsidR="00941B88" w:rsidRPr="00170BD5" w:rsidRDefault="00941B88" w:rsidP="002B7165">
      <w:pPr>
        <w:pStyle w:val="Textoindependiente"/>
        <w:rPr>
          <w:sz w:val="22"/>
          <w:szCs w:val="22"/>
        </w:rPr>
      </w:pPr>
      <w:r w:rsidRPr="00170BD5">
        <w:rPr>
          <w:rStyle w:val="Refdenotaalpie"/>
          <w:sz w:val="22"/>
          <w:szCs w:val="22"/>
        </w:rPr>
        <w:footnoteRef/>
      </w:r>
      <w:r w:rsidRPr="00170BD5">
        <w:rPr>
          <w:sz w:val="22"/>
          <w:szCs w:val="22"/>
        </w:rPr>
        <w:t xml:space="preserve"> Las reformas sectoriales en el sector agropecuario fueron: liberalizar los mercados, reemplazar los subsidios, reducir los subsidios, desmantelar instituciones y proceder a la reforma institucional (artículo 27).</w:t>
      </w:r>
    </w:p>
  </w:footnote>
  <w:footnote w:id="10">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Hay que destacar las exigencias del Banco Mundial que anteponía al gobierno mexicano en 1987 para facilitarle $ 300 millones de dólares destinados a “modernizar el campo”, se exigía, entre otras cosas, el desmantelamiento del sistema de precios de garantía; que aumentasen los precios de los fertilizantes; que aumentará el precio del agua para riego de tierras agrícolas y de electricidad para bombas destinadas al riego (Arroyo, A Coordinador  Et al 2001).     </w:t>
      </w:r>
    </w:p>
  </w:footnote>
  <w:footnote w:id="11">
    <w:p w:rsidR="00941B88" w:rsidRPr="00170BD5" w:rsidRDefault="00941B88" w:rsidP="002B7165">
      <w:pPr>
        <w:pStyle w:val="Textoindependiente"/>
        <w:tabs>
          <w:tab w:val="left" w:pos="3976"/>
        </w:tabs>
        <w:rPr>
          <w:sz w:val="22"/>
          <w:szCs w:val="22"/>
        </w:rPr>
      </w:pPr>
      <w:r w:rsidRPr="00170BD5">
        <w:rPr>
          <w:rStyle w:val="Refdenotaalpie"/>
          <w:sz w:val="22"/>
          <w:szCs w:val="22"/>
        </w:rPr>
        <w:footnoteRef/>
      </w:r>
      <w:r w:rsidRPr="00170BD5">
        <w:rPr>
          <w:sz w:val="22"/>
          <w:szCs w:val="22"/>
        </w:rPr>
        <w:t xml:space="preserve"> Este proceso también es común en los países desarrollados, “En los países de </w:t>
      </w:r>
      <w:smartTag w:uri="urn:schemas-microsoft-com:office:smarttags" w:element="PersonName">
        <w:smartTagPr>
          <w:attr w:name="ProductID" w:val="la OCDE"/>
        </w:smartTagPr>
        <w:r w:rsidRPr="00170BD5">
          <w:rPr>
            <w:sz w:val="22"/>
            <w:szCs w:val="22"/>
          </w:rPr>
          <w:t>la OCDE</w:t>
        </w:r>
      </w:smartTag>
      <w:r w:rsidRPr="00170BD5">
        <w:rPr>
          <w:sz w:val="22"/>
          <w:szCs w:val="22"/>
        </w:rPr>
        <w:t xml:space="preserve"> la participación del sector agropecuario en el PIB nacional es de alrededor de 4 por ciento” (Merchand, M  2006).</w:t>
      </w:r>
    </w:p>
  </w:footnote>
  <w:footnote w:id="12">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El presupuesto destinado por el gobierno de FOX a través de los recursos designados a SAGARPA en 2004 continuó inferior al de 1994, es decir, durante los diez años de entrada en operación al TLCAN, el sector tuvo recursos fiscales cada vez menores.  También sucede lo mismo con los créditos bancarios al sector agropecuario, como proporción del total de crédito bancario desde 1997, se muestra una tendencia decreciente, pues se paso de un 5.7% en proporción del total de crédito bancario en </w:t>
      </w:r>
      <w:smartTag w:uri="urn:schemas-microsoft-com:office:smarttags" w:element="metricconverter">
        <w:smartTagPr>
          <w:attr w:name="ProductID" w:val="1997 a"/>
        </w:smartTagPr>
        <w:r w:rsidRPr="00170BD5">
          <w:rPr>
            <w:sz w:val="22"/>
            <w:szCs w:val="22"/>
          </w:rPr>
          <w:t>1997 a</w:t>
        </w:r>
      </w:smartTag>
      <w:r w:rsidRPr="00170BD5">
        <w:rPr>
          <w:sz w:val="22"/>
          <w:szCs w:val="22"/>
        </w:rPr>
        <w:t xml:space="preserve"> 2.8% en l 2003. Ver el tercer informe de gobierno de FOX, </w:t>
      </w:r>
      <w:smartTag w:uri="urn:schemas-microsoft-com:office:smarttags" w:element="PersonName">
        <w:smartTagPr>
          <w:attr w:name="ProductID" w:val="la Cuenta"/>
        </w:smartTagPr>
        <w:r w:rsidRPr="00170BD5">
          <w:rPr>
            <w:sz w:val="22"/>
            <w:szCs w:val="22"/>
          </w:rPr>
          <w:t>la Cuenta</w:t>
        </w:r>
      </w:smartTag>
      <w:r w:rsidRPr="00170BD5">
        <w:rPr>
          <w:sz w:val="22"/>
          <w:szCs w:val="22"/>
        </w:rPr>
        <w:t xml:space="preserve"> de Hacienda Pública Federal de 2002- 2004 y el presupuesto de Egresos de </w:t>
      </w:r>
      <w:smartTag w:uri="urn:schemas-microsoft-com:office:smarttags" w:element="PersonName">
        <w:smartTagPr>
          <w:attr w:name="ProductID" w:val="la Federaci￳n."/>
        </w:smartTagPr>
        <w:r w:rsidRPr="00170BD5">
          <w:rPr>
            <w:sz w:val="22"/>
            <w:szCs w:val="22"/>
          </w:rPr>
          <w:t>la Federación.</w:t>
        </w:r>
      </w:smartTag>
      <w:r w:rsidRPr="00170BD5">
        <w:rPr>
          <w:sz w:val="22"/>
          <w:szCs w:val="22"/>
        </w:rPr>
        <w:t xml:space="preserve">     </w:t>
      </w:r>
    </w:p>
  </w:footnote>
  <w:footnote w:id="13">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La sobrevaluación del peso agudizó aún más el problema, pues abarató aún más las importaciones.  </w:t>
      </w:r>
    </w:p>
  </w:footnote>
  <w:footnote w:id="14">
    <w:p w:rsidR="00941B88" w:rsidRPr="00170BD5" w:rsidRDefault="00941B88" w:rsidP="002B7165">
      <w:pPr>
        <w:pStyle w:val="Textonotapie"/>
        <w:jc w:val="both"/>
        <w:rPr>
          <w:sz w:val="22"/>
          <w:szCs w:val="22"/>
          <w:lang w:val="es-ES_tradnl"/>
        </w:rPr>
      </w:pPr>
      <w:r w:rsidRPr="00170BD5">
        <w:rPr>
          <w:rStyle w:val="Refdenotaalpie"/>
          <w:sz w:val="22"/>
          <w:szCs w:val="22"/>
        </w:rPr>
        <w:footnoteRef/>
      </w:r>
      <w:r w:rsidRPr="00170BD5">
        <w:rPr>
          <w:sz w:val="22"/>
          <w:szCs w:val="22"/>
        </w:rPr>
        <w:t xml:space="preserve"> Si un país cuenta con mayor porcentaje de importación existe la probabilidad de ocurren</w:t>
      </w:r>
      <w:r>
        <w:rPr>
          <w:sz w:val="22"/>
          <w:szCs w:val="22"/>
        </w:rPr>
        <w:t>cia de la inseguridad alimentaria. Ahora la seguridad alimentari</w:t>
      </w:r>
      <w:r w:rsidRPr="00170BD5">
        <w:rPr>
          <w:sz w:val="22"/>
          <w:szCs w:val="22"/>
        </w:rPr>
        <w:t>a definida por Barkin (1991: 27) se refiere “a la capacidad de un país para suministrar comida para su población, sin importar el origen de tales alimentos”. La soberanía alimentaría se verá afectada cuando la autosuficiencia en un país disminuya o no existe, y por lo tanto el país alimente a su población por medio de la obte</w:t>
      </w:r>
      <w:r>
        <w:rPr>
          <w:sz w:val="22"/>
          <w:szCs w:val="22"/>
        </w:rPr>
        <w:t>nción de la seguridad alimentari</w:t>
      </w:r>
      <w:r w:rsidRPr="00170BD5">
        <w:rPr>
          <w:sz w:val="22"/>
          <w:szCs w:val="22"/>
        </w:rPr>
        <w:t>a, y ésta a la vez tenga un grado alto de importación de alimentos básicos.</w:t>
      </w:r>
    </w:p>
  </w:footnote>
  <w:footnote w:id="15">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Informe presidencial 2002 de Vicente Fox: Crecimiento con Calidad  </w:t>
      </w:r>
      <w:hyperlink r:id="rId1" w:history="1">
        <w:r w:rsidRPr="00170BD5">
          <w:rPr>
            <w:rStyle w:val="Hipervnculo"/>
            <w:color w:val="000000"/>
            <w:sz w:val="22"/>
            <w:szCs w:val="22"/>
          </w:rPr>
          <w:t>http://nt.presidencia.gob.mx/Informes/2002Fox2/website/docs/pdfs/2info_anexo_303-309.pdf</w:t>
        </w:r>
      </w:hyperlink>
      <w:r w:rsidRPr="00170BD5">
        <w:rPr>
          <w:sz w:val="22"/>
          <w:szCs w:val="22"/>
        </w:rPr>
        <w:t>.</w:t>
      </w:r>
    </w:p>
  </w:footnote>
  <w:footnote w:id="16">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Las diez grandes empresas transnacionales productoras de semillas controlan el 40% del mercado mundial, equivalente a 24 mil millones de dólares y son: Dupont, Monsato, Delta and  Pine y Dow, de Estados Unidos; Syngenta, de Suiza; Gruope Limagrain, de Francia; Grupo Pulsar, de México; Advanta, e Reino Unido y Holanda; KWS AG de Alemania y Aventis, de Francia. DuPont y Monsanto juntos dominan el mercado mundial de semillas del maíz (65%), y de la soja -44%-</w:t>
      </w:r>
    </w:p>
    <w:p w:rsidR="00941B88" w:rsidRPr="00170BD5" w:rsidRDefault="00941B88" w:rsidP="002B7165">
      <w:pPr>
        <w:pStyle w:val="Textonotapie"/>
        <w:jc w:val="both"/>
        <w:rPr>
          <w:sz w:val="22"/>
          <w:szCs w:val="22"/>
          <w:lang w:val="es-ES_tradnl"/>
        </w:rPr>
      </w:pPr>
      <w:r w:rsidRPr="00170BD5">
        <w:rPr>
          <w:sz w:val="22"/>
          <w:szCs w:val="22"/>
        </w:rPr>
        <w:t>(ETC-group. Glo</w:t>
      </w:r>
      <w:r>
        <w:rPr>
          <w:sz w:val="22"/>
          <w:szCs w:val="22"/>
        </w:rPr>
        <w:t>b</w:t>
      </w:r>
      <w:r w:rsidRPr="00170BD5">
        <w:rPr>
          <w:sz w:val="22"/>
          <w:szCs w:val="22"/>
        </w:rPr>
        <w:t xml:space="preserve">alización, S.A 2001). </w:t>
      </w:r>
    </w:p>
  </w:footnote>
  <w:footnote w:id="17">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Para otros estudiosos, los resultados desastrosos que ha tenido el “dumping” en México bajo el Tratado de Libre Comercio de Norteamérica (TLCAN/NAFTA). Muestran que aunque las y exportaciones alimentarias y agrícolas han aumentado casi cada año desde que entró en vigencia el NAFTA en 1994, el desequilibrio comercial también ha anualmente. Cada año México se vuelve más dependiente de la importación, importando más alimentos de los que exporta. La mayor parte del comercio agrícola de México se establece con EE.UU. En 1993 México importó 50,000 toneladas de maíz. Este año (2009), siendo el tercer importador más grande de maíz en el mundo, comprará 7 millones de toneladas de maíz proveniente de EE.UU., el 40% del cual está genéticamente modificado. El destacado aumento de las importaciones, afirmó Flores, no es resultado de una incapacidad productiva, sino de cambios económicos estructurales producidos por el “dumping” de maíz de EE.UU (</w:t>
      </w:r>
      <w:r w:rsidRPr="00170BD5">
        <w:rPr>
          <w:bCs/>
          <w:sz w:val="22"/>
          <w:szCs w:val="22"/>
        </w:rPr>
        <w:t>Gómez, A 2004).</w:t>
      </w:r>
    </w:p>
  </w:footnote>
  <w:footnote w:id="18">
    <w:p w:rsidR="00941B88" w:rsidRPr="00170BD5" w:rsidRDefault="00941B88" w:rsidP="002B7165">
      <w:pPr>
        <w:pStyle w:val="Textonotapie"/>
        <w:rPr>
          <w:sz w:val="22"/>
          <w:szCs w:val="22"/>
          <w:lang w:val="es-ES_tradnl"/>
        </w:rPr>
      </w:pPr>
      <w:r w:rsidRPr="00170BD5">
        <w:rPr>
          <w:rStyle w:val="Refdenotaalpie"/>
          <w:sz w:val="22"/>
          <w:szCs w:val="22"/>
        </w:rPr>
        <w:footnoteRef/>
      </w:r>
      <w:r w:rsidRPr="00170BD5">
        <w:rPr>
          <w:sz w:val="22"/>
          <w:szCs w:val="22"/>
        </w:rPr>
        <w:t xml:space="preserve"> </w:t>
      </w:r>
      <w:r w:rsidRPr="00170BD5">
        <w:rPr>
          <w:sz w:val="22"/>
          <w:szCs w:val="22"/>
          <w:lang w:val="es-ES_tradnl"/>
        </w:rPr>
        <w:t>Citado por Gonzále</w:t>
      </w:r>
      <w:r>
        <w:rPr>
          <w:sz w:val="22"/>
          <w:szCs w:val="22"/>
          <w:lang w:val="es-ES_tradnl"/>
        </w:rPr>
        <w:t>z, H (2001</w:t>
      </w:r>
      <w:r w:rsidRPr="00170BD5">
        <w:rPr>
          <w:sz w:val="22"/>
          <w:szCs w:val="22"/>
          <w:lang w:val="es-ES_tradnl"/>
        </w:rPr>
        <w:t xml:space="preserve">). </w:t>
      </w:r>
    </w:p>
  </w:footnote>
  <w:footnote w:id="19">
    <w:p w:rsidR="00941B88" w:rsidRPr="00170BD5" w:rsidRDefault="00941B88" w:rsidP="002B7165">
      <w:pPr>
        <w:pStyle w:val="Textonotapie"/>
        <w:rPr>
          <w:sz w:val="22"/>
          <w:szCs w:val="22"/>
          <w:lang w:val="es-ES_tradnl"/>
        </w:rPr>
      </w:pPr>
      <w:r w:rsidRPr="00170BD5">
        <w:rPr>
          <w:rStyle w:val="Refdenotaalpie"/>
          <w:sz w:val="22"/>
          <w:szCs w:val="22"/>
        </w:rPr>
        <w:footnoteRef/>
      </w:r>
      <w:r w:rsidRPr="00170BD5">
        <w:rPr>
          <w:sz w:val="22"/>
          <w:szCs w:val="22"/>
        </w:rPr>
        <w:t xml:space="preserve"> </w:t>
      </w:r>
      <w:r>
        <w:rPr>
          <w:sz w:val="22"/>
          <w:szCs w:val="22"/>
          <w:lang w:val="es-ES_tradnl"/>
        </w:rPr>
        <w:t>Citado por González, H (2001</w:t>
      </w:r>
      <w:r w:rsidRPr="00170BD5">
        <w:rPr>
          <w:sz w:val="22"/>
          <w:szCs w:val="22"/>
          <w:lang w:val="es-ES_tradnl"/>
        </w:rPr>
        <w:t>).</w:t>
      </w:r>
    </w:p>
  </w:footnote>
  <w:footnote w:id="20">
    <w:p w:rsidR="00941B88" w:rsidRPr="00170BD5" w:rsidRDefault="00941B88" w:rsidP="002B7165">
      <w:pPr>
        <w:pStyle w:val="Textonotapie"/>
        <w:rPr>
          <w:sz w:val="22"/>
          <w:szCs w:val="22"/>
        </w:rPr>
      </w:pPr>
      <w:r w:rsidRPr="00170BD5">
        <w:rPr>
          <w:rStyle w:val="Refdenotaalpie"/>
          <w:sz w:val="22"/>
          <w:szCs w:val="22"/>
        </w:rPr>
        <w:footnoteRef/>
      </w:r>
      <w:r w:rsidRPr="00170BD5">
        <w:rPr>
          <w:sz w:val="22"/>
          <w:szCs w:val="22"/>
        </w:rPr>
        <w:t xml:space="preserve"> </w:t>
      </w:r>
      <w:r w:rsidRPr="00170BD5">
        <w:rPr>
          <w:sz w:val="22"/>
          <w:szCs w:val="22"/>
          <w:lang w:val="es-ES_tradnl"/>
        </w:rPr>
        <w:t>Citado por González, H (1994).</w:t>
      </w:r>
    </w:p>
  </w:footnote>
  <w:footnote w:id="21">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La agroindustria del limón en Colima forma parte de un sistema estratégico global de carácter sumamente complejo, en donde de cadena de valor global del limón mexicano, juega un papel sólo como proveedor de un insumo de bajo valor agregado transferible a las empresas industriales y comercializadoras de refrescos y perfumes en el mundo (Merchand, M 2005). </w:t>
      </w:r>
    </w:p>
  </w:footnote>
  <w:footnote w:id="22">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Tal es el caso de la empresa Hortícolas de Desierto en Caborca Sonora, quien ha rentado cientos de hectáreas con sus respectivos pozos a los otrora prósperos agricultores que fueron arruinados por la importación de la uva chilena y por los adeudos con </w:t>
      </w:r>
      <w:smartTag w:uri="urn:schemas-microsoft-com:office:smarttags" w:element="PersonName">
        <w:smartTagPr>
          <w:attr w:name="ProductID" w:val="la Comisi￳n Federal"/>
        </w:smartTagPr>
        <w:r w:rsidRPr="00170BD5">
          <w:rPr>
            <w:sz w:val="22"/>
            <w:szCs w:val="22"/>
          </w:rPr>
          <w:t>la Comisión Federal</w:t>
        </w:r>
      </w:smartTag>
      <w:r w:rsidRPr="00170BD5">
        <w:rPr>
          <w:sz w:val="22"/>
          <w:szCs w:val="22"/>
        </w:rPr>
        <w:t xml:space="preserve"> de Electricidad. Los propietarios de la empresa radican en California y Arizona e impulsan la siembra de cultivos no tradicionales de exportación, en los cuáles se contratan los dueños de la tierra como peones y jornaleros. Es también el caso de </w:t>
      </w:r>
      <w:smartTag w:uri="urn:schemas-microsoft-com:office:smarttags" w:element="PersonName">
        <w:smartTagPr>
          <w:attr w:name="ProductID" w:val="la Empresa Coreana"/>
        </w:smartTagPr>
        <w:r w:rsidRPr="00170BD5">
          <w:rPr>
            <w:sz w:val="22"/>
            <w:szCs w:val="22"/>
          </w:rPr>
          <w:t>la Empresa Coreana</w:t>
        </w:r>
      </w:smartTag>
      <w:r w:rsidRPr="00170BD5">
        <w:rPr>
          <w:sz w:val="22"/>
          <w:szCs w:val="22"/>
        </w:rPr>
        <w:t xml:space="preserve"> Triple Ocho, asentada en Santiago Ixcuintla, Nayarit, productora de hortalizas exóticas como lechugas bok y yu, calabaza cabocha, berenjena thai, tamarindo verde, calabazas patera y fuzzy, melón bitter, chile thai. Dicha empresa ha extendido su dominio a través de la renta de </w:t>
      </w:r>
      <w:smartTag w:uri="urn:schemas-microsoft-com:office:smarttags" w:element="metricconverter">
        <w:smartTagPr>
          <w:attr w:name="ProductID" w:val="450 hect￡reas"/>
        </w:smartTagPr>
        <w:r w:rsidRPr="00170BD5">
          <w:rPr>
            <w:sz w:val="22"/>
            <w:szCs w:val="22"/>
          </w:rPr>
          <w:t>450 hectáreas</w:t>
        </w:r>
      </w:smartTag>
      <w:r w:rsidRPr="00170BD5">
        <w:rPr>
          <w:sz w:val="22"/>
          <w:szCs w:val="22"/>
        </w:rPr>
        <w:t xml:space="preserve"> a precios muy bajos, alrededor de 3 mil pesos la hectárea en el 2005. Estas empresas se han beneficiado de la quiebra de los productores, aprovechando las buenas tierras a bajos precios, así como la mano de obra que queda desempleada y a la cual le pueden pagar bajos salarios. En el ámbito agroindustrial las empresas que se han beneficiado de la situación son aquellas que aprovechan los bajos precios imperantes en el mercado mundial, Cargill y Continental, que venden los granos abaratados a nuestro país obtienen enormes ganancias, Nestlé ha logrado bajar los precios del café nacional a través de la importación de café de mala calidad de Vietnam, así como las empresas que utilizan el maíz o el trigo como materia prima básica, tales como Minsa, Arancia, Maseca, Almidones Industrializados de Maíz, Bimbo, etc. (Rubio, B 2004).</w:t>
      </w:r>
    </w:p>
  </w:footnote>
  <w:footnote w:id="23">
    <w:p w:rsidR="00941B88" w:rsidRPr="00170BD5" w:rsidRDefault="00941B88" w:rsidP="002B7165">
      <w:pPr>
        <w:pStyle w:val="Textonotapie"/>
        <w:jc w:val="both"/>
        <w:rPr>
          <w:sz w:val="22"/>
          <w:szCs w:val="22"/>
          <w:lang w:val="es-ES_tradnl"/>
        </w:rPr>
      </w:pPr>
      <w:r w:rsidRPr="00170BD5">
        <w:rPr>
          <w:rStyle w:val="Refdenotaalpie"/>
          <w:sz w:val="22"/>
          <w:szCs w:val="22"/>
        </w:rPr>
        <w:footnoteRef/>
      </w:r>
      <w:r w:rsidRPr="00170BD5">
        <w:rPr>
          <w:sz w:val="22"/>
          <w:szCs w:val="22"/>
        </w:rPr>
        <w:t xml:space="preserve"> A través de los contratos, las agromaquiladoras controlan la calidad de la producción, así como su provisión oportuna que les permite diversificar el riesgo  (principalmente el de la tierra  y mano de obra)  para los agricultores, lo cual constituye una de las formas  a través  de las cuales las empresas  agroindustriales flexibilizan su estructura productiva.     </w:t>
      </w:r>
    </w:p>
  </w:footnote>
  <w:footnote w:id="24">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Existe un importante grupo de frutales dirigidos al mercado de exportación como al mercado nacional. A este grupo de frutales cuya producción es aún muy incipiente, pero potencialmente importante, es al que se les denomina globalmente “frutales menores”. Entre ellas se encuentran la frambuesa .y la zarzamora. Comercialmente, la frambuesa y zarzamora, conjuntamente con el arándano, la fresa y otros, pertenecen al grupo de los llamados berries. especies poco producidas en México, pero de gran popularidad en Norteamérica y Euro</w:t>
      </w:r>
      <w:r>
        <w:rPr>
          <w:sz w:val="22"/>
          <w:szCs w:val="22"/>
        </w:rPr>
        <w:t>pa (Manrrubio, M 1995).</w:t>
      </w:r>
    </w:p>
    <w:p w:rsidR="00941B88" w:rsidRPr="00170BD5" w:rsidRDefault="00941B88" w:rsidP="002B7165">
      <w:pPr>
        <w:autoSpaceDE w:val="0"/>
        <w:autoSpaceDN w:val="0"/>
        <w:adjustRightInd w:val="0"/>
        <w:jc w:val="both"/>
        <w:rPr>
          <w:sz w:val="22"/>
          <w:szCs w:val="22"/>
        </w:rPr>
      </w:pPr>
    </w:p>
    <w:p w:rsidR="00941B88" w:rsidRPr="00170BD5" w:rsidRDefault="00941B88" w:rsidP="002B7165">
      <w:pPr>
        <w:autoSpaceDE w:val="0"/>
        <w:autoSpaceDN w:val="0"/>
        <w:adjustRightInd w:val="0"/>
        <w:jc w:val="both"/>
        <w:rPr>
          <w:sz w:val="22"/>
          <w:szCs w:val="22"/>
        </w:rPr>
      </w:pPr>
    </w:p>
  </w:footnote>
  <w:footnote w:id="25">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La “región relativa” se define como un área continua con cierta cohesión interna, en la cual las relaciones que establece le dan cierta conexión. Dichas relaciones se basan en la interrelación funcional entre fenómenos que lleva a la creación de estructuras espaciales funcionales. Aunque en lo general, se establece que la región relativa se concibe en forma imaginaria, como instrumento para el estudio del mundo real. En términos generales, la construcción de región que se propone, consiste en que cada sociedad organiza su espacio, y le imprime una forma específica de configuración. Sin embargo, aunque los diferentes subsistemas o regiones se diferencian por el tipo de variante que acusen de la formación social en cuestión, estas formaciones sociales propias, dependerán de las características y condicionantes  económicas que desarrolle tanto el mode</w:t>
      </w:r>
      <w:r>
        <w:rPr>
          <w:sz w:val="22"/>
          <w:szCs w:val="22"/>
        </w:rPr>
        <w:t xml:space="preserve">lo nacional como internacional </w:t>
      </w:r>
      <w:r w:rsidRPr="00170BD5">
        <w:rPr>
          <w:sz w:val="22"/>
          <w:szCs w:val="22"/>
        </w:rPr>
        <w:t>(Merchand,</w:t>
      </w:r>
      <w:r>
        <w:rPr>
          <w:sz w:val="22"/>
          <w:szCs w:val="22"/>
        </w:rPr>
        <w:t xml:space="preserve"> M</w:t>
      </w:r>
      <w:r w:rsidRPr="00170BD5">
        <w:rPr>
          <w:sz w:val="22"/>
          <w:szCs w:val="22"/>
        </w:rPr>
        <w:t xml:space="preserve"> 2003). </w:t>
      </w:r>
    </w:p>
  </w:footnote>
  <w:footnote w:id="26">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Este trabajó, se realizó con la participación del Centro Regional Occidente de la Universidad Autónoma de Chapingo, con la colaboración de Perales Marta, coordinadora del diagnostico; Servicios Alternativos para la Educación y el Desarrollo.</w:t>
      </w:r>
    </w:p>
  </w:footnote>
  <w:footnote w:id="27">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La fisiografía de la región la representan la Sierra de Cotija y las zonas de montaña de los municipios de Peribán, Los Reyes, Tocumbo, Tinguindín y Tangamandapio que se unen a la zona de la cañada de los 11 pueblos. Estos dos sistemas montañosos representan áreas estratégicas para la </w:t>
      </w:r>
      <w:r>
        <w:rPr>
          <w:sz w:val="22"/>
          <w:szCs w:val="22"/>
        </w:rPr>
        <w:t>captación de agua en la región.</w:t>
      </w:r>
    </w:p>
  </w:footnote>
  <w:footnote w:id="28">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En la actualidad no existe un inventario confiable sobre el número de pozos que son utilizados para la agricultura, el estado en que se encuentran y, sobre todo, la profundidad a la que se está sacando el agua, para así poder determinar las reservas. Las actuales prácticas de riego no optimizan el uso del agua. Se desperdicia mucha agua bajo el sistema de riego por agua rodada, y en muchas ocasiones las tablas de riego no corresponden al cultivo y se realizan aportes en exceso. Ambos casos están relacionados con los sistemas productivos más impor</w:t>
      </w:r>
      <w:r>
        <w:rPr>
          <w:sz w:val="22"/>
          <w:szCs w:val="22"/>
        </w:rPr>
        <w:t>tantes</w:t>
      </w:r>
      <w:r w:rsidRPr="00170BD5">
        <w:rPr>
          <w:sz w:val="22"/>
          <w:szCs w:val="22"/>
        </w:rPr>
        <w:t xml:space="preserve"> </w:t>
      </w:r>
      <w:r>
        <w:rPr>
          <w:sz w:val="22"/>
          <w:szCs w:val="22"/>
        </w:rPr>
        <w:t>(</w:t>
      </w:r>
      <w:r w:rsidRPr="00170BD5">
        <w:rPr>
          <w:sz w:val="22"/>
          <w:szCs w:val="22"/>
        </w:rPr>
        <w:t xml:space="preserve">Comisión Nacional del Agua, Gerencia Estatal en Michoacán, Subgerencia </w:t>
      </w:r>
      <w:r>
        <w:rPr>
          <w:sz w:val="22"/>
          <w:szCs w:val="22"/>
        </w:rPr>
        <w:t xml:space="preserve">de Administración de Agua, 2001). </w:t>
      </w:r>
      <w:r w:rsidRPr="00170BD5">
        <w:rPr>
          <w:sz w:val="22"/>
          <w:szCs w:val="22"/>
        </w:rPr>
        <w:t xml:space="preserve"> </w:t>
      </w:r>
    </w:p>
    <w:p w:rsidR="00941B88" w:rsidRPr="00170BD5" w:rsidRDefault="00941B88" w:rsidP="002B7165">
      <w:pPr>
        <w:pStyle w:val="Textonotapie"/>
        <w:jc w:val="both"/>
        <w:rPr>
          <w:sz w:val="22"/>
          <w:szCs w:val="22"/>
        </w:rPr>
      </w:pPr>
    </w:p>
  </w:footnote>
  <w:footnote w:id="29">
    <w:p w:rsidR="00941B88" w:rsidRPr="00170BD5" w:rsidRDefault="00941B88" w:rsidP="002B7165">
      <w:pPr>
        <w:pStyle w:val="Textonotapie"/>
        <w:jc w:val="both"/>
        <w:rPr>
          <w:sz w:val="22"/>
          <w:szCs w:val="22"/>
        </w:rPr>
      </w:pPr>
      <w:r w:rsidRPr="00170BD5">
        <w:rPr>
          <w:rStyle w:val="Refdenotaalpie"/>
          <w:sz w:val="22"/>
          <w:szCs w:val="22"/>
        </w:rPr>
        <w:footnoteRef/>
      </w:r>
      <w:r w:rsidRPr="00170BD5">
        <w:rPr>
          <w:sz w:val="22"/>
          <w:szCs w:val="22"/>
        </w:rPr>
        <w:t xml:space="preserve"> La zarzamora que no paso el control de calidad se destina a la elaboración de mermeladas.</w:t>
      </w:r>
    </w:p>
  </w:footnote>
  <w:footnote w:id="30">
    <w:p w:rsidR="00941B88" w:rsidRPr="00170BD5" w:rsidRDefault="00941B88" w:rsidP="002B7165">
      <w:pPr>
        <w:pStyle w:val="Textonotapie"/>
        <w:jc w:val="both"/>
        <w:rPr>
          <w:sz w:val="22"/>
          <w:szCs w:val="22"/>
          <w:lang w:val="es-MX"/>
        </w:rPr>
      </w:pPr>
      <w:r w:rsidRPr="00170BD5">
        <w:rPr>
          <w:rStyle w:val="Refdenotaalpie"/>
          <w:sz w:val="22"/>
          <w:szCs w:val="22"/>
        </w:rPr>
        <w:footnoteRef/>
      </w:r>
      <w:r w:rsidRPr="00170BD5">
        <w:rPr>
          <w:sz w:val="22"/>
          <w:szCs w:val="22"/>
        </w:rPr>
        <w:t xml:space="preserve"> </w:t>
      </w:r>
      <w:r w:rsidRPr="00170BD5">
        <w:rPr>
          <w:sz w:val="22"/>
          <w:szCs w:val="22"/>
          <w:lang w:val="es-MX"/>
        </w:rPr>
        <w:t>La empresa compradora de proceso adquiere todo el producto de las huertas que no pasan el control de calidad que exigen las empresas transnacionales, este producto adquiere un proceso industrial en la elaboración de mermeladas, para el consumo nacional.</w:t>
      </w:r>
    </w:p>
  </w:footnote>
  <w:footnote w:id="31">
    <w:p w:rsidR="00941B88" w:rsidRPr="00170BD5" w:rsidRDefault="00941B88" w:rsidP="002B7165">
      <w:pPr>
        <w:autoSpaceDE w:val="0"/>
        <w:autoSpaceDN w:val="0"/>
        <w:adjustRightInd w:val="0"/>
        <w:jc w:val="both"/>
        <w:rPr>
          <w:sz w:val="22"/>
          <w:szCs w:val="22"/>
        </w:rPr>
      </w:pPr>
      <w:r w:rsidRPr="00170BD5">
        <w:rPr>
          <w:rStyle w:val="Refdenotaalpie"/>
          <w:sz w:val="22"/>
          <w:szCs w:val="22"/>
        </w:rPr>
        <w:footnoteRef/>
      </w:r>
      <w:r w:rsidRPr="00170BD5">
        <w:rPr>
          <w:sz w:val="22"/>
          <w:szCs w:val="22"/>
        </w:rPr>
        <w:t xml:space="preserve"> La Agricultura de Contrato (AC) permite a empresas intervenir en el proceso productivo y ejercer control sin poseer la tierra. Se lleva a cabo mediante acuerdos escritos o verbales, de manera individual o grupal, entre agricultores y contratistas nacionales o internacionales, en los que se especifican las condiciones de participación, producción y merc</w:t>
      </w:r>
      <w:r>
        <w:rPr>
          <w:sz w:val="22"/>
          <w:szCs w:val="22"/>
        </w:rPr>
        <w:t>adeo de un producto determinado, l</w:t>
      </w:r>
      <w:r w:rsidRPr="00170BD5">
        <w:rPr>
          <w:sz w:val="22"/>
          <w:szCs w:val="22"/>
        </w:rPr>
        <w:t>os contratos varían en la form</w:t>
      </w:r>
      <w:r>
        <w:rPr>
          <w:sz w:val="22"/>
          <w:szCs w:val="22"/>
        </w:rPr>
        <w:t xml:space="preserve">a y en los términos concertados (Villegas, S et al </w:t>
      </w:r>
      <w:r w:rsidRPr="00170BD5">
        <w:rPr>
          <w:sz w:val="22"/>
          <w:szCs w:val="22"/>
        </w:rPr>
        <w:t xml:space="preserve">2004). </w:t>
      </w:r>
    </w:p>
    <w:p w:rsidR="00941B88" w:rsidRPr="00170BD5" w:rsidRDefault="00941B88" w:rsidP="002B7165">
      <w:pPr>
        <w:pStyle w:val="Textonotapie"/>
        <w:rPr>
          <w:sz w:val="22"/>
          <w:szCs w:val="22"/>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endnote w:id="0"/>
    <w:endnote w:id="1"/>
  </w:endnotePr>
  <w:compat/>
  <w:rsids>
    <w:rsidRoot w:val="002B7165"/>
    <w:rsid w:val="000F704F"/>
    <w:rsid w:val="00271815"/>
    <w:rsid w:val="002B7165"/>
    <w:rsid w:val="004267ED"/>
    <w:rsid w:val="005318F1"/>
    <w:rsid w:val="005526AC"/>
    <w:rsid w:val="005C1DF4"/>
    <w:rsid w:val="006075CA"/>
    <w:rsid w:val="006B16B5"/>
    <w:rsid w:val="007B6109"/>
    <w:rsid w:val="007E6100"/>
    <w:rsid w:val="00941B88"/>
    <w:rsid w:val="00AA0579"/>
    <w:rsid w:val="00B01C25"/>
    <w:rsid w:val="00C33601"/>
    <w:rsid w:val="00D3452D"/>
    <w:rsid w:val="00DE1324"/>
    <w:rsid w:val="00F15B80"/>
    <w:rsid w:val="00FA2EA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65"/>
    <w:pPr>
      <w:spacing w:after="0"/>
      <w:jc w:val="left"/>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B7165"/>
    <w:pPr>
      <w:jc w:val="both"/>
    </w:pPr>
    <w:rPr>
      <w:lang w:val="es-ES_tradnl"/>
    </w:rPr>
  </w:style>
  <w:style w:type="character" w:customStyle="1" w:styleId="TextoindependienteCar">
    <w:name w:val="Texto independiente Car"/>
    <w:basedOn w:val="Fuentedeprrafopredeter"/>
    <w:link w:val="Textoindependiente"/>
    <w:rsid w:val="002B7165"/>
    <w:rPr>
      <w:rFonts w:ascii="Times New Roman" w:eastAsia="Times New Roman" w:hAnsi="Times New Roman" w:cs="Times New Roman"/>
      <w:sz w:val="24"/>
      <w:szCs w:val="24"/>
      <w:lang w:val="es-ES_tradnl" w:eastAsia="es-ES"/>
    </w:rPr>
  </w:style>
  <w:style w:type="paragraph" w:styleId="Textonotapie">
    <w:name w:val="footnote text"/>
    <w:basedOn w:val="Normal"/>
    <w:link w:val="TextonotapieCar"/>
    <w:semiHidden/>
    <w:rsid w:val="002B7165"/>
    <w:rPr>
      <w:sz w:val="20"/>
      <w:szCs w:val="20"/>
    </w:rPr>
  </w:style>
  <w:style w:type="character" w:customStyle="1" w:styleId="TextonotapieCar">
    <w:name w:val="Texto nota pie Car"/>
    <w:basedOn w:val="Fuentedeprrafopredeter"/>
    <w:link w:val="Textonotapie"/>
    <w:semiHidden/>
    <w:rsid w:val="002B7165"/>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2B7165"/>
    <w:rPr>
      <w:vertAlign w:val="superscript"/>
    </w:rPr>
  </w:style>
  <w:style w:type="paragraph" w:styleId="Textoindependiente2">
    <w:name w:val="Body Text 2"/>
    <w:basedOn w:val="Normal"/>
    <w:link w:val="Textoindependiente2Car"/>
    <w:rsid w:val="002B7165"/>
    <w:pPr>
      <w:autoSpaceDE w:val="0"/>
      <w:autoSpaceDN w:val="0"/>
      <w:adjustRightInd w:val="0"/>
      <w:spacing w:line="360" w:lineRule="auto"/>
      <w:jc w:val="both"/>
    </w:pPr>
    <w:rPr>
      <w:sz w:val="22"/>
      <w:szCs w:val="20"/>
    </w:rPr>
  </w:style>
  <w:style w:type="character" w:customStyle="1" w:styleId="Textoindependiente2Car">
    <w:name w:val="Texto independiente 2 Car"/>
    <w:basedOn w:val="Fuentedeprrafopredeter"/>
    <w:link w:val="Textoindependiente2"/>
    <w:rsid w:val="002B7165"/>
    <w:rPr>
      <w:rFonts w:ascii="Times New Roman" w:eastAsia="Times New Roman" w:hAnsi="Times New Roman" w:cs="Times New Roman"/>
      <w:szCs w:val="20"/>
      <w:lang w:val="es-ES" w:eastAsia="es-ES"/>
    </w:rPr>
  </w:style>
  <w:style w:type="paragraph" w:styleId="Textoindependiente3">
    <w:name w:val="Body Text 3"/>
    <w:basedOn w:val="Normal"/>
    <w:link w:val="Textoindependiente3Car"/>
    <w:rsid w:val="002B7165"/>
    <w:pPr>
      <w:autoSpaceDE w:val="0"/>
      <w:autoSpaceDN w:val="0"/>
      <w:adjustRightInd w:val="0"/>
      <w:jc w:val="both"/>
    </w:pPr>
    <w:rPr>
      <w:color w:val="993300"/>
    </w:rPr>
  </w:style>
  <w:style w:type="character" w:customStyle="1" w:styleId="Textoindependiente3Car">
    <w:name w:val="Texto independiente 3 Car"/>
    <w:basedOn w:val="Fuentedeprrafopredeter"/>
    <w:link w:val="Textoindependiente3"/>
    <w:rsid w:val="002B7165"/>
    <w:rPr>
      <w:rFonts w:ascii="Times New Roman" w:eastAsia="Times New Roman" w:hAnsi="Times New Roman" w:cs="Times New Roman"/>
      <w:color w:val="993300"/>
      <w:sz w:val="24"/>
      <w:szCs w:val="24"/>
      <w:lang w:val="es-ES" w:eastAsia="es-ES"/>
    </w:rPr>
  </w:style>
  <w:style w:type="character" w:styleId="Hipervnculo">
    <w:name w:val="Hyperlink"/>
    <w:basedOn w:val="Fuentedeprrafopredeter"/>
    <w:rsid w:val="002B7165"/>
    <w:rPr>
      <w:color w:val="0000FF"/>
      <w:u w:val="single"/>
    </w:rPr>
  </w:style>
  <w:style w:type="character" w:styleId="nfasis">
    <w:name w:val="Emphasis"/>
    <w:basedOn w:val="Fuentedeprrafopredeter"/>
    <w:qFormat/>
    <w:rsid w:val="002B7165"/>
    <w:rPr>
      <w:i/>
      <w:iCs/>
    </w:rPr>
  </w:style>
  <w:style w:type="paragraph" w:styleId="Sangradetextonormal">
    <w:name w:val="Body Text Indent"/>
    <w:basedOn w:val="Normal"/>
    <w:link w:val="SangradetextonormalCar"/>
    <w:uiPriority w:val="99"/>
    <w:semiHidden/>
    <w:unhideWhenUsed/>
    <w:rsid w:val="002B7165"/>
    <w:pPr>
      <w:spacing w:after="120"/>
      <w:ind w:left="283"/>
    </w:pPr>
  </w:style>
  <w:style w:type="character" w:customStyle="1" w:styleId="SangradetextonormalCar">
    <w:name w:val="Sangría de texto normal Car"/>
    <w:basedOn w:val="Fuentedeprrafopredeter"/>
    <w:link w:val="Sangradetextonormal"/>
    <w:uiPriority w:val="99"/>
    <w:semiHidden/>
    <w:rsid w:val="002B7165"/>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2B7165"/>
    <w:rPr>
      <w:b/>
      <w:bCs/>
    </w:rPr>
  </w:style>
  <w:style w:type="paragraph" w:styleId="Textodeglobo">
    <w:name w:val="Balloon Text"/>
    <w:basedOn w:val="Normal"/>
    <w:link w:val="TextodegloboCar"/>
    <w:uiPriority w:val="99"/>
    <w:semiHidden/>
    <w:unhideWhenUsed/>
    <w:rsid w:val="002B7165"/>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165"/>
    <w:rPr>
      <w:rFonts w:ascii="Tahoma" w:eastAsia="Times New Roman" w:hAnsi="Tahoma" w:cs="Tahoma"/>
      <w:sz w:val="16"/>
      <w:szCs w:val="16"/>
      <w:lang w:val="es-ES" w:eastAsia="es-ES"/>
    </w:rPr>
  </w:style>
  <w:style w:type="paragraph" w:customStyle="1" w:styleId="yiv1866219858msonormal">
    <w:name w:val="yiv1866219858msonormal"/>
    <w:basedOn w:val="Normal"/>
    <w:rsid w:val="00941B88"/>
    <w:pPr>
      <w:spacing w:before="100" w:beforeAutospacing="1" w:after="100" w:afterAutospacing="1"/>
    </w:pPr>
    <w:rPr>
      <w:lang w:val="es-MX" w:eastAsia="es-MX"/>
    </w:rPr>
  </w:style>
</w:styles>
</file>

<file path=word/webSettings.xml><?xml version="1.0" encoding="utf-8"?>
<w:webSettings xmlns:r="http://schemas.openxmlformats.org/officeDocument/2006/relationships" xmlns:w="http://schemas.openxmlformats.org/wordprocessingml/2006/main">
  <w:divs>
    <w:div w:id="1025400949">
      <w:bodyDiv w:val="1"/>
      <w:marLeft w:val="0"/>
      <w:marRight w:val="0"/>
      <w:marTop w:val="0"/>
      <w:marBottom w:val="0"/>
      <w:divBdr>
        <w:top w:val="none" w:sz="0" w:space="0" w:color="auto"/>
        <w:left w:val="none" w:sz="0" w:space="0" w:color="auto"/>
        <w:bottom w:val="none" w:sz="0" w:space="0" w:color="auto"/>
        <w:right w:val="none" w:sz="0" w:space="0" w:color="auto"/>
      </w:divBdr>
      <w:divsChild>
        <w:div w:id="981078412">
          <w:marLeft w:val="0"/>
          <w:marRight w:val="0"/>
          <w:marTop w:val="0"/>
          <w:marBottom w:val="0"/>
          <w:divBdr>
            <w:top w:val="none" w:sz="0" w:space="0" w:color="auto"/>
            <w:left w:val="none" w:sz="0" w:space="0" w:color="auto"/>
            <w:bottom w:val="none" w:sz="0" w:space="0" w:color="auto"/>
            <w:right w:val="none" w:sz="0" w:space="0" w:color="auto"/>
          </w:divBdr>
          <w:divsChild>
            <w:div w:id="1591767980">
              <w:marLeft w:val="0"/>
              <w:marRight w:val="0"/>
              <w:marTop w:val="0"/>
              <w:marBottom w:val="0"/>
              <w:divBdr>
                <w:top w:val="none" w:sz="0" w:space="0" w:color="auto"/>
                <w:left w:val="none" w:sz="0" w:space="0" w:color="auto"/>
                <w:bottom w:val="none" w:sz="0" w:space="0" w:color="auto"/>
                <w:right w:val="none" w:sz="0" w:space="0" w:color="auto"/>
              </w:divBdr>
              <w:divsChild>
                <w:div w:id="1039206386">
                  <w:marLeft w:val="0"/>
                  <w:marRight w:val="0"/>
                  <w:marTop w:val="0"/>
                  <w:marBottom w:val="0"/>
                  <w:divBdr>
                    <w:top w:val="none" w:sz="0" w:space="0" w:color="auto"/>
                    <w:left w:val="none" w:sz="0" w:space="0" w:color="auto"/>
                    <w:bottom w:val="none" w:sz="0" w:space="0" w:color="auto"/>
                    <w:right w:val="none" w:sz="0" w:space="0" w:color="auto"/>
                  </w:divBdr>
                  <w:divsChild>
                    <w:div w:id="746609939">
                      <w:marLeft w:val="0"/>
                      <w:marRight w:val="0"/>
                      <w:marTop w:val="0"/>
                      <w:marBottom w:val="0"/>
                      <w:divBdr>
                        <w:top w:val="none" w:sz="0" w:space="0" w:color="auto"/>
                        <w:left w:val="none" w:sz="0" w:space="0" w:color="auto"/>
                        <w:bottom w:val="none" w:sz="0" w:space="0" w:color="auto"/>
                        <w:right w:val="none" w:sz="0" w:space="0" w:color="auto"/>
                      </w:divBdr>
                      <w:divsChild>
                        <w:div w:id="1590508456">
                          <w:marLeft w:val="0"/>
                          <w:marRight w:val="0"/>
                          <w:marTop w:val="0"/>
                          <w:marBottom w:val="0"/>
                          <w:divBdr>
                            <w:top w:val="none" w:sz="0" w:space="0" w:color="auto"/>
                            <w:left w:val="none" w:sz="0" w:space="0" w:color="auto"/>
                            <w:bottom w:val="none" w:sz="0" w:space="0" w:color="auto"/>
                            <w:right w:val="none" w:sz="0" w:space="0" w:color="auto"/>
                          </w:divBdr>
                          <w:divsChild>
                            <w:div w:id="1387534410">
                              <w:marLeft w:val="0"/>
                              <w:marRight w:val="0"/>
                              <w:marTop w:val="0"/>
                              <w:marBottom w:val="0"/>
                              <w:divBdr>
                                <w:top w:val="none" w:sz="0" w:space="0" w:color="auto"/>
                                <w:left w:val="none" w:sz="0" w:space="0" w:color="auto"/>
                                <w:bottom w:val="none" w:sz="0" w:space="0" w:color="auto"/>
                                <w:right w:val="none" w:sz="0" w:space="0" w:color="auto"/>
                              </w:divBdr>
                              <w:divsChild>
                                <w:div w:id="1378894468">
                                  <w:marLeft w:val="0"/>
                                  <w:marRight w:val="0"/>
                                  <w:marTop w:val="240"/>
                                  <w:marBottom w:val="240"/>
                                  <w:divBdr>
                                    <w:top w:val="none" w:sz="0" w:space="0" w:color="auto"/>
                                    <w:left w:val="none" w:sz="0" w:space="0" w:color="auto"/>
                                    <w:bottom w:val="none" w:sz="0" w:space="0" w:color="auto"/>
                                    <w:right w:val="none" w:sz="0" w:space="0" w:color="auto"/>
                                  </w:divBdr>
                                  <w:divsChild>
                                    <w:div w:id="2067142897">
                                      <w:marLeft w:val="0"/>
                                      <w:marRight w:val="0"/>
                                      <w:marTop w:val="0"/>
                                      <w:marBottom w:val="0"/>
                                      <w:divBdr>
                                        <w:top w:val="none" w:sz="0" w:space="0" w:color="auto"/>
                                        <w:left w:val="none" w:sz="0" w:space="0" w:color="auto"/>
                                        <w:bottom w:val="none" w:sz="0" w:space="0" w:color="auto"/>
                                        <w:right w:val="none" w:sz="0" w:space="0" w:color="auto"/>
                                      </w:divBdr>
                                      <w:divsChild>
                                        <w:div w:id="657080568">
                                          <w:marLeft w:val="0"/>
                                          <w:marRight w:val="0"/>
                                          <w:marTop w:val="0"/>
                                          <w:marBottom w:val="0"/>
                                          <w:divBdr>
                                            <w:top w:val="none" w:sz="0" w:space="0" w:color="auto"/>
                                            <w:left w:val="none" w:sz="0" w:space="0" w:color="auto"/>
                                            <w:bottom w:val="none" w:sz="0" w:space="0" w:color="auto"/>
                                            <w:right w:val="none" w:sz="0" w:space="0" w:color="auto"/>
                                          </w:divBdr>
                                          <w:divsChild>
                                            <w:div w:id="13162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ica.org.uy/b05-17.htm" TargetMode="External"/><Relationship Id="rId13" Type="http://schemas.openxmlformats.org/officeDocument/2006/relationships/hyperlink" Target="http://www.etcgroup.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www.iica.org.uy/images/clearpixel.gif" TargetMode="External"/><Relationship Id="rId12" Type="http://schemas.openxmlformats.org/officeDocument/2006/relationships/hyperlink" Target="http://www.diputados.gob.mx/sia/ecoycom/pdf/dec47.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eclac.cl/cgibin/getProd.asp?xml=publicaciones/xml1=/2/14482/P14482.xml&amp;xsl=/comercio"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yperlink" Target="http://www.infoaserca.gob.mx/boletineszip/repusda.pdf" TargetMode="External"/><Relationship Id="rId10" Type="http://schemas.openxmlformats.org/officeDocument/2006/relationships/hyperlink" Target="http://dgcnesyp.inegi.gob.mx/cgi-win/bdi.exe" TargetMode="Externa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hyperlink" Target="http://alhim.revues.org/document613.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nt.presidencia.gob.mx/Informes/2002Fox2/website/docs/pdfs/2info_anexo_303-309.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000" b="1" i="0" u="none" strike="noStrike" baseline="0">
                <a:solidFill>
                  <a:srgbClr val="000000"/>
                </a:solidFill>
                <a:latin typeface="Arial"/>
                <a:ea typeface="Arial"/>
                <a:cs typeface="Arial"/>
              </a:defRPr>
            </a:pPr>
            <a:r>
              <a:rPr lang="es-MX"/>
              <a:t>Productos Exportados por México 1991-2003 </a:t>
            </a:r>
          </a:p>
        </c:rich>
      </c:tx>
      <c:layout>
        <c:manualLayout>
          <c:xMode val="edge"/>
          <c:yMode val="edge"/>
          <c:x val="0.20464135021097046"/>
          <c:y val="1.875000000000001E-2"/>
        </c:manualLayout>
      </c:layout>
      <c:spPr>
        <a:noFill/>
        <a:ln w="25397">
          <a:noFill/>
        </a:ln>
      </c:spPr>
    </c:title>
    <c:plotArea>
      <c:layout>
        <c:manualLayout>
          <c:layoutTarget val="inner"/>
          <c:xMode val="edge"/>
          <c:yMode val="edge"/>
          <c:x val="0.1371308016877637"/>
          <c:y val="0.17500000000000004"/>
          <c:w val="0.52320675105485237"/>
          <c:h val="0.60312500000000058"/>
        </c:manualLayout>
      </c:layout>
      <c:barChart>
        <c:barDir val="col"/>
        <c:grouping val="clustered"/>
        <c:ser>
          <c:idx val="0"/>
          <c:order val="0"/>
          <c:tx>
            <c:strRef>
              <c:f>Hoja2!$I$8</c:f>
              <c:strCache>
                <c:ptCount val="1"/>
                <c:pt idx="0">
                  <c:v>Jitomate</c:v>
                </c:pt>
              </c:strCache>
            </c:strRef>
          </c:tx>
          <c:spPr>
            <a:solidFill>
              <a:srgbClr val="9999FF"/>
            </a:solidFill>
            <a:ln w="12699">
              <a:solidFill>
                <a:srgbClr val="000000"/>
              </a:solidFill>
              <a:prstDash val="solid"/>
            </a:ln>
          </c:spPr>
          <c:cat>
            <c:numRef>
              <c:f>Hoja2!$H$9:$H$21</c:f>
              <c:numCache>
                <c:formatCode>General</c:formatCode>
                <c:ptCount val="1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numCache>
            </c:numRef>
          </c:cat>
          <c:val>
            <c:numRef>
              <c:f>Hoja2!$I$9:$I$21</c:f>
              <c:numCache>
                <c:formatCode>0</c:formatCode>
                <c:ptCount val="13"/>
                <c:pt idx="0">
                  <c:v>262</c:v>
                </c:pt>
                <c:pt idx="1">
                  <c:v>167</c:v>
                </c:pt>
                <c:pt idx="2">
                  <c:v>395</c:v>
                </c:pt>
                <c:pt idx="3">
                  <c:v>395</c:v>
                </c:pt>
                <c:pt idx="4">
                  <c:v>586</c:v>
                </c:pt>
                <c:pt idx="5">
                  <c:v>540</c:v>
                </c:pt>
                <c:pt idx="6">
                  <c:v>523</c:v>
                </c:pt>
                <c:pt idx="7">
                  <c:v>589</c:v>
                </c:pt>
                <c:pt idx="8">
                  <c:v>535</c:v>
                </c:pt>
                <c:pt idx="9">
                  <c:v>463</c:v>
                </c:pt>
                <c:pt idx="10">
                  <c:v>532</c:v>
                </c:pt>
                <c:pt idx="11">
                  <c:v>661.1</c:v>
                </c:pt>
                <c:pt idx="12">
                  <c:v>1318.1</c:v>
                </c:pt>
              </c:numCache>
            </c:numRef>
          </c:val>
        </c:ser>
        <c:ser>
          <c:idx val="1"/>
          <c:order val="1"/>
          <c:tx>
            <c:strRef>
              <c:f>Hoja2!$J$8</c:f>
              <c:strCache>
                <c:ptCount val="1"/>
                <c:pt idx="0">
                  <c:v>Legumbres y Hortalizas Frescas</c:v>
                </c:pt>
              </c:strCache>
            </c:strRef>
          </c:tx>
          <c:spPr>
            <a:solidFill>
              <a:srgbClr val="993366"/>
            </a:solidFill>
            <a:ln w="12699">
              <a:solidFill>
                <a:srgbClr val="000000"/>
              </a:solidFill>
              <a:prstDash val="solid"/>
            </a:ln>
          </c:spPr>
          <c:cat>
            <c:numRef>
              <c:f>Hoja2!$H$9:$H$21</c:f>
              <c:numCache>
                <c:formatCode>General</c:formatCode>
                <c:ptCount val="1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numCache>
            </c:numRef>
          </c:cat>
          <c:val>
            <c:numRef>
              <c:f>Hoja2!$J$9:$J$21</c:f>
              <c:numCache>
                <c:formatCode>0</c:formatCode>
                <c:ptCount val="13"/>
                <c:pt idx="0">
                  <c:v>490</c:v>
                </c:pt>
                <c:pt idx="1">
                  <c:v>551</c:v>
                </c:pt>
                <c:pt idx="2">
                  <c:v>653</c:v>
                </c:pt>
                <c:pt idx="3">
                  <c:v>690</c:v>
                </c:pt>
                <c:pt idx="4">
                  <c:v>929</c:v>
                </c:pt>
                <c:pt idx="5">
                  <c:v>742</c:v>
                </c:pt>
                <c:pt idx="6">
                  <c:v>926</c:v>
                </c:pt>
                <c:pt idx="7">
                  <c:v>1096</c:v>
                </c:pt>
                <c:pt idx="8">
                  <c:v>1180</c:v>
                </c:pt>
                <c:pt idx="9">
                  <c:v>1352</c:v>
                </c:pt>
                <c:pt idx="10">
                  <c:v>1422</c:v>
                </c:pt>
                <c:pt idx="11">
                  <c:v>1348</c:v>
                </c:pt>
                <c:pt idx="12">
                  <c:v>2250.4</c:v>
                </c:pt>
              </c:numCache>
            </c:numRef>
          </c:val>
        </c:ser>
        <c:ser>
          <c:idx val="2"/>
          <c:order val="2"/>
          <c:tx>
            <c:strRef>
              <c:f>Hoja2!$K$8</c:f>
              <c:strCache>
                <c:ptCount val="1"/>
                <c:pt idx="0">
                  <c:v>Melón y Sandía</c:v>
                </c:pt>
              </c:strCache>
            </c:strRef>
          </c:tx>
          <c:spPr>
            <a:solidFill>
              <a:srgbClr val="FFFFCC"/>
            </a:solidFill>
            <a:ln w="12699">
              <a:solidFill>
                <a:srgbClr val="000000"/>
              </a:solidFill>
              <a:prstDash val="solid"/>
            </a:ln>
          </c:spPr>
          <c:cat>
            <c:numRef>
              <c:f>Hoja2!$H$9:$H$21</c:f>
              <c:numCache>
                <c:formatCode>General</c:formatCode>
                <c:ptCount val="1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numCache>
            </c:numRef>
          </c:cat>
          <c:val>
            <c:numRef>
              <c:f>Hoja2!$K$9:$K$21</c:f>
              <c:numCache>
                <c:formatCode>0</c:formatCode>
                <c:ptCount val="13"/>
                <c:pt idx="0">
                  <c:v>142</c:v>
                </c:pt>
                <c:pt idx="1">
                  <c:v>89</c:v>
                </c:pt>
                <c:pt idx="2">
                  <c:v>65</c:v>
                </c:pt>
                <c:pt idx="3">
                  <c:v>89</c:v>
                </c:pt>
                <c:pt idx="4">
                  <c:v>114</c:v>
                </c:pt>
                <c:pt idx="5">
                  <c:v>128</c:v>
                </c:pt>
                <c:pt idx="6">
                  <c:v>140</c:v>
                </c:pt>
                <c:pt idx="7">
                  <c:v>136</c:v>
                </c:pt>
                <c:pt idx="8">
                  <c:v>170</c:v>
                </c:pt>
                <c:pt idx="9">
                  <c:v>157</c:v>
                </c:pt>
                <c:pt idx="10">
                  <c:v>158</c:v>
                </c:pt>
                <c:pt idx="11">
                  <c:v>129.10000000000002</c:v>
                </c:pt>
                <c:pt idx="12">
                  <c:v>247</c:v>
                </c:pt>
              </c:numCache>
            </c:numRef>
          </c:val>
        </c:ser>
        <c:ser>
          <c:idx val="3"/>
          <c:order val="3"/>
          <c:tx>
            <c:strRef>
              <c:f>Hoja2!$L$8</c:f>
              <c:strCache>
                <c:ptCount val="1"/>
                <c:pt idx="0">
                  <c:v>Otras Frutas Frescas</c:v>
                </c:pt>
              </c:strCache>
            </c:strRef>
          </c:tx>
          <c:spPr>
            <a:solidFill>
              <a:srgbClr val="CCFFFF"/>
            </a:solidFill>
            <a:ln w="12699">
              <a:solidFill>
                <a:srgbClr val="000000"/>
              </a:solidFill>
              <a:prstDash val="solid"/>
            </a:ln>
          </c:spPr>
          <c:cat>
            <c:numRef>
              <c:f>Hoja2!$H$9:$H$21</c:f>
              <c:numCache>
                <c:formatCode>General</c:formatCode>
                <c:ptCount val="13"/>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numCache>
            </c:numRef>
          </c:cat>
          <c:val>
            <c:numRef>
              <c:f>Hoja2!$L$9:$L$21</c:f>
              <c:numCache>
                <c:formatCode>0</c:formatCode>
                <c:ptCount val="13"/>
                <c:pt idx="0">
                  <c:v>284</c:v>
                </c:pt>
                <c:pt idx="1">
                  <c:v>319</c:v>
                </c:pt>
                <c:pt idx="2">
                  <c:v>323</c:v>
                </c:pt>
                <c:pt idx="3">
                  <c:v>350</c:v>
                </c:pt>
                <c:pt idx="4">
                  <c:v>402</c:v>
                </c:pt>
                <c:pt idx="5">
                  <c:v>418</c:v>
                </c:pt>
                <c:pt idx="6">
                  <c:v>424</c:v>
                </c:pt>
                <c:pt idx="7">
                  <c:v>481</c:v>
                </c:pt>
                <c:pt idx="8">
                  <c:v>489</c:v>
                </c:pt>
                <c:pt idx="9">
                  <c:v>486</c:v>
                </c:pt>
                <c:pt idx="10">
                  <c:v>487</c:v>
                </c:pt>
                <c:pt idx="11">
                  <c:v>529.99999999999989</c:v>
                </c:pt>
                <c:pt idx="12">
                  <c:v>982.9</c:v>
                </c:pt>
              </c:numCache>
            </c:numRef>
          </c:val>
        </c:ser>
        <c:axId val="97114752"/>
        <c:axId val="104773888"/>
      </c:barChart>
      <c:catAx>
        <c:axId val="97114752"/>
        <c:scaling>
          <c:orientation val="minMax"/>
        </c:scaling>
        <c:axPos val="b"/>
        <c:title>
          <c:tx>
            <c:rich>
              <a:bodyPr/>
              <a:lstStyle/>
              <a:p>
                <a:pPr>
                  <a:defRPr sz="800" b="1" i="0" u="none" strike="noStrike" baseline="0">
                    <a:solidFill>
                      <a:srgbClr val="000000"/>
                    </a:solidFill>
                    <a:latin typeface="Arial"/>
                    <a:ea typeface="Arial"/>
                    <a:cs typeface="Arial"/>
                  </a:defRPr>
                </a:pPr>
                <a:r>
                  <a:rPr lang="es-MX"/>
                  <a:t>Años</a:t>
                </a:r>
              </a:p>
            </c:rich>
          </c:tx>
          <c:layout>
            <c:manualLayout>
              <c:xMode val="edge"/>
              <c:yMode val="edge"/>
              <c:x val="0.36497890295358687"/>
              <c:y val="0.90312499999999996"/>
            </c:manualLayout>
          </c:layout>
          <c:spPr>
            <a:noFill/>
            <a:ln w="25397">
              <a:noFill/>
            </a:ln>
          </c:spPr>
        </c:title>
        <c:numFmt formatCode="General" sourceLinked="1"/>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es-MX"/>
          </a:p>
        </c:txPr>
        <c:crossAx val="104773888"/>
        <c:crosses val="autoZero"/>
        <c:auto val="1"/>
        <c:lblAlgn val="ctr"/>
        <c:lblOffset val="100"/>
        <c:tickLblSkip val="2"/>
        <c:tickMarkSkip val="1"/>
      </c:catAx>
      <c:valAx>
        <c:axId val="104773888"/>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s-MX"/>
                  <a:t>Millónes de Dólares</a:t>
                </a:r>
              </a:p>
            </c:rich>
          </c:tx>
          <c:layout>
            <c:manualLayout>
              <c:xMode val="edge"/>
              <c:yMode val="edge"/>
              <c:x val="2.1097046413502147E-2"/>
              <c:y val="0.30000000000000021"/>
            </c:manualLayout>
          </c:layout>
          <c:spPr>
            <a:noFill/>
            <a:ln w="25397">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s-MX"/>
          </a:p>
        </c:txPr>
        <c:crossAx val="97114752"/>
        <c:crosses val="autoZero"/>
        <c:crossBetween val="between"/>
      </c:valAx>
      <c:spPr>
        <a:solidFill>
          <a:srgbClr val="FFFFFF"/>
        </a:solidFill>
        <a:ln w="12699">
          <a:solidFill>
            <a:srgbClr val="FFFFFF"/>
          </a:solidFill>
          <a:prstDash val="solid"/>
        </a:ln>
      </c:spPr>
    </c:plotArea>
    <c:legend>
      <c:legendPos val="r"/>
      <c:layout>
        <c:manualLayout>
          <c:xMode val="edge"/>
          <c:yMode val="edge"/>
          <c:x val="0.66877637130801748"/>
          <c:y val="0.34062500000000012"/>
          <c:w val="0.32700421940928304"/>
          <c:h val="0.3062500000000000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s-MX"/>
        </a:p>
      </c:txPr>
    </c:legend>
    <c:plotVisOnly val="1"/>
    <c:dispBlanksAs val="gap"/>
  </c:chart>
  <c:spPr>
    <a:solidFill>
      <a:srgbClr val="FFFFFF"/>
    </a:solidFill>
    <a:ln w="3175">
      <a:solidFill>
        <a:srgbClr val="000000"/>
      </a:solidFill>
      <a:prstDash val="solid"/>
    </a:ln>
  </c:spPr>
  <c:txPr>
    <a:bodyPr/>
    <a:lstStyle/>
    <a:p>
      <a:pPr>
        <a:defRPr sz="975" b="0" i="0" u="none" strike="noStrike" baseline="0">
          <a:solidFill>
            <a:srgbClr val="000000"/>
          </a:solidFill>
          <a:latin typeface="Arial"/>
          <a:ea typeface="Arial"/>
          <a:cs typeface="Arial"/>
        </a:defRPr>
      </a:pPr>
      <a:endParaRPr lang="es-MX"/>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10058</Words>
  <Characters>55319</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merchand</dc:creator>
  <cp:lastModifiedBy>merchand</cp:lastModifiedBy>
  <cp:revision>2</cp:revision>
  <dcterms:created xsi:type="dcterms:W3CDTF">2011-09-25T01:47:00Z</dcterms:created>
  <dcterms:modified xsi:type="dcterms:W3CDTF">2011-09-25T01:47:00Z</dcterms:modified>
</cp:coreProperties>
</file>