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FCD" w:rsidRDefault="00B56796">
      <w:pPr>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VERIFICAÇÃO DO ÍNDICE DE DESENVOLVIMENTO MUNICIPAL SUSTENTÁVEL NO ESTADO DE SANTA CATARINA</w:t>
      </w:r>
    </w:p>
    <w:p w:rsidR="003B2FCD" w:rsidRDefault="00B56796">
      <w:pPr>
        <w:tabs>
          <w:tab w:val="left" w:pos="5552"/>
        </w:tabs>
        <w:rPr>
          <w:rFonts w:ascii="Arial" w:eastAsia="Arial" w:hAnsi="Arial" w:cs="Arial"/>
          <w:color w:val="999999"/>
        </w:rPr>
      </w:pPr>
      <w:r>
        <w:rPr>
          <w:rFonts w:ascii="Arial" w:eastAsia="Arial" w:hAnsi="Arial" w:cs="Arial"/>
          <w:color w:val="999999"/>
        </w:rPr>
        <w:tab/>
      </w:r>
    </w:p>
    <w:p w:rsidR="003B2FCD" w:rsidRDefault="003B2FCD">
      <w:pPr>
        <w:widowControl w:val="0"/>
        <w:jc w:val="center"/>
        <w:rPr>
          <w:rFonts w:ascii="Arial" w:eastAsia="Arial" w:hAnsi="Arial" w:cs="Arial"/>
          <w:b/>
          <w:color w:val="999999"/>
        </w:rPr>
      </w:pPr>
    </w:p>
    <w:p w:rsidR="003B2FCD" w:rsidRDefault="003B2FCD">
      <w:pPr>
        <w:widowControl w:val="0"/>
        <w:jc w:val="center"/>
        <w:rPr>
          <w:rFonts w:ascii="Arial" w:eastAsia="Arial" w:hAnsi="Arial" w:cs="Arial"/>
          <w:b/>
          <w:color w:val="999999"/>
        </w:rPr>
      </w:pPr>
    </w:p>
    <w:p w:rsidR="003B2FCD" w:rsidRDefault="00B56796">
      <w:pPr>
        <w:widowControl w:val="0"/>
        <w:jc w:val="both"/>
        <w:rPr>
          <w:rFonts w:ascii="Arial" w:eastAsia="Arial" w:hAnsi="Arial" w:cs="Arial"/>
          <w:sz w:val="24"/>
          <w:szCs w:val="24"/>
          <w:highlight w:val="white"/>
        </w:rPr>
      </w:pPr>
      <w:r>
        <w:rPr>
          <w:rFonts w:ascii="Arial" w:eastAsia="Arial" w:hAnsi="Arial" w:cs="Arial"/>
          <w:sz w:val="24"/>
          <w:szCs w:val="24"/>
          <w:highlight w:val="white"/>
        </w:rPr>
        <w:t>Fábio Bulegon</w:t>
      </w:r>
    </w:p>
    <w:p w:rsidR="003B2FCD" w:rsidRDefault="00B56796">
      <w:pPr>
        <w:widowControl w:val="0"/>
        <w:jc w:val="both"/>
        <w:rPr>
          <w:rFonts w:ascii="Arial" w:eastAsia="Arial" w:hAnsi="Arial" w:cs="Arial"/>
          <w:highlight w:val="white"/>
        </w:rPr>
      </w:pPr>
      <w:r>
        <w:rPr>
          <w:rFonts w:ascii="Arial" w:eastAsia="Arial" w:hAnsi="Arial" w:cs="Arial"/>
          <w:highlight w:val="white"/>
        </w:rPr>
        <w:t>Mestrando do Programa de Pós-Graduação em Ciências Contábeis e Administração da Universidade Comunitária da Região de Chapecó.</w:t>
      </w:r>
      <w:r w:rsidR="00076593">
        <w:rPr>
          <w:rFonts w:ascii="Arial" w:eastAsia="Arial" w:hAnsi="Arial" w:cs="Arial"/>
          <w:highlight w:val="white"/>
        </w:rPr>
        <w:t xml:space="preserve"> </w:t>
      </w:r>
      <w:r>
        <w:rPr>
          <w:rFonts w:ascii="Arial" w:eastAsia="Arial" w:hAnsi="Arial" w:cs="Arial"/>
          <w:highlight w:val="white"/>
        </w:rPr>
        <w:t xml:space="preserve">E-mail: </w:t>
      </w:r>
      <w:hyperlink r:id="rId7">
        <w:r>
          <w:rPr>
            <w:rFonts w:ascii="Arial" w:eastAsia="Arial" w:hAnsi="Arial" w:cs="Arial"/>
            <w:color w:val="000000"/>
            <w:highlight w:val="white"/>
          </w:rPr>
          <w:t>fabiobulegon@unochapeco.edu.br</w:t>
        </w:r>
      </w:hyperlink>
    </w:p>
    <w:p w:rsidR="003B2FCD" w:rsidRDefault="003B2FCD">
      <w:pPr>
        <w:widowControl w:val="0"/>
        <w:jc w:val="both"/>
        <w:rPr>
          <w:rFonts w:ascii="Arial" w:eastAsia="Arial" w:hAnsi="Arial" w:cs="Arial"/>
          <w:color w:val="000000"/>
          <w:highlight w:val="white"/>
        </w:rPr>
      </w:pPr>
    </w:p>
    <w:p w:rsidR="003B2FCD" w:rsidRDefault="00B56796">
      <w:pPr>
        <w:widowControl w:val="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Marcelo Nardi</w:t>
      </w:r>
    </w:p>
    <w:p w:rsidR="003B2FCD" w:rsidRDefault="00B56796">
      <w:pPr>
        <w:widowControl w:val="0"/>
        <w:jc w:val="both"/>
        <w:rPr>
          <w:rFonts w:ascii="Arial" w:eastAsia="Arial" w:hAnsi="Arial" w:cs="Arial"/>
          <w:color w:val="000000"/>
          <w:highlight w:val="white"/>
        </w:rPr>
      </w:pPr>
      <w:r>
        <w:rPr>
          <w:rFonts w:ascii="Arial" w:eastAsia="Arial" w:hAnsi="Arial" w:cs="Arial"/>
          <w:color w:val="000000"/>
          <w:highlight w:val="white"/>
        </w:rPr>
        <w:t>Mestrando do Programa de Pós-Graduação em Ciências Contábeis e Administração da Universidade Comunitária da Região de Chapecó.</w:t>
      </w:r>
      <w:r w:rsidR="00076593">
        <w:rPr>
          <w:rFonts w:ascii="Arial" w:eastAsia="Arial" w:hAnsi="Arial" w:cs="Arial"/>
          <w:color w:val="000000"/>
          <w:highlight w:val="white"/>
        </w:rPr>
        <w:t xml:space="preserve"> </w:t>
      </w:r>
      <w:r>
        <w:rPr>
          <w:rFonts w:ascii="Arial" w:eastAsia="Arial" w:hAnsi="Arial" w:cs="Arial"/>
          <w:color w:val="000000"/>
          <w:highlight w:val="white"/>
        </w:rPr>
        <w:t>E-mail: mcenardi@unochapeco.edu.br</w:t>
      </w:r>
    </w:p>
    <w:p w:rsidR="003B2FCD" w:rsidRDefault="003B2FCD">
      <w:pPr>
        <w:widowControl w:val="0"/>
        <w:jc w:val="both"/>
        <w:rPr>
          <w:rFonts w:ascii="Arial" w:eastAsia="Arial" w:hAnsi="Arial" w:cs="Arial"/>
          <w:color w:val="000000"/>
          <w:highlight w:val="white"/>
        </w:rPr>
      </w:pPr>
    </w:p>
    <w:p w:rsidR="003B2FCD" w:rsidRDefault="00B56796">
      <w:pPr>
        <w:widowControl w:val="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w:t>
      </w:r>
      <w:r>
        <w:rPr>
          <w:rFonts w:ascii="Arial" w:eastAsia="Arial" w:hAnsi="Arial" w:cs="Arial"/>
          <w:sz w:val="24"/>
          <w:szCs w:val="24"/>
          <w:highlight w:val="white"/>
        </w:rPr>
        <w:t>é</w:t>
      </w:r>
      <w:r>
        <w:rPr>
          <w:rFonts w:ascii="Arial" w:eastAsia="Arial" w:hAnsi="Arial" w:cs="Arial"/>
          <w:color w:val="000000"/>
          <w:sz w:val="24"/>
          <w:szCs w:val="24"/>
          <w:highlight w:val="white"/>
        </w:rPr>
        <w:t>sar Augusto Di Domenico</w:t>
      </w:r>
    </w:p>
    <w:p w:rsidR="003B2FCD" w:rsidRDefault="00B56796">
      <w:pPr>
        <w:widowControl w:val="0"/>
        <w:jc w:val="both"/>
        <w:rPr>
          <w:rFonts w:ascii="Arial" w:eastAsia="Arial" w:hAnsi="Arial" w:cs="Arial"/>
          <w:color w:val="000000"/>
          <w:highlight w:val="white"/>
        </w:rPr>
      </w:pPr>
      <w:r>
        <w:rPr>
          <w:rFonts w:ascii="Arial" w:eastAsia="Arial" w:hAnsi="Arial" w:cs="Arial"/>
          <w:color w:val="000000"/>
          <w:highlight w:val="white"/>
        </w:rPr>
        <w:t>Mestrando do Programa de Pós-Graduação em Ciências Contábeis e Administração da Universidade Comunitária da Região de Chapecó.</w:t>
      </w:r>
      <w:r w:rsidR="00076593">
        <w:rPr>
          <w:rFonts w:ascii="Arial" w:eastAsia="Arial" w:hAnsi="Arial" w:cs="Arial"/>
          <w:color w:val="000000"/>
          <w:highlight w:val="white"/>
        </w:rPr>
        <w:t xml:space="preserve"> </w:t>
      </w:r>
      <w:r>
        <w:rPr>
          <w:rFonts w:ascii="Arial" w:eastAsia="Arial" w:hAnsi="Arial" w:cs="Arial"/>
          <w:color w:val="000000"/>
          <w:highlight w:val="white"/>
        </w:rPr>
        <w:t>E-mail: cesaraugcco@gmail.com</w:t>
      </w:r>
    </w:p>
    <w:p w:rsidR="003B2FCD" w:rsidRDefault="003B2FCD">
      <w:pPr>
        <w:widowControl w:val="0"/>
        <w:jc w:val="both"/>
        <w:rPr>
          <w:rFonts w:ascii="Arial" w:eastAsia="Arial" w:hAnsi="Arial" w:cs="Arial"/>
          <w:color w:val="000000"/>
          <w:highlight w:val="white"/>
        </w:rPr>
      </w:pPr>
    </w:p>
    <w:p w:rsidR="003B2FCD" w:rsidRDefault="00B56796">
      <w:pPr>
        <w:widowControl w:val="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Giana de Vargas Mores</w:t>
      </w:r>
    </w:p>
    <w:p w:rsidR="003B2FCD" w:rsidRDefault="00076593">
      <w:pPr>
        <w:widowControl w:val="0"/>
        <w:jc w:val="both"/>
        <w:rPr>
          <w:rFonts w:ascii="Arial" w:eastAsia="Arial" w:hAnsi="Arial" w:cs="Arial"/>
          <w:color w:val="000000"/>
          <w:highlight w:val="white"/>
        </w:rPr>
      </w:pPr>
      <w:r>
        <w:rPr>
          <w:rFonts w:ascii="Arial" w:eastAsia="Arial" w:hAnsi="Arial" w:cs="Arial"/>
          <w:color w:val="000000"/>
          <w:highlight w:val="white"/>
        </w:rPr>
        <w:t>Doutora</w:t>
      </w:r>
      <w:r w:rsidR="00B56796">
        <w:rPr>
          <w:rFonts w:ascii="Arial" w:eastAsia="Arial" w:hAnsi="Arial" w:cs="Arial"/>
          <w:color w:val="000000"/>
          <w:highlight w:val="white"/>
        </w:rPr>
        <w:t xml:space="preserve"> em Agronegócios. </w:t>
      </w:r>
      <w:r>
        <w:rPr>
          <w:rFonts w:ascii="Arial" w:eastAsia="Arial" w:hAnsi="Arial" w:cs="Arial"/>
          <w:color w:val="000000"/>
          <w:highlight w:val="white"/>
        </w:rPr>
        <w:t>P</w:t>
      </w:r>
      <w:r w:rsidR="00B56796">
        <w:rPr>
          <w:rFonts w:ascii="Arial" w:eastAsia="Arial" w:hAnsi="Arial" w:cs="Arial"/>
          <w:color w:val="000000"/>
          <w:highlight w:val="white"/>
        </w:rPr>
        <w:t>rofessora do Programa de Pós-Graduação</w:t>
      </w:r>
      <w:r w:rsidR="00B56796">
        <w:rPr>
          <w:rFonts w:ascii="Arial" w:eastAsia="Arial" w:hAnsi="Arial" w:cs="Arial"/>
          <w:highlight w:val="white"/>
        </w:rPr>
        <w:t xml:space="preserve"> </w:t>
      </w:r>
      <w:r w:rsidR="00B56796">
        <w:rPr>
          <w:rFonts w:ascii="Arial" w:eastAsia="Arial" w:hAnsi="Arial" w:cs="Arial"/>
          <w:color w:val="000000"/>
          <w:highlight w:val="white"/>
        </w:rPr>
        <w:t xml:space="preserve">em Administração </w:t>
      </w:r>
      <w:r w:rsidR="00E65A95">
        <w:rPr>
          <w:rFonts w:ascii="Arial" w:eastAsia="Arial" w:hAnsi="Arial" w:cs="Arial"/>
          <w:color w:val="000000"/>
          <w:highlight w:val="white"/>
        </w:rPr>
        <w:t>-</w:t>
      </w:r>
      <w:r w:rsidR="00B56796">
        <w:rPr>
          <w:rFonts w:ascii="Arial" w:eastAsia="Arial" w:hAnsi="Arial" w:cs="Arial"/>
          <w:color w:val="000000"/>
          <w:highlight w:val="white"/>
        </w:rPr>
        <w:t xml:space="preserve"> </w:t>
      </w:r>
      <w:r w:rsidR="00802D42">
        <w:rPr>
          <w:rFonts w:ascii="Arial" w:eastAsia="Arial" w:hAnsi="Arial" w:cs="Arial"/>
          <w:color w:val="000000"/>
          <w:highlight w:val="white"/>
        </w:rPr>
        <w:t>Business School</w:t>
      </w:r>
      <w:r w:rsidR="00802D42">
        <w:rPr>
          <w:rFonts w:ascii="Arial" w:eastAsia="Arial" w:hAnsi="Arial" w:cs="Arial"/>
          <w:color w:val="000000"/>
          <w:highlight w:val="white"/>
        </w:rPr>
        <w:t xml:space="preserve"> da Faculdade Meridional</w:t>
      </w:r>
      <w:r>
        <w:rPr>
          <w:rFonts w:ascii="Arial" w:eastAsia="Arial" w:hAnsi="Arial" w:cs="Arial"/>
          <w:color w:val="000000"/>
          <w:highlight w:val="white"/>
        </w:rPr>
        <w:t xml:space="preserve">. </w:t>
      </w:r>
      <w:r w:rsidR="00B56796">
        <w:rPr>
          <w:rFonts w:ascii="Arial" w:eastAsia="Arial" w:hAnsi="Arial" w:cs="Arial"/>
          <w:color w:val="000000"/>
          <w:highlight w:val="white"/>
        </w:rPr>
        <w:t>E-mail: gimores@gmail.com</w:t>
      </w:r>
    </w:p>
    <w:p w:rsidR="003B2FCD" w:rsidRDefault="003B2FCD">
      <w:pPr>
        <w:widowControl w:val="0"/>
        <w:jc w:val="both"/>
        <w:rPr>
          <w:rFonts w:ascii="Arial" w:eastAsia="Arial" w:hAnsi="Arial" w:cs="Arial"/>
          <w:color w:val="000000"/>
          <w:highlight w:val="white"/>
        </w:rPr>
      </w:pPr>
    </w:p>
    <w:p w:rsidR="003B2FCD" w:rsidRDefault="00B56796">
      <w:pPr>
        <w:widowControl w:val="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Givanildo Silva</w:t>
      </w:r>
    </w:p>
    <w:p w:rsidR="003B2FCD" w:rsidRDefault="00076593">
      <w:pPr>
        <w:widowControl w:val="0"/>
        <w:jc w:val="both"/>
        <w:rPr>
          <w:rFonts w:ascii="Arial" w:eastAsia="Arial" w:hAnsi="Arial" w:cs="Arial"/>
          <w:color w:val="000000"/>
          <w:highlight w:val="white"/>
        </w:rPr>
      </w:pPr>
      <w:r>
        <w:rPr>
          <w:rFonts w:ascii="Arial" w:eastAsia="Arial" w:hAnsi="Arial" w:cs="Arial"/>
          <w:color w:val="000000"/>
          <w:highlight w:val="white"/>
        </w:rPr>
        <w:t>Doutor</w:t>
      </w:r>
      <w:r w:rsidR="00B56796">
        <w:rPr>
          <w:rFonts w:ascii="Arial" w:eastAsia="Arial" w:hAnsi="Arial" w:cs="Arial"/>
          <w:color w:val="000000"/>
          <w:highlight w:val="white"/>
        </w:rPr>
        <w:t xml:space="preserve"> em Ciências Contábeis e Administração. </w:t>
      </w:r>
      <w:r>
        <w:rPr>
          <w:rFonts w:ascii="Arial" w:eastAsia="Arial" w:hAnsi="Arial" w:cs="Arial"/>
          <w:color w:val="000000"/>
          <w:highlight w:val="white"/>
        </w:rPr>
        <w:t>P</w:t>
      </w:r>
      <w:r w:rsidR="00B56796">
        <w:rPr>
          <w:rFonts w:ascii="Arial" w:eastAsia="Arial" w:hAnsi="Arial" w:cs="Arial"/>
          <w:color w:val="000000"/>
          <w:highlight w:val="white"/>
        </w:rPr>
        <w:t>rofessor do Programa de Pós-Graduação em Ciências Contábeis e Administração da Universidade Com</w:t>
      </w:r>
      <w:r>
        <w:rPr>
          <w:rFonts w:ascii="Arial" w:eastAsia="Arial" w:hAnsi="Arial" w:cs="Arial"/>
          <w:color w:val="000000"/>
          <w:highlight w:val="white"/>
        </w:rPr>
        <w:t xml:space="preserve">unitária da Região de Chapecó. </w:t>
      </w:r>
      <w:r w:rsidR="00B56796">
        <w:rPr>
          <w:rFonts w:ascii="Arial" w:eastAsia="Arial" w:hAnsi="Arial" w:cs="Arial"/>
          <w:color w:val="000000"/>
          <w:highlight w:val="white"/>
        </w:rPr>
        <w:t>E-mail: givanildo.silva@unochapeco.edu.br</w:t>
      </w:r>
    </w:p>
    <w:p w:rsidR="003B2FCD" w:rsidRDefault="003B2FCD">
      <w:pPr>
        <w:widowControl w:val="0"/>
        <w:jc w:val="center"/>
        <w:rPr>
          <w:rFonts w:ascii="Arial" w:eastAsia="Arial" w:hAnsi="Arial" w:cs="Arial"/>
          <w:b/>
          <w:color w:val="999999"/>
        </w:rPr>
      </w:pPr>
    </w:p>
    <w:p w:rsidR="003B2FCD" w:rsidRDefault="003B2FCD">
      <w:pPr>
        <w:widowControl w:val="0"/>
        <w:jc w:val="center"/>
        <w:rPr>
          <w:rFonts w:ascii="Arial" w:eastAsia="Arial" w:hAnsi="Arial" w:cs="Arial"/>
          <w:b/>
          <w:color w:val="999999"/>
        </w:rPr>
      </w:pPr>
    </w:p>
    <w:p w:rsidR="003B2FCD" w:rsidRDefault="003B2FCD">
      <w:pPr>
        <w:widowControl w:val="0"/>
        <w:jc w:val="center"/>
        <w:rPr>
          <w:rFonts w:ascii="Arial" w:eastAsia="Arial" w:hAnsi="Arial" w:cs="Arial"/>
          <w:b/>
          <w:color w:val="999999"/>
        </w:rPr>
      </w:pPr>
    </w:p>
    <w:p w:rsidR="003B2FCD" w:rsidRDefault="00B56796">
      <w:pPr>
        <w:widowControl w:val="0"/>
        <w:jc w:val="both"/>
        <w:rPr>
          <w:rFonts w:ascii="Arial" w:eastAsia="Arial" w:hAnsi="Arial" w:cs="Arial"/>
        </w:rPr>
      </w:pPr>
      <w:r>
        <w:rPr>
          <w:rFonts w:ascii="Arial" w:eastAsia="Arial" w:hAnsi="Arial" w:cs="Arial"/>
          <w:b/>
          <w:sz w:val="24"/>
          <w:szCs w:val="24"/>
        </w:rPr>
        <w:t>Resumo</w:t>
      </w:r>
    </w:p>
    <w:p w:rsidR="003B2FCD" w:rsidRDefault="003B2FCD">
      <w:pPr>
        <w:widowControl w:val="0"/>
        <w:jc w:val="both"/>
        <w:rPr>
          <w:rFonts w:ascii="Arial" w:eastAsia="Arial" w:hAnsi="Arial" w:cs="Arial"/>
        </w:rPr>
      </w:pPr>
    </w:p>
    <w:p w:rsidR="003B2FCD" w:rsidRDefault="00B56796">
      <w:pPr>
        <w:widowControl w:val="0"/>
        <w:jc w:val="both"/>
        <w:rPr>
          <w:rFonts w:ascii="Arial" w:eastAsia="Arial" w:hAnsi="Arial" w:cs="Arial"/>
        </w:rPr>
      </w:pPr>
      <w:r>
        <w:rPr>
          <w:rFonts w:ascii="Arial" w:eastAsia="Arial" w:hAnsi="Arial" w:cs="Arial"/>
        </w:rPr>
        <w:t>O Índice de Desenvolvimento Municipal Sustentável (IDMS) busca avaliar o desenvolvimento sustentável dos municípios catarinenses. Intenta situar os gestores públicos em relação a um cenário futuro desejável e definir prioridades locais</w:t>
      </w:r>
      <w:r w:rsidR="00A67F2D">
        <w:rPr>
          <w:rFonts w:ascii="Arial" w:eastAsia="Arial" w:hAnsi="Arial" w:cs="Arial"/>
        </w:rPr>
        <w:t>,</w:t>
      </w:r>
      <w:r>
        <w:rPr>
          <w:rFonts w:ascii="Arial" w:eastAsia="Arial" w:hAnsi="Arial" w:cs="Arial"/>
        </w:rPr>
        <w:t xml:space="preserve"> visando à conquista de patamares mais elevados de sustentabilidade. Este artigo buscou verificar o comportamento dos índices de desenvolvimento municipal sustentável do maior município de cada mesorregião do estado de Santa Catarina</w:t>
      </w:r>
      <w:r w:rsidR="00A67F2D">
        <w:rPr>
          <w:rFonts w:ascii="Arial" w:eastAsia="Arial" w:hAnsi="Arial" w:cs="Arial"/>
        </w:rPr>
        <w:t>:</w:t>
      </w:r>
      <w:r>
        <w:rPr>
          <w:rFonts w:ascii="Arial" w:eastAsia="Arial" w:hAnsi="Arial" w:cs="Arial"/>
        </w:rPr>
        <w:t xml:space="preserve"> Vale do Itajaí - Blumenau, Oeste Catarinense - Chapecó, Sul Catarinense - Criciúma, Grande Florianópolis - Florianópolis, Norte Catarinense - Joinville e Serrana - Lages. A base de dados utilizada pautou-se nos pilares sociocultural, econômico, ambiental e político-institucional. Foram empregados os anos de 2012, 2014 e 2016 disponibilizados pela Federação Catarinense de Municípios. A partir dos resultados obtidos, observa-se que todos os municípios pesquisados estão com valores acima das médias de suas respectivas mesorregiões. Isso se deve ao tamanho das cidades, que são maiores que as demais e, possivelmente, suas arrecadações e investimentos também o sejam. Cumpre ressaltar que esses índices apontam aos municípios caminhos e ações para a melhoria e garantia da sustentabilidade. O IDMS serve de ferramenta aos municípios, cabendo aos agentes públicos se aprofundar nas causas que resultaram nos números publicados. </w:t>
      </w:r>
    </w:p>
    <w:p w:rsidR="003B2FCD" w:rsidRDefault="003B2FCD">
      <w:pPr>
        <w:widowControl w:val="0"/>
        <w:rPr>
          <w:rFonts w:ascii="Arial" w:eastAsia="Arial" w:hAnsi="Arial" w:cs="Arial"/>
          <w:b/>
        </w:rPr>
      </w:pPr>
    </w:p>
    <w:p w:rsidR="003B2FCD" w:rsidRPr="004E4A02" w:rsidRDefault="00B56796">
      <w:pPr>
        <w:widowControl w:val="0"/>
        <w:rPr>
          <w:rFonts w:ascii="Arial" w:eastAsia="Arial" w:hAnsi="Arial" w:cs="Arial"/>
          <w:lang w:val="en-US"/>
        </w:rPr>
      </w:pPr>
      <w:r>
        <w:rPr>
          <w:rFonts w:ascii="Arial" w:eastAsia="Arial" w:hAnsi="Arial" w:cs="Arial"/>
          <w:b/>
        </w:rPr>
        <w:t xml:space="preserve">Palavras-chave: </w:t>
      </w:r>
      <w:r>
        <w:rPr>
          <w:rFonts w:ascii="Arial" w:eastAsia="Arial" w:hAnsi="Arial" w:cs="Arial"/>
        </w:rPr>
        <w:t xml:space="preserve">Desenvolvimento Sustentável. Sustentabilidade. </w:t>
      </w:r>
      <w:r w:rsidRPr="004E4A02">
        <w:rPr>
          <w:rFonts w:ascii="Arial" w:eastAsia="Arial" w:hAnsi="Arial" w:cs="Arial"/>
          <w:lang w:val="en-US"/>
        </w:rPr>
        <w:t>Mesorregiões catarinenses.</w:t>
      </w:r>
    </w:p>
    <w:p w:rsidR="003B2FCD" w:rsidRPr="004E4A02" w:rsidRDefault="003B2FCD">
      <w:pPr>
        <w:widowControl w:val="0"/>
        <w:rPr>
          <w:rFonts w:ascii="Arial" w:eastAsia="Arial" w:hAnsi="Arial" w:cs="Arial"/>
          <w:sz w:val="24"/>
          <w:szCs w:val="24"/>
          <w:lang w:val="en-US"/>
        </w:rPr>
      </w:pPr>
    </w:p>
    <w:p w:rsidR="003B2FCD" w:rsidRPr="004E4A02" w:rsidRDefault="00B56796">
      <w:pPr>
        <w:widowControl w:val="0"/>
        <w:jc w:val="both"/>
        <w:rPr>
          <w:rFonts w:ascii="Arial" w:eastAsia="Arial" w:hAnsi="Arial" w:cs="Arial"/>
          <w:b/>
          <w:sz w:val="24"/>
          <w:szCs w:val="24"/>
          <w:lang w:val="en-US"/>
        </w:rPr>
      </w:pPr>
      <w:r w:rsidRPr="004E4A02">
        <w:rPr>
          <w:rFonts w:ascii="Arial" w:eastAsia="Arial" w:hAnsi="Arial" w:cs="Arial"/>
          <w:b/>
          <w:sz w:val="24"/>
          <w:szCs w:val="24"/>
          <w:lang w:val="en-US"/>
        </w:rPr>
        <w:t>Abstract</w:t>
      </w:r>
    </w:p>
    <w:p w:rsidR="003B2FCD" w:rsidRPr="004E4A02" w:rsidRDefault="003B2FCD">
      <w:pPr>
        <w:widowControl w:val="0"/>
        <w:jc w:val="both"/>
        <w:rPr>
          <w:rFonts w:ascii="Arial" w:eastAsia="Arial" w:hAnsi="Arial" w:cs="Arial"/>
          <w:lang w:val="en-US"/>
        </w:rPr>
      </w:pPr>
    </w:p>
    <w:p w:rsidR="003B2FCD" w:rsidRPr="004E4A02" w:rsidRDefault="00B56796">
      <w:pPr>
        <w:widowControl w:val="0"/>
        <w:jc w:val="both"/>
        <w:rPr>
          <w:rFonts w:ascii="Arial" w:eastAsia="Arial" w:hAnsi="Arial" w:cs="Arial"/>
          <w:lang w:val="en-US"/>
        </w:rPr>
      </w:pPr>
      <w:r w:rsidRPr="004E4A02">
        <w:rPr>
          <w:rFonts w:ascii="Arial" w:eastAsia="Arial" w:hAnsi="Arial" w:cs="Arial"/>
          <w:lang w:val="en-US"/>
        </w:rPr>
        <w:t>The Municipal Sustainable Development Index (IDMS) seeks to evaluate the sustainable development of the municipalities of Santa Catarina (SC). It also seeks to situate public managers in relation to a desirable future scenario and to define local priorities in order to achieve higher levels of sustainability. The paper aimed to verify the behavior of the index of the largest municipality of each mesoregion of SC (6): Itajaí Valley – Blumenau city, West Catarinense – Chapecó, South Catarinense –Criciúma, Florianópolis mesoregion – Florianópolis city, North Catarinense – Joinville, and Serrana – Lages. The database was based on the sociocultural, economic, environmental and political-institutional dimensions. We used the years 2012, 2014 and 2016 provided by the Catarinens</w:t>
      </w:r>
      <w:r w:rsidR="00A67F2D">
        <w:rPr>
          <w:rFonts w:ascii="Arial" w:eastAsia="Arial" w:hAnsi="Arial" w:cs="Arial"/>
          <w:lang w:val="en-US"/>
        </w:rPr>
        <w:t xml:space="preserve">e Federation of </w:t>
      </w:r>
      <w:r w:rsidR="00A67F2D">
        <w:rPr>
          <w:rFonts w:ascii="Arial" w:eastAsia="Arial" w:hAnsi="Arial" w:cs="Arial"/>
          <w:lang w:val="en-US"/>
        </w:rPr>
        <w:lastRenderedPageBreak/>
        <w:t>Municipalities</w:t>
      </w:r>
      <w:r w:rsidRPr="004E4A02">
        <w:rPr>
          <w:rFonts w:ascii="Arial" w:eastAsia="Arial" w:hAnsi="Arial" w:cs="Arial"/>
          <w:lang w:val="en-US"/>
        </w:rPr>
        <w:t>. All municipalities surveyed have values above the averages of their respective mesoregions. This is due to the size of cities, which are larger than the others and, possibly, their collections and investments are also. These indexes indicate to municipalities ways and actions to improve sustainability. The IDMS serves as a tool for municipalities, and it is incumbent upon public officials to consider the causes that have resulted in published numbers.</w:t>
      </w:r>
      <w:r w:rsidRPr="004E4A02">
        <w:rPr>
          <w:rFonts w:ascii="Arial" w:eastAsia="Arial" w:hAnsi="Arial" w:cs="Arial"/>
          <w:lang w:val="en-US"/>
        </w:rPr>
        <w:tab/>
      </w:r>
    </w:p>
    <w:p w:rsidR="003B2FCD" w:rsidRPr="004E4A02" w:rsidRDefault="003B2FCD">
      <w:pPr>
        <w:widowControl w:val="0"/>
        <w:tabs>
          <w:tab w:val="left" w:pos="5560"/>
        </w:tabs>
        <w:rPr>
          <w:rFonts w:ascii="Arial" w:eastAsia="Arial" w:hAnsi="Arial" w:cs="Arial"/>
          <w:b/>
          <w:lang w:val="en-US"/>
        </w:rPr>
      </w:pPr>
    </w:p>
    <w:p w:rsidR="003B2FCD" w:rsidRPr="004E4A02" w:rsidRDefault="00B56796">
      <w:pPr>
        <w:widowControl w:val="0"/>
        <w:tabs>
          <w:tab w:val="left" w:pos="5560"/>
        </w:tabs>
        <w:rPr>
          <w:rFonts w:ascii="Arial" w:eastAsia="Arial" w:hAnsi="Arial" w:cs="Arial"/>
          <w:lang w:val="en-US"/>
        </w:rPr>
      </w:pPr>
      <w:r w:rsidRPr="004E4A02">
        <w:rPr>
          <w:rFonts w:ascii="Arial" w:eastAsia="Arial" w:hAnsi="Arial" w:cs="Arial"/>
          <w:b/>
          <w:lang w:val="en-US"/>
        </w:rPr>
        <w:t>Keywords</w:t>
      </w:r>
      <w:r w:rsidRPr="004E4A02">
        <w:rPr>
          <w:rFonts w:ascii="Arial" w:eastAsia="Arial" w:hAnsi="Arial" w:cs="Arial"/>
          <w:lang w:val="en-US"/>
        </w:rPr>
        <w:t>: Sustainable Development. Sustainability. Mesoregions of Santa Catarina.</w:t>
      </w:r>
    </w:p>
    <w:p w:rsidR="003B2FCD" w:rsidRPr="004E4A02" w:rsidRDefault="003B2FCD">
      <w:pPr>
        <w:widowControl w:val="0"/>
        <w:spacing w:line="360" w:lineRule="auto"/>
        <w:rPr>
          <w:rFonts w:ascii="Arial" w:eastAsia="Arial" w:hAnsi="Arial" w:cs="Arial"/>
          <w:sz w:val="24"/>
          <w:szCs w:val="24"/>
          <w:lang w:val="en-US"/>
        </w:rPr>
      </w:pPr>
    </w:p>
    <w:p w:rsidR="003B2FCD" w:rsidRDefault="00B56796">
      <w:pPr>
        <w:spacing w:line="360" w:lineRule="auto"/>
        <w:rPr>
          <w:rFonts w:ascii="Arial" w:eastAsia="Arial" w:hAnsi="Arial" w:cs="Arial"/>
          <w:b/>
          <w:sz w:val="24"/>
          <w:szCs w:val="24"/>
        </w:rPr>
      </w:pPr>
      <w:r>
        <w:rPr>
          <w:rFonts w:ascii="Arial" w:eastAsia="Arial" w:hAnsi="Arial" w:cs="Arial"/>
          <w:b/>
          <w:sz w:val="24"/>
          <w:szCs w:val="24"/>
        </w:rPr>
        <w:t>1 INTRODUÇÃO</w:t>
      </w:r>
    </w:p>
    <w:p w:rsidR="003B2FCD" w:rsidRDefault="003B2FCD">
      <w:pPr>
        <w:spacing w:line="360" w:lineRule="auto"/>
        <w:rPr>
          <w:rFonts w:ascii="Arial" w:eastAsia="Arial" w:hAnsi="Arial" w:cs="Arial"/>
          <w:b/>
          <w:sz w:val="24"/>
          <w:szCs w:val="24"/>
        </w:rPr>
      </w:pPr>
    </w:p>
    <w:p w:rsidR="003B2FCD" w:rsidRDefault="00B56796">
      <w:pPr>
        <w:spacing w:line="360" w:lineRule="auto"/>
        <w:jc w:val="both"/>
        <w:rPr>
          <w:rFonts w:ascii="Arial" w:eastAsia="Arial" w:hAnsi="Arial" w:cs="Arial"/>
          <w:sz w:val="24"/>
          <w:szCs w:val="24"/>
        </w:rPr>
      </w:pPr>
      <w:r>
        <w:rPr>
          <w:rFonts w:ascii="Arial" w:eastAsia="Arial" w:hAnsi="Arial" w:cs="Arial"/>
          <w:sz w:val="24"/>
          <w:szCs w:val="24"/>
        </w:rPr>
        <w:tab/>
        <w:t xml:space="preserve">O debate sobre o papel dos municípios na promoção do desenvolvimento econômico e nos programas de geração de emprego e renda é constante e prioritário na agenda de prefeituras (COELHO, 1994). O desenvolvimento econômico local pode ser definido como o conjunto de estratégias e ações para a (re)construção da base produtiva local (para a ativação da economia daquele espaço) (SILVA, 1998). </w:t>
      </w:r>
    </w:p>
    <w:p w:rsidR="007B089B"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 xml:space="preserve">Para Cândido (2002, p. 6), “o novo ambiente empresarial leva a necessidade de mudança na postura do Estado e na definição das políticas públicas de apoio às organizações”. O papel do Estado é fundamental para tornar seus territórios atrativo-competitivos e oportunizar novas formas de desenvolvimento. No entanto, há um desafio na mensuração do desenvolvimento, por meio de indicadores, variáveis e suas inter-relações. </w:t>
      </w:r>
    </w:p>
    <w:p w:rsidR="003B2FCD" w:rsidRDefault="007B089B">
      <w:pPr>
        <w:spacing w:line="360" w:lineRule="auto"/>
        <w:ind w:firstLine="720"/>
        <w:jc w:val="both"/>
        <w:rPr>
          <w:rFonts w:ascii="Arial" w:eastAsia="Arial" w:hAnsi="Arial" w:cs="Arial"/>
          <w:sz w:val="24"/>
          <w:szCs w:val="24"/>
        </w:rPr>
      </w:pPr>
      <w:r>
        <w:rPr>
          <w:rFonts w:ascii="Arial" w:eastAsia="Arial" w:hAnsi="Arial" w:cs="Arial"/>
          <w:sz w:val="24"/>
          <w:szCs w:val="24"/>
        </w:rPr>
        <w:t>Os</w:t>
      </w:r>
      <w:r w:rsidR="00B56796">
        <w:rPr>
          <w:rFonts w:ascii="Arial" w:eastAsia="Arial" w:hAnsi="Arial" w:cs="Arial"/>
          <w:sz w:val="24"/>
          <w:szCs w:val="24"/>
        </w:rPr>
        <w:t xml:space="preserve"> indicadores devem levar em consideração: frequência, relevância, oportunidade, sensibilidade, previsibilidade, tendência, validade, unicidade, comparabilidade, histórico, acurácia e amplitude</w:t>
      </w:r>
      <w:r>
        <w:rPr>
          <w:rFonts w:ascii="Arial" w:eastAsia="Arial" w:hAnsi="Arial" w:cs="Arial"/>
          <w:sz w:val="24"/>
          <w:szCs w:val="24"/>
        </w:rPr>
        <w:t xml:space="preserve"> (BANDEIRA, 2009)</w:t>
      </w:r>
      <w:r w:rsidR="00B56796">
        <w:rPr>
          <w:rFonts w:ascii="Arial" w:eastAsia="Arial" w:hAnsi="Arial" w:cs="Arial"/>
          <w:sz w:val="24"/>
          <w:szCs w:val="24"/>
        </w:rPr>
        <w:t>. A função desses elementos é estabelecer os pontos que devem ser melhorados. Essas medidas têm de ser verificadas para indicar os pontos fracos com vista</w:t>
      </w:r>
      <w:r>
        <w:rPr>
          <w:rFonts w:ascii="Arial" w:eastAsia="Arial" w:hAnsi="Arial" w:cs="Arial"/>
          <w:sz w:val="24"/>
          <w:szCs w:val="24"/>
        </w:rPr>
        <w:t>s</w:t>
      </w:r>
      <w:r w:rsidR="00B56796">
        <w:rPr>
          <w:rFonts w:ascii="Arial" w:eastAsia="Arial" w:hAnsi="Arial" w:cs="Arial"/>
          <w:sz w:val="24"/>
          <w:szCs w:val="24"/>
        </w:rPr>
        <w:t xml:space="preserve"> à análise e à solução dos possíveis problemas que causam os resultados negativos (KARDEC</w:t>
      </w:r>
      <w:r w:rsidR="006F1039">
        <w:rPr>
          <w:rFonts w:ascii="Arial" w:eastAsia="Arial" w:hAnsi="Arial" w:cs="Arial"/>
          <w:sz w:val="24"/>
          <w:szCs w:val="24"/>
        </w:rPr>
        <w:t>;</w:t>
      </w:r>
      <w:r w:rsidR="00B56796">
        <w:rPr>
          <w:rFonts w:ascii="Arial" w:eastAsia="Arial" w:hAnsi="Arial" w:cs="Arial"/>
          <w:sz w:val="24"/>
          <w:szCs w:val="24"/>
        </w:rPr>
        <w:t xml:space="preserve"> FLORES</w:t>
      </w:r>
      <w:r w:rsidR="006F1039">
        <w:rPr>
          <w:rFonts w:ascii="Arial" w:eastAsia="Arial" w:hAnsi="Arial" w:cs="Arial"/>
          <w:sz w:val="24"/>
          <w:szCs w:val="24"/>
        </w:rPr>
        <w:t>;</w:t>
      </w:r>
      <w:r w:rsidR="00B56796">
        <w:rPr>
          <w:rFonts w:ascii="Arial" w:eastAsia="Arial" w:hAnsi="Arial" w:cs="Arial"/>
          <w:sz w:val="24"/>
          <w:szCs w:val="24"/>
        </w:rPr>
        <w:t xml:space="preserve"> SEIXAS, 2002).</w:t>
      </w: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 xml:space="preserve">No Brasil, são utilizados indicadores como o Índice de Desenvolvimento Humano (IDH), Índice de Desenvolvimento Humano Municipal (IDHM), </w:t>
      </w:r>
      <w:r w:rsidR="007B089B" w:rsidRPr="007B089B">
        <w:rPr>
          <w:rFonts w:ascii="Arial" w:eastAsia="Arial" w:hAnsi="Arial" w:cs="Arial"/>
          <w:sz w:val="24"/>
          <w:szCs w:val="24"/>
        </w:rPr>
        <w:t>Índice FIRJAN de Des</w:t>
      </w:r>
      <w:r w:rsidR="007B089B">
        <w:rPr>
          <w:rFonts w:ascii="Arial" w:eastAsia="Arial" w:hAnsi="Arial" w:cs="Arial"/>
          <w:sz w:val="24"/>
          <w:szCs w:val="24"/>
        </w:rPr>
        <w:t>envolvimento Municipal</w:t>
      </w:r>
      <w:r>
        <w:rPr>
          <w:rFonts w:ascii="Arial" w:eastAsia="Arial" w:hAnsi="Arial" w:cs="Arial"/>
          <w:sz w:val="24"/>
          <w:szCs w:val="24"/>
        </w:rPr>
        <w:t>, entre outros. No estado de Santa Catarina, a Federação Catarinense de Municípios (Fecam) criou o Índice de Desenvolvimento Municipal Sustentável (IDMS) enquanto ferramenta para auxiliar os municípios a avaliar o desenvolvimento sustentável e amparar os agentes públicos quanto a cenários para definir prioridades de investimentos. O objetivo do IDMS é avaliar os municípios levando em conta o nível de desenvolvimento sustentável, situar os agentes públicos no que concerne à situação de sua cidade e auxiliá-los a alcançar, de acordo com os dados, cenários possíveis e desejáveis</w:t>
      </w:r>
      <w:r w:rsidR="007B089B">
        <w:rPr>
          <w:rFonts w:ascii="Arial" w:eastAsia="Arial" w:hAnsi="Arial" w:cs="Arial"/>
          <w:sz w:val="24"/>
          <w:szCs w:val="24"/>
        </w:rPr>
        <w:t>,</w:t>
      </w:r>
      <w:r>
        <w:rPr>
          <w:rFonts w:ascii="Arial" w:eastAsia="Arial" w:hAnsi="Arial" w:cs="Arial"/>
          <w:sz w:val="24"/>
          <w:szCs w:val="24"/>
        </w:rPr>
        <w:t xml:space="preserve"> visando à sustentabilidade e ao bem-estar social (FECAM, 2014). </w:t>
      </w: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 xml:space="preserve">Diante do exposto, a presente pesquisa busca </w:t>
      </w:r>
      <w:r w:rsidR="004E4A02">
        <w:rPr>
          <w:rFonts w:ascii="Arial" w:eastAsia="Arial" w:hAnsi="Arial" w:cs="Arial"/>
          <w:sz w:val="24"/>
          <w:szCs w:val="24"/>
        </w:rPr>
        <w:t>verificar</w:t>
      </w:r>
      <w:r>
        <w:rPr>
          <w:rFonts w:ascii="Arial" w:eastAsia="Arial" w:hAnsi="Arial" w:cs="Arial"/>
          <w:sz w:val="24"/>
          <w:szCs w:val="24"/>
        </w:rPr>
        <w:t xml:space="preserve"> o comportamento dos índices de desenvolvimento municipal sustentável do maior município de cada mesorregião do estado de Santa Catarina, a saber, Vale do Itajaí - Blumenau, Oeste Catarinense - Chapecó, Sul Catarinense - Criciúma, Grande Florianópolis - Florianópolis, Norte Catarinense - Joinville e Serrana - Lages. </w:t>
      </w:r>
    </w:p>
    <w:p w:rsidR="007B089B" w:rsidRDefault="007B089B">
      <w:pPr>
        <w:pBdr>
          <w:top w:val="nil"/>
          <w:left w:val="nil"/>
          <w:bottom w:val="nil"/>
          <w:right w:val="nil"/>
          <w:between w:val="nil"/>
        </w:pBdr>
        <w:spacing w:line="360" w:lineRule="auto"/>
        <w:rPr>
          <w:rFonts w:ascii="Arial" w:eastAsia="Arial" w:hAnsi="Arial" w:cs="Arial"/>
          <w:b/>
          <w:sz w:val="24"/>
          <w:szCs w:val="24"/>
        </w:rPr>
      </w:pPr>
    </w:p>
    <w:p w:rsidR="003B2FCD" w:rsidRDefault="00B56796">
      <w:pPr>
        <w:pBdr>
          <w:top w:val="nil"/>
          <w:left w:val="nil"/>
          <w:bottom w:val="nil"/>
          <w:right w:val="nil"/>
          <w:between w:val="nil"/>
        </w:pBdr>
        <w:spacing w:line="360" w:lineRule="auto"/>
        <w:rPr>
          <w:rFonts w:ascii="Arial" w:eastAsia="Arial" w:hAnsi="Arial" w:cs="Arial"/>
          <w:b/>
          <w:sz w:val="24"/>
          <w:szCs w:val="24"/>
        </w:rPr>
      </w:pPr>
      <w:r>
        <w:rPr>
          <w:rFonts w:ascii="Arial" w:eastAsia="Arial" w:hAnsi="Arial" w:cs="Arial"/>
          <w:b/>
          <w:sz w:val="24"/>
          <w:szCs w:val="24"/>
        </w:rPr>
        <w:t>2 REVISÃO DE LITERATURA</w:t>
      </w:r>
    </w:p>
    <w:p w:rsidR="003B2FCD" w:rsidRDefault="003B2FCD">
      <w:pPr>
        <w:spacing w:line="360" w:lineRule="auto"/>
        <w:jc w:val="both"/>
        <w:rPr>
          <w:rFonts w:ascii="Arial" w:eastAsia="Arial" w:hAnsi="Arial" w:cs="Arial"/>
          <w:sz w:val="24"/>
          <w:szCs w:val="24"/>
        </w:rPr>
      </w:pPr>
    </w:p>
    <w:p w:rsidR="003B2FCD" w:rsidRDefault="00B56796" w:rsidP="002921F5">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ab/>
      </w:r>
      <w:r w:rsidRPr="00CE1E71">
        <w:rPr>
          <w:rFonts w:ascii="Arial" w:eastAsia="Arial" w:hAnsi="Arial" w:cs="Arial"/>
          <w:sz w:val="24"/>
          <w:szCs w:val="24"/>
        </w:rPr>
        <w:t>O desenvolvimento sustentável passou a ser amplamente discutido a partir do Relatório de Brundtland (“</w:t>
      </w:r>
      <w:r w:rsidRPr="00CE1E71">
        <w:rPr>
          <w:rFonts w:ascii="Arial" w:eastAsia="Arial" w:hAnsi="Arial" w:cs="Arial"/>
          <w:i/>
          <w:sz w:val="24"/>
          <w:szCs w:val="24"/>
        </w:rPr>
        <w:t>Our Common Future</w:t>
      </w:r>
      <w:r w:rsidRPr="00CE1E71">
        <w:rPr>
          <w:rFonts w:ascii="Arial" w:eastAsia="Arial" w:hAnsi="Arial" w:cs="Arial"/>
          <w:sz w:val="24"/>
          <w:szCs w:val="24"/>
        </w:rPr>
        <w:t xml:space="preserve">”) (WECD, 1987). </w:t>
      </w:r>
      <w:r w:rsidR="00886095">
        <w:rPr>
          <w:rFonts w:ascii="Arial" w:eastAsia="Arial" w:hAnsi="Arial" w:cs="Arial"/>
          <w:sz w:val="24"/>
          <w:szCs w:val="24"/>
        </w:rPr>
        <w:t>Nesse contexto, o</w:t>
      </w:r>
      <w:r w:rsidR="00CE1E71" w:rsidRPr="00CE1E71">
        <w:rPr>
          <w:rFonts w:ascii="Arial" w:eastAsia="Arial" w:hAnsi="Arial" w:cs="Arial"/>
          <w:sz w:val="24"/>
          <w:szCs w:val="24"/>
        </w:rPr>
        <w:t xml:space="preserve">utra </w:t>
      </w:r>
      <w:r w:rsidRPr="00CE1E71">
        <w:rPr>
          <w:rFonts w:ascii="Arial" w:eastAsia="Arial" w:hAnsi="Arial" w:cs="Arial"/>
          <w:sz w:val="24"/>
          <w:szCs w:val="24"/>
        </w:rPr>
        <w:t>definição</w:t>
      </w:r>
      <w:r w:rsidR="00CE1E71" w:rsidRPr="00CE1E71">
        <w:rPr>
          <w:rFonts w:ascii="Arial" w:eastAsia="Arial" w:hAnsi="Arial" w:cs="Arial"/>
          <w:sz w:val="24"/>
          <w:szCs w:val="24"/>
        </w:rPr>
        <w:t xml:space="preserve"> importante</w:t>
      </w:r>
      <w:r w:rsidRPr="00CE1E71">
        <w:rPr>
          <w:rFonts w:ascii="Arial" w:eastAsia="Arial" w:hAnsi="Arial" w:cs="Arial"/>
          <w:sz w:val="24"/>
          <w:szCs w:val="24"/>
        </w:rPr>
        <w:t xml:space="preserve"> </w:t>
      </w:r>
      <w:r w:rsidR="00CE1E71" w:rsidRPr="00CE1E71">
        <w:rPr>
          <w:rFonts w:ascii="Arial" w:eastAsia="Arial" w:hAnsi="Arial" w:cs="Arial"/>
          <w:sz w:val="24"/>
          <w:szCs w:val="24"/>
        </w:rPr>
        <w:t>é a de</w:t>
      </w:r>
      <w:r w:rsidRPr="00CE1E71">
        <w:rPr>
          <w:rFonts w:ascii="Arial" w:eastAsia="Arial" w:hAnsi="Arial" w:cs="Arial"/>
          <w:sz w:val="24"/>
          <w:szCs w:val="24"/>
        </w:rPr>
        <w:t xml:space="preserve"> Elkington (</w:t>
      </w:r>
      <w:r w:rsidR="003835E9">
        <w:rPr>
          <w:rFonts w:ascii="Arial" w:eastAsia="Arial" w:hAnsi="Arial" w:cs="Arial"/>
          <w:sz w:val="24"/>
          <w:szCs w:val="24"/>
        </w:rPr>
        <w:t>2012</w:t>
      </w:r>
      <w:r w:rsidRPr="00CE1E71">
        <w:rPr>
          <w:rFonts w:ascii="Arial" w:eastAsia="Arial" w:hAnsi="Arial" w:cs="Arial"/>
          <w:sz w:val="24"/>
          <w:szCs w:val="24"/>
        </w:rPr>
        <w:t xml:space="preserve">), o </w:t>
      </w:r>
      <w:r w:rsidRPr="00CE1E71">
        <w:rPr>
          <w:rFonts w:ascii="Arial" w:eastAsia="Arial" w:hAnsi="Arial" w:cs="Arial"/>
          <w:i/>
          <w:sz w:val="24"/>
          <w:szCs w:val="24"/>
        </w:rPr>
        <w:t>Triple Bottom Line</w:t>
      </w:r>
      <w:r w:rsidRPr="00CE1E71">
        <w:rPr>
          <w:rFonts w:ascii="Arial" w:eastAsia="Arial" w:hAnsi="Arial" w:cs="Arial"/>
          <w:sz w:val="24"/>
          <w:szCs w:val="24"/>
        </w:rPr>
        <w:t xml:space="preserve">, em que </w:t>
      </w:r>
      <w:r w:rsidR="00CE1E71" w:rsidRPr="00CE1E71">
        <w:rPr>
          <w:rFonts w:ascii="Arial" w:eastAsia="Arial" w:hAnsi="Arial" w:cs="Arial"/>
          <w:sz w:val="24"/>
          <w:szCs w:val="24"/>
        </w:rPr>
        <w:t xml:space="preserve">os </w:t>
      </w:r>
      <w:r w:rsidRPr="00CE1E71">
        <w:rPr>
          <w:rFonts w:ascii="Arial" w:eastAsia="Arial" w:hAnsi="Arial" w:cs="Arial"/>
          <w:sz w:val="24"/>
          <w:szCs w:val="24"/>
        </w:rPr>
        <w:t>processos de tomada de decisão devem</w:t>
      </w:r>
      <w:r w:rsidR="002921F5">
        <w:rPr>
          <w:rFonts w:ascii="Arial" w:eastAsia="Arial" w:hAnsi="Arial" w:cs="Arial"/>
          <w:sz w:val="24"/>
          <w:szCs w:val="24"/>
        </w:rPr>
        <w:t xml:space="preserve"> estar</w:t>
      </w:r>
      <w:r w:rsidR="00CE1E71" w:rsidRPr="00CE1E71">
        <w:rPr>
          <w:rFonts w:ascii="Arial" w:eastAsia="Arial" w:hAnsi="Arial" w:cs="Arial"/>
          <w:sz w:val="24"/>
          <w:szCs w:val="24"/>
        </w:rPr>
        <w:t xml:space="preserve"> alinhados aos </w:t>
      </w:r>
      <w:r w:rsidRPr="00CE1E71">
        <w:rPr>
          <w:rFonts w:ascii="Arial" w:eastAsia="Arial" w:hAnsi="Arial" w:cs="Arial"/>
          <w:sz w:val="24"/>
          <w:szCs w:val="24"/>
        </w:rPr>
        <w:t xml:space="preserve">aspectos sociais, econômicos e ambientais. Além do tripé socioeconômico-ambiental, Sachs (2000) considera as seguintes dimensões da sustentabilidade: cultural, territorial, política nacional e política internacional. </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sidRPr="00CE1E71">
        <w:rPr>
          <w:rFonts w:ascii="Arial" w:eastAsia="Arial" w:hAnsi="Arial" w:cs="Arial"/>
          <w:sz w:val="24"/>
          <w:szCs w:val="24"/>
        </w:rPr>
        <w:t xml:space="preserve">Na </w:t>
      </w:r>
      <w:r w:rsidRPr="00CE1E71">
        <w:rPr>
          <w:rFonts w:ascii="Arial" w:eastAsia="Arial" w:hAnsi="Arial" w:cs="Arial"/>
          <w:color w:val="222222"/>
          <w:sz w:val="24"/>
          <w:szCs w:val="24"/>
        </w:rPr>
        <w:t>Conferência das Nações Unidas sobre o Meio Ambien</w:t>
      </w:r>
      <w:r>
        <w:rPr>
          <w:rFonts w:ascii="Arial" w:eastAsia="Arial" w:hAnsi="Arial" w:cs="Arial"/>
          <w:color w:val="222222"/>
          <w:sz w:val="24"/>
          <w:szCs w:val="24"/>
          <w:highlight w:val="white"/>
        </w:rPr>
        <w:t>te e o Desenvolvimento</w:t>
      </w:r>
      <w:r>
        <w:rPr>
          <w:rFonts w:ascii="Arial" w:eastAsia="Arial" w:hAnsi="Arial" w:cs="Arial"/>
          <w:sz w:val="24"/>
          <w:szCs w:val="24"/>
          <w:highlight w:val="white"/>
        </w:rPr>
        <w:t xml:space="preserve"> – Rio 92, abordou-se a importância de se trabalhar com indicadores para a tomada de decisões em diversos níveis, integrando o meio ambiente e o desenvolvimento (UNITED NATIONS, 1992).</w:t>
      </w:r>
      <w:r w:rsidR="002921F5">
        <w:rPr>
          <w:rFonts w:ascii="Arial" w:eastAsia="Arial" w:hAnsi="Arial" w:cs="Arial"/>
          <w:sz w:val="24"/>
          <w:szCs w:val="24"/>
          <w:highlight w:val="white"/>
        </w:rPr>
        <w:t xml:space="preserve"> </w:t>
      </w:r>
      <w:r w:rsidR="002921F5" w:rsidRPr="00CE1E71">
        <w:rPr>
          <w:rFonts w:ascii="Arial" w:eastAsia="Arial" w:hAnsi="Arial" w:cs="Arial"/>
          <w:sz w:val="24"/>
          <w:szCs w:val="24"/>
        </w:rPr>
        <w:t>Dyllick e Hockerts (2002) consideram a sustentabilidade como um dos principais desafios enfrentados pela humanidade no século XXI e salientam a importância da Rio</w:t>
      </w:r>
      <w:r w:rsidR="002921F5">
        <w:rPr>
          <w:rFonts w:ascii="Arial" w:eastAsia="Arial" w:hAnsi="Arial" w:cs="Arial"/>
          <w:sz w:val="24"/>
          <w:szCs w:val="24"/>
        </w:rPr>
        <w:t xml:space="preserve"> </w:t>
      </w:r>
      <w:r w:rsidR="002921F5" w:rsidRPr="00CE1E71">
        <w:rPr>
          <w:rFonts w:ascii="Arial" w:eastAsia="Arial" w:hAnsi="Arial" w:cs="Arial"/>
          <w:sz w:val="24"/>
          <w:szCs w:val="24"/>
        </w:rPr>
        <w:t xml:space="preserve">92 com a aceitação do tema por parte de líderes políticos, empresariais e organizações não governamentais. </w:t>
      </w:r>
      <w:r>
        <w:rPr>
          <w:rFonts w:ascii="Arial" w:eastAsia="Arial" w:hAnsi="Arial" w:cs="Arial"/>
          <w:sz w:val="24"/>
          <w:szCs w:val="24"/>
          <w:highlight w:val="white"/>
        </w:rPr>
        <w:t>Sich</w:t>
      </w:r>
      <w:r>
        <w:rPr>
          <w:rFonts w:ascii="Arial" w:eastAsia="Arial" w:hAnsi="Arial" w:cs="Arial"/>
          <w:sz w:val="24"/>
          <w:szCs w:val="24"/>
        </w:rPr>
        <w:t>e et al. (2007) aponta</w:t>
      </w:r>
      <w:r w:rsidR="00E65A95">
        <w:rPr>
          <w:rFonts w:ascii="Arial" w:eastAsia="Arial" w:hAnsi="Arial" w:cs="Arial"/>
          <w:sz w:val="24"/>
          <w:szCs w:val="24"/>
        </w:rPr>
        <w:t>m</w:t>
      </w:r>
      <w:r>
        <w:rPr>
          <w:rFonts w:ascii="Arial" w:eastAsia="Arial" w:hAnsi="Arial" w:cs="Arial"/>
          <w:sz w:val="24"/>
          <w:szCs w:val="24"/>
        </w:rPr>
        <w:t xml:space="preserve"> a importância de </w:t>
      </w:r>
      <w:r w:rsidR="00E65A95">
        <w:rPr>
          <w:rFonts w:ascii="Arial" w:eastAsia="Arial" w:hAnsi="Arial" w:cs="Arial"/>
          <w:sz w:val="24"/>
          <w:szCs w:val="24"/>
        </w:rPr>
        <w:t xml:space="preserve">se </w:t>
      </w:r>
      <w:r>
        <w:rPr>
          <w:rFonts w:ascii="Arial" w:eastAsia="Arial" w:hAnsi="Arial" w:cs="Arial"/>
          <w:sz w:val="24"/>
          <w:szCs w:val="24"/>
        </w:rPr>
        <w:t xml:space="preserve">trabalhar com a elaboração de normas e indicadores de desenvolvimento sustentável, nos aspectos econômicos, sociais, éticos e culturais. </w:t>
      </w:r>
    </w:p>
    <w:p w:rsidR="003B2FCD" w:rsidRDefault="00B56796" w:rsidP="00CE1E71">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ab/>
        <w:t xml:space="preserve">O </w:t>
      </w:r>
      <w:r w:rsidR="00610198">
        <w:rPr>
          <w:rFonts w:ascii="Arial" w:eastAsia="Arial" w:hAnsi="Arial" w:cs="Arial"/>
          <w:sz w:val="24"/>
          <w:szCs w:val="24"/>
        </w:rPr>
        <w:t>IDMS</w:t>
      </w:r>
      <w:r>
        <w:rPr>
          <w:rFonts w:ascii="Arial" w:eastAsia="Arial" w:hAnsi="Arial" w:cs="Arial"/>
          <w:sz w:val="24"/>
          <w:szCs w:val="24"/>
        </w:rPr>
        <w:t xml:space="preserve"> busca avaliar o desenvolvimento sustentável dos municípios catarinenses. Intenta ainda situar os gestores públicos em relação a um cenário futuro desejável e definir prioridades locais visando à conquista de patamares mais elevados de sustentabilidade (FECAM, 2014). As dimensões avaliadas no índice são: sociocultural, econômica, ambiental e político-institucional. Cada uma delas é subdividida em outras para compor o indicador, conforme o Quadro 1.</w:t>
      </w:r>
    </w:p>
    <w:p w:rsidR="003B2FCD" w:rsidRDefault="00B56796">
      <w:pPr>
        <w:spacing w:line="360" w:lineRule="auto"/>
        <w:jc w:val="center"/>
        <w:rPr>
          <w:rFonts w:ascii="Arial" w:eastAsia="Arial" w:hAnsi="Arial" w:cs="Arial"/>
        </w:rPr>
      </w:pPr>
      <w:r>
        <w:rPr>
          <w:rFonts w:ascii="Arial" w:eastAsia="Arial" w:hAnsi="Arial" w:cs="Arial"/>
        </w:rPr>
        <w:t>Quadro 1 - Composição do Índice de Desenvolvimento Municipal Sustentável</w:t>
      </w:r>
    </w:p>
    <w:tbl>
      <w:tblPr>
        <w:tblStyle w:val="a"/>
        <w:tblW w:w="51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3105"/>
      </w:tblGrid>
      <w:tr w:rsidR="003B2FCD">
        <w:trPr>
          <w:trHeight w:val="280"/>
          <w:jc w:val="center"/>
        </w:trPr>
        <w:tc>
          <w:tcPr>
            <w:tcW w:w="5175" w:type="dxa"/>
            <w:gridSpan w:val="2"/>
            <w:shd w:val="clear" w:color="auto" w:fill="auto"/>
            <w:tcMar>
              <w:top w:w="100" w:type="dxa"/>
              <w:left w:w="100" w:type="dxa"/>
              <w:bottom w:w="100" w:type="dxa"/>
              <w:right w:w="100" w:type="dxa"/>
            </w:tcMar>
            <w:vAlign w:val="center"/>
          </w:tcPr>
          <w:p w:rsidR="003B2FCD" w:rsidRDefault="00B56796">
            <w:pPr>
              <w:widowControl w:val="0"/>
              <w:jc w:val="center"/>
              <w:rPr>
                <w:rFonts w:ascii="Arial" w:eastAsia="Arial" w:hAnsi="Arial" w:cs="Arial"/>
                <w:b/>
              </w:rPr>
            </w:pPr>
            <w:r>
              <w:rPr>
                <w:rFonts w:ascii="Arial" w:eastAsia="Arial" w:hAnsi="Arial" w:cs="Arial"/>
                <w:b/>
              </w:rPr>
              <w:t xml:space="preserve">Composição do IDMS </w:t>
            </w:r>
          </w:p>
        </w:tc>
      </w:tr>
      <w:tr w:rsidR="003B2FCD">
        <w:trPr>
          <w:trHeight w:val="280"/>
          <w:jc w:val="center"/>
        </w:trPr>
        <w:tc>
          <w:tcPr>
            <w:tcW w:w="2070" w:type="dxa"/>
            <w:shd w:val="clear" w:color="auto" w:fill="auto"/>
            <w:tcMar>
              <w:top w:w="100" w:type="dxa"/>
              <w:left w:w="100" w:type="dxa"/>
              <w:bottom w:w="100" w:type="dxa"/>
              <w:right w:w="100" w:type="dxa"/>
            </w:tcMar>
            <w:vAlign w:val="center"/>
          </w:tcPr>
          <w:p w:rsidR="003B2FCD" w:rsidRDefault="00B56796">
            <w:pPr>
              <w:widowControl w:val="0"/>
              <w:jc w:val="center"/>
              <w:rPr>
                <w:rFonts w:ascii="Arial" w:eastAsia="Arial" w:hAnsi="Arial" w:cs="Arial"/>
                <w:b/>
              </w:rPr>
            </w:pPr>
            <w:r>
              <w:rPr>
                <w:rFonts w:ascii="Arial" w:eastAsia="Arial" w:hAnsi="Arial" w:cs="Arial"/>
                <w:b/>
              </w:rPr>
              <w:t>Dimensão</w:t>
            </w:r>
          </w:p>
        </w:tc>
        <w:tc>
          <w:tcPr>
            <w:tcW w:w="3105" w:type="dxa"/>
            <w:shd w:val="clear" w:color="auto" w:fill="auto"/>
            <w:tcMar>
              <w:top w:w="100" w:type="dxa"/>
              <w:left w:w="100" w:type="dxa"/>
              <w:bottom w:w="100" w:type="dxa"/>
              <w:right w:w="100" w:type="dxa"/>
            </w:tcMar>
            <w:vAlign w:val="center"/>
          </w:tcPr>
          <w:p w:rsidR="003B2FCD" w:rsidRDefault="00B56796">
            <w:pPr>
              <w:widowControl w:val="0"/>
              <w:jc w:val="center"/>
              <w:rPr>
                <w:rFonts w:ascii="Arial" w:eastAsia="Arial" w:hAnsi="Arial" w:cs="Arial"/>
                <w:b/>
              </w:rPr>
            </w:pPr>
            <w:r>
              <w:rPr>
                <w:rFonts w:ascii="Arial" w:eastAsia="Arial" w:hAnsi="Arial" w:cs="Arial"/>
                <w:b/>
              </w:rPr>
              <w:t>Subdimensão</w:t>
            </w:r>
          </w:p>
        </w:tc>
      </w:tr>
      <w:tr w:rsidR="003B2FCD">
        <w:trPr>
          <w:trHeight w:val="280"/>
          <w:jc w:val="center"/>
        </w:trPr>
        <w:tc>
          <w:tcPr>
            <w:tcW w:w="2070" w:type="dxa"/>
            <w:vMerge w:val="restart"/>
            <w:shd w:val="clear" w:color="auto" w:fill="auto"/>
            <w:tcMar>
              <w:top w:w="100" w:type="dxa"/>
              <w:left w:w="100" w:type="dxa"/>
              <w:bottom w:w="100" w:type="dxa"/>
              <w:right w:w="100" w:type="dxa"/>
            </w:tcMar>
            <w:vAlign w:val="center"/>
          </w:tcPr>
          <w:p w:rsidR="003B2FCD" w:rsidRDefault="00B56796">
            <w:pPr>
              <w:widowControl w:val="0"/>
              <w:rPr>
                <w:rFonts w:ascii="Arial" w:eastAsia="Arial" w:hAnsi="Arial" w:cs="Arial"/>
              </w:rPr>
            </w:pPr>
            <w:r>
              <w:rPr>
                <w:rFonts w:ascii="Arial" w:eastAsia="Arial" w:hAnsi="Arial" w:cs="Arial"/>
              </w:rPr>
              <w:t>Sociocultural - 25%</w:t>
            </w:r>
          </w:p>
        </w:tc>
        <w:tc>
          <w:tcPr>
            <w:tcW w:w="3105" w:type="dxa"/>
            <w:shd w:val="clear" w:color="auto" w:fill="auto"/>
            <w:tcMar>
              <w:top w:w="100" w:type="dxa"/>
              <w:left w:w="100" w:type="dxa"/>
              <w:bottom w:w="100" w:type="dxa"/>
              <w:right w:w="100" w:type="dxa"/>
            </w:tcMar>
            <w:vAlign w:val="center"/>
          </w:tcPr>
          <w:p w:rsidR="003B2FCD" w:rsidRDefault="00B56796">
            <w:pPr>
              <w:widowControl w:val="0"/>
              <w:rPr>
                <w:rFonts w:ascii="Arial" w:eastAsia="Arial" w:hAnsi="Arial" w:cs="Arial"/>
              </w:rPr>
            </w:pPr>
            <w:r>
              <w:rPr>
                <w:rFonts w:ascii="Arial" w:eastAsia="Arial" w:hAnsi="Arial" w:cs="Arial"/>
              </w:rPr>
              <w:t xml:space="preserve">Educação – 45%   </w:t>
            </w:r>
          </w:p>
        </w:tc>
      </w:tr>
      <w:tr w:rsidR="003B2FCD">
        <w:trPr>
          <w:trHeight w:val="280"/>
          <w:jc w:val="center"/>
        </w:trPr>
        <w:tc>
          <w:tcPr>
            <w:tcW w:w="2070" w:type="dxa"/>
            <w:vMerge/>
            <w:shd w:val="clear" w:color="auto" w:fill="auto"/>
            <w:tcMar>
              <w:top w:w="100" w:type="dxa"/>
              <w:left w:w="100" w:type="dxa"/>
              <w:bottom w:w="100" w:type="dxa"/>
              <w:right w:w="100" w:type="dxa"/>
            </w:tcMar>
            <w:vAlign w:val="center"/>
          </w:tcPr>
          <w:p w:rsidR="003B2FCD" w:rsidRDefault="003B2FCD">
            <w:pPr>
              <w:widowControl w:val="0"/>
              <w:pBdr>
                <w:top w:val="nil"/>
                <w:left w:val="nil"/>
                <w:bottom w:val="nil"/>
                <w:right w:val="nil"/>
                <w:between w:val="nil"/>
              </w:pBdr>
              <w:spacing w:line="276" w:lineRule="auto"/>
              <w:rPr>
                <w:rFonts w:ascii="Arial" w:eastAsia="Arial" w:hAnsi="Arial" w:cs="Arial"/>
              </w:rPr>
            </w:pPr>
          </w:p>
        </w:tc>
        <w:tc>
          <w:tcPr>
            <w:tcW w:w="3105" w:type="dxa"/>
            <w:shd w:val="clear" w:color="auto" w:fill="auto"/>
            <w:tcMar>
              <w:top w:w="100" w:type="dxa"/>
              <w:left w:w="100" w:type="dxa"/>
              <w:bottom w:w="100" w:type="dxa"/>
              <w:right w:w="100" w:type="dxa"/>
            </w:tcMar>
            <w:vAlign w:val="center"/>
          </w:tcPr>
          <w:p w:rsidR="003B2FCD" w:rsidRDefault="00B56796">
            <w:pPr>
              <w:widowControl w:val="0"/>
              <w:rPr>
                <w:rFonts w:ascii="Arial" w:eastAsia="Arial" w:hAnsi="Arial" w:cs="Arial"/>
              </w:rPr>
            </w:pPr>
            <w:r>
              <w:rPr>
                <w:rFonts w:ascii="Arial" w:eastAsia="Arial" w:hAnsi="Arial" w:cs="Arial"/>
              </w:rPr>
              <w:t>Saúde – 35%</w:t>
            </w:r>
          </w:p>
        </w:tc>
      </w:tr>
      <w:tr w:rsidR="003B2FCD">
        <w:trPr>
          <w:trHeight w:val="280"/>
          <w:jc w:val="center"/>
        </w:trPr>
        <w:tc>
          <w:tcPr>
            <w:tcW w:w="2070" w:type="dxa"/>
            <w:vMerge/>
            <w:shd w:val="clear" w:color="auto" w:fill="auto"/>
            <w:tcMar>
              <w:top w:w="100" w:type="dxa"/>
              <w:left w:w="100" w:type="dxa"/>
              <w:bottom w:w="100" w:type="dxa"/>
              <w:right w:w="100" w:type="dxa"/>
            </w:tcMar>
            <w:vAlign w:val="center"/>
          </w:tcPr>
          <w:p w:rsidR="003B2FCD" w:rsidRDefault="003B2FCD">
            <w:pPr>
              <w:widowControl w:val="0"/>
              <w:pBdr>
                <w:top w:val="nil"/>
                <w:left w:val="nil"/>
                <w:bottom w:val="nil"/>
                <w:right w:val="nil"/>
                <w:between w:val="nil"/>
              </w:pBdr>
              <w:spacing w:line="276" w:lineRule="auto"/>
              <w:rPr>
                <w:rFonts w:ascii="Arial" w:eastAsia="Arial" w:hAnsi="Arial" w:cs="Arial"/>
              </w:rPr>
            </w:pPr>
          </w:p>
        </w:tc>
        <w:tc>
          <w:tcPr>
            <w:tcW w:w="3105" w:type="dxa"/>
            <w:shd w:val="clear" w:color="auto" w:fill="auto"/>
            <w:tcMar>
              <w:top w:w="100" w:type="dxa"/>
              <w:left w:w="100" w:type="dxa"/>
              <w:bottom w:w="100" w:type="dxa"/>
              <w:right w:w="100" w:type="dxa"/>
            </w:tcMar>
            <w:vAlign w:val="center"/>
          </w:tcPr>
          <w:p w:rsidR="003B2FCD" w:rsidRDefault="00B56796">
            <w:pPr>
              <w:widowControl w:val="0"/>
              <w:rPr>
                <w:rFonts w:ascii="Arial" w:eastAsia="Arial" w:hAnsi="Arial" w:cs="Arial"/>
              </w:rPr>
            </w:pPr>
            <w:r>
              <w:rPr>
                <w:rFonts w:ascii="Arial" w:eastAsia="Arial" w:hAnsi="Arial" w:cs="Arial"/>
              </w:rPr>
              <w:t>Cultura – 10%</w:t>
            </w:r>
          </w:p>
        </w:tc>
      </w:tr>
      <w:tr w:rsidR="003B2FCD">
        <w:trPr>
          <w:trHeight w:val="280"/>
          <w:jc w:val="center"/>
        </w:trPr>
        <w:tc>
          <w:tcPr>
            <w:tcW w:w="2070" w:type="dxa"/>
            <w:vMerge/>
            <w:shd w:val="clear" w:color="auto" w:fill="auto"/>
            <w:tcMar>
              <w:top w:w="100" w:type="dxa"/>
              <w:left w:w="100" w:type="dxa"/>
              <w:bottom w:w="100" w:type="dxa"/>
              <w:right w:w="100" w:type="dxa"/>
            </w:tcMar>
            <w:vAlign w:val="center"/>
          </w:tcPr>
          <w:p w:rsidR="003B2FCD" w:rsidRDefault="003B2FCD">
            <w:pPr>
              <w:widowControl w:val="0"/>
              <w:pBdr>
                <w:top w:val="nil"/>
                <w:left w:val="nil"/>
                <w:bottom w:val="nil"/>
                <w:right w:val="nil"/>
                <w:between w:val="nil"/>
              </w:pBdr>
              <w:spacing w:line="276" w:lineRule="auto"/>
              <w:rPr>
                <w:rFonts w:ascii="Arial" w:eastAsia="Arial" w:hAnsi="Arial" w:cs="Arial"/>
              </w:rPr>
            </w:pPr>
          </w:p>
        </w:tc>
        <w:tc>
          <w:tcPr>
            <w:tcW w:w="3105" w:type="dxa"/>
            <w:shd w:val="clear" w:color="auto" w:fill="auto"/>
            <w:tcMar>
              <w:top w:w="100" w:type="dxa"/>
              <w:left w:w="100" w:type="dxa"/>
              <w:bottom w:w="100" w:type="dxa"/>
              <w:right w:w="100" w:type="dxa"/>
            </w:tcMar>
            <w:vAlign w:val="center"/>
          </w:tcPr>
          <w:p w:rsidR="003B2FCD" w:rsidRDefault="00B56796">
            <w:pPr>
              <w:widowControl w:val="0"/>
              <w:rPr>
                <w:rFonts w:ascii="Arial" w:eastAsia="Arial" w:hAnsi="Arial" w:cs="Arial"/>
              </w:rPr>
            </w:pPr>
            <w:r>
              <w:rPr>
                <w:rFonts w:ascii="Arial" w:eastAsia="Arial" w:hAnsi="Arial" w:cs="Arial"/>
              </w:rPr>
              <w:t>Habitação – 10%</w:t>
            </w:r>
          </w:p>
        </w:tc>
      </w:tr>
      <w:tr w:rsidR="003B2FCD">
        <w:trPr>
          <w:trHeight w:val="280"/>
          <w:jc w:val="center"/>
        </w:trPr>
        <w:tc>
          <w:tcPr>
            <w:tcW w:w="2070" w:type="dxa"/>
            <w:shd w:val="clear" w:color="auto" w:fill="auto"/>
            <w:tcMar>
              <w:top w:w="100" w:type="dxa"/>
              <w:left w:w="100" w:type="dxa"/>
              <w:bottom w:w="100" w:type="dxa"/>
              <w:right w:w="100" w:type="dxa"/>
            </w:tcMar>
            <w:vAlign w:val="center"/>
          </w:tcPr>
          <w:p w:rsidR="003B2FCD" w:rsidRDefault="00B56796">
            <w:pPr>
              <w:widowControl w:val="0"/>
              <w:rPr>
                <w:rFonts w:ascii="Arial" w:eastAsia="Arial" w:hAnsi="Arial" w:cs="Arial"/>
              </w:rPr>
            </w:pPr>
            <w:r>
              <w:rPr>
                <w:rFonts w:ascii="Arial" w:eastAsia="Arial" w:hAnsi="Arial" w:cs="Arial"/>
              </w:rPr>
              <w:t>Econômica  25%</w:t>
            </w:r>
          </w:p>
        </w:tc>
        <w:tc>
          <w:tcPr>
            <w:tcW w:w="3105" w:type="dxa"/>
            <w:shd w:val="clear" w:color="auto" w:fill="auto"/>
            <w:tcMar>
              <w:top w:w="100" w:type="dxa"/>
              <w:left w:w="100" w:type="dxa"/>
              <w:bottom w:w="100" w:type="dxa"/>
              <w:right w:w="100" w:type="dxa"/>
            </w:tcMar>
            <w:vAlign w:val="center"/>
          </w:tcPr>
          <w:p w:rsidR="003B2FCD" w:rsidRDefault="00B56796">
            <w:pPr>
              <w:widowControl w:val="0"/>
              <w:rPr>
                <w:rFonts w:ascii="Arial" w:eastAsia="Arial" w:hAnsi="Arial" w:cs="Arial"/>
              </w:rPr>
            </w:pPr>
            <w:r>
              <w:rPr>
                <w:rFonts w:ascii="Arial" w:eastAsia="Arial" w:hAnsi="Arial" w:cs="Arial"/>
              </w:rPr>
              <w:t>Economia – 100%</w:t>
            </w:r>
          </w:p>
        </w:tc>
      </w:tr>
      <w:tr w:rsidR="003B2FCD">
        <w:trPr>
          <w:trHeight w:val="280"/>
          <w:jc w:val="center"/>
        </w:trPr>
        <w:tc>
          <w:tcPr>
            <w:tcW w:w="2070" w:type="dxa"/>
            <w:shd w:val="clear" w:color="auto" w:fill="auto"/>
            <w:tcMar>
              <w:top w:w="100" w:type="dxa"/>
              <w:left w:w="100" w:type="dxa"/>
              <w:bottom w:w="100" w:type="dxa"/>
              <w:right w:w="100" w:type="dxa"/>
            </w:tcMar>
            <w:vAlign w:val="center"/>
          </w:tcPr>
          <w:p w:rsidR="003B2FCD" w:rsidRDefault="00B56796">
            <w:pPr>
              <w:widowControl w:val="0"/>
              <w:rPr>
                <w:rFonts w:ascii="Arial" w:eastAsia="Arial" w:hAnsi="Arial" w:cs="Arial"/>
              </w:rPr>
            </w:pPr>
            <w:r>
              <w:rPr>
                <w:rFonts w:ascii="Arial" w:eastAsia="Arial" w:hAnsi="Arial" w:cs="Arial"/>
              </w:rPr>
              <w:t>Ambiental –25%</w:t>
            </w:r>
          </w:p>
        </w:tc>
        <w:tc>
          <w:tcPr>
            <w:tcW w:w="3105" w:type="dxa"/>
            <w:shd w:val="clear" w:color="auto" w:fill="auto"/>
            <w:tcMar>
              <w:top w:w="100" w:type="dxa"/>
              <w:left w:w="100" w:type="dxa"/>
              <w:bottom w:w="100" w:type="dxa"/>
              <w:right w:w="100" w:type="dxa"/>
            </w:tcMar>
            <w:vAlign w:val="center"/>
          </w:tcPr>
          <w:p w:rsidR="003B2FCD" w:rsidRDefault="00B56796">
            <w:pPr>
              <w:widowControl w:val="0"/>
              <w:rPr>
                <w:rFonts w:ascii="Arial" w:eastAsia="Arial" w:hAnsi="Arial" w:cs="Arial"/>
              </w:rPr>
            </w:pPr>
            <w:r>
              <w:rPr>
                <w:rFonts w:ascii="Arial" w:eastAsia="Arial" w:hAnsi="Arial" w:cs="Arial"/>
              </w:rPr>
              <w:t>Meio ambiente – 100%</w:t>
            </w:r>
          </w:p>
        </w:tc>
      </w:tr>
      <w:tr w:rsidR="003B2FCD">
        <w:trPr>
          <w:trHeight w:val="280"/>
          <w:jc w:val="center"/>
        </w:trPr>
        <w:tc>
          <w:tcPr>
            <w:tcW w:w="2070" w:type="dxa"/>
            <w:vMerge w:val="restart"/>
            <w:shd w:val="clear" w:color="auto" w:fill="auto"/>
            <w:tcMar>
              <w:top w:w="100" w:type="dxa"/>
              <w:left w:w="100" w:type="dxa"/>
              <w:bottom w:w="100" w:type="dxa"/>
              <w:right w:w="100" w:type="dxa"/>
            </w:tcMar>
            <w:vAlign w:val="center"/>
          </w:tcPr>
          <w:p w:rsidR="003B2FCD" w:rsidRDefault="00B56796">
            <w:pPr>
              <w:widowControl w:val="0"/>
              <w:rPr>
                <w:rFonts w:ascii="Arial" w:eastAsia="Arial" w:hAnsi="Arial" w:cs="Arial"/>
              </w:rPr>
            </w:pPr>
            <w:r>
              <w:rPr>
                <w:rFonts w:ascii="Arial" w:eastAsia="Arial" w:hAnsi="Arial" w:cs="Arial"/>
              </w:rPr>
              <w:t>Político-institucional – 25%</w:t>
            </w:r>
          </w:p>
        </w:tc>
        <w:tc>
          <w:tcPr>
            <w:tcW w:w="3105" w:type="dxa"/>
            <w:shd w:val="clear" w:color="auto" w:fill="auto"/>
            <w:tcMar>
              <w:top w:w="100" w:type="dxa"/>
              <w:left w:w="100" w:type="dxa"/>
              <w:bottom w:w="100" w:type="dxa"/>
              <w:right w:w="100" w:type="dxa"/>
            </w:tcMar>
            <w:vAlign w:val="center"/>
          </w:tcPr>
          <w:p w:rsidR="003B2FCD" w:rsidRDefault="00B56796">
            <w:pPr>
              <w:widowControl w:val="0"/>
              <w:rPr>
                <w:rFonts w:ascii="Arial" w:eastAsia="Arial" w:hAnsi="Arial" w:cs="Arial"/>
              </w:rPr>
            </w:pPr>
            <w:r>
              <w:rPr>
                <w:rFonts w:ascii="Arial" w:eastAsia="Arial" w:hAnsi="Arial" w:cs="Arial"/>
              </w:rPr>
              <w:t>Finanças públicas – 40%</w:t>
            </w:r>
          </w:p>
        </w:tc>
      </w:tr>
      <w:tr w:rsidR="003B2FCD">
        <w:trPr>
          <w:trHeight w:val="280"/>
          <w:jc w:val="center"/>
        </w:trPr>
        <w:tc>
          <w:tcPr>
            <w:tcW w:w="2070" w:type="dxa"/>
            <w:vMerge/>
            <w:shd w:val="clear" w:color="auto" w:fill="auto"/>
            <w:tcMar>
              <w:top w:w="100" w:type="dxa"/>
              <w:left w:w="100" w:type="dxa"/>
              <w:bottom w:w="100" w:type="dxa"/>
              <w:right w:w="100" w:type="dxa"/>
            </w:tcMar>
            <w:vAlign w:val="center"/>
          </w:tcPr>
          <w:p w:rsidR="003B2FCD" w:rsidRDefault="003B2FCD">
            <w:pPr>
              <w:widowControl w:val="0"/>
              <w:pBdr>
                <w:top w:val="nil"/>
                <w:left w:val="nil"/>
                <w:bottom w:val="nil"/>
                <w:right w:val="nil"/>
                <w:between w:val="nil"/>
              </w:pBdr>
              <w:spacing w:line="276" w:lineRule="auto"/>
              <w:rPr>
                <w:rFonts w:ascii="Arial" w:eastAsia="Arial" w:hAnsi="Arial" w:cs="Arial"/>
              </w:rPr>
            </w:pPr>
          </w:p>
        </w:tc>
        <w:tc>
          <w:tcPr>
            <w:tcW w:w="3105" w:type="dxa"/>
            <w:shd w:val="clear" w:color="auto" w:fill="auto"/>
            <w:tcMar>
              <w:top w:w="100" w:type="dxa"/>
              <w:left w:w="100" w:type="dxa"/>
              <w:bottom w:w="100" w:type="dxa"/>
              <w:right w:w="100" w:type="dxa"/>
            </w:tcMar>
            <w:vAlign w:val="center"/>
          </w:tcPr>
          <w:p w:rsidR="003B2FCD" w:rsidRDefault="00B56796">
            <w:pPr>
              <w:widowControl w:val="0"/>
              <w:rPr>
                <w:rFonts w:ascii="Arial" w:eastAsia="Arial" w:hAnsi="Arial" w:cs="Arial"/>
              </w:rPr>
            </w:pPr>
            <w:r>
              <w:rPr>
                <w:rFonts w:ascii="Arial" w:eastAsia="Arial" w:hAnsi="Arial" w:cs="Arial"/>
              </w:rPr>
              <w:t xml:space="preserve">Gestão pública – 30% </w:t>
            </w:r>
          </w:p>
        </w:tc>
      </w:tr>
      <w:tr w:rsidR="003B2FCD">
        <w:trPr>
          <w:trHeight w:val="280"/>
          <w:jc w:val="center"/>
        </w:trPr>
        <w:tc>
          <w:tcPr>
            <w:tcW w:w="2070" w:type="dxa"/>
            <w:vMerge/>
            <w:shd w:val="clear" w:color="auto" w:fill="auto"/>
            <w:tcMar>
              <w:top w:w="100" w:type="dxa"/>
              <w:left w:w="100" w:type="dxa"/>
              <w:bottom w:w="100" w:type="dxa"/>
              <w:right w:w="100" w:type="dxa"/>
            </w:tcMar>
            <w:vAlign w:val="center"/>
          </w:tcPr>
          <w:p w:rsidR="003B2FCD" w:rsidRDefault="003B2FCD">
            <w:pPr>
              <w:widowControl w:val="0"/>
              <w:pBdr>
                <w:top w:val="nil"/>
                <w:left w:val="nil"/>
                <w:bottom w:val="nil"/>
                <w:right w:val="nil"/>
                <w:between w:val="nil"/>
              </w:pBdr>
              <w:spacing w:line="276" w:lineRule="auto"/>
              <w:rPr>
                <w:rFonts w:ascii="Arial" w:eastAsia="Arial" w:hAnsi="Arial" w:cs="Arial"/>
              </w:rPr>
            </w:pPr>
          </w:p>
        </w:tc>
        <w:tc>
          <w:tcPr>
            <w:tcW w:w="3105" w:type="dxa"/>
            <w:shd w:val="clear" w:color="auto" w:fill="auto"/>
            <w:tcMar>
              <w:top w:w="100" w:type="dxa"/>
              <w:left w:w="100" w:type="dxa"/>
              <w:bottom w:w="100" w:type="dxa"/>
              <w:right w:w="100" w:type="dxa"/>
            </w:tcMar>
            <w:vAlign w:val="center"/>
          </w:tcPr>
          <w:p w:rsidR="003B2FCD" w:rsidRDefault="00B56796">
            <w:pPr>
              <w:widowControl w:val="0"/>
              <w:rPr>
                <w:rFonts w:ascii="Arial" w:eastAsia="Arial" w:hAnsi="Arial" w:cs="Arial"/>
              </w:rPr>
            </w:pPr>
            <w:r>
              <w:rPr>
                <w:rFonts w:ascii="Arial" w:eastAsia="Arial" w:hAnsi="Arial" w:cs="Arial"/>
              </w:rPr>
              <w:t>Participação social – 30%</w:t>
            </w:r>
          </w:p>
        </w:tc>
      </w:tr>
    </w:tbl>
    <w:p w:rsidR="003B2FCD" w:rsidRDefault="002921F5">
      <w:pPr>
        <w:rPr>
          <w:rFonts w:ascii="Arial" w:eastAsia="Arial" w:hAnsi="Arial" w:cs="Arial"/>
        </w:rPr>
      </w:pPr>
      <w:r>
        <w:rPr>
          <w:rFonts w:ascii="Arial" w:eastAsia="Arial" w:hAnsi="Arial" w:cs="Arial"/>
        </w:rPr>
        <w:t xml:space="preserve">                                  </w:t>
      </w:r>
      <w:r w:rsidR="00B56796">
        <w:rPr>
          <w:rFonts w:ascii="Arial" w:eastAsia="Arial" w:hAnsi="Arial" w:cs="Arial"/>
        </w:rPr>
        <w:t>Fonte: Sidems/Fecam (2014).</w:t>
      </w:r>
    </w:p>
    <w:p w:rsidR="003B2FCD" w:rsidRDefault="003B2FCD">
      <w:pPr>
        <w:spacing w:line="360" w:lineRule="auto"/>
        <w:rPr>
          <w:rFonts w:ascii="Arial" w:eastAsia="Arial" w:hAnsi="Arial" w:cs="Arial"/>
        </w:rPr>
      </w:pP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 xml:space="preserve">De acordo com a Fecam (2017), para que aconteça o desenvolvimento sustentável é necessário que haja um equilíbrio entre todas as dimensões avaliadas. Cada dimensão equivale a 25% do peso do índice geral. Na ‘sociocultural’, a distribuição fica em: educação 45%, saúde 35% e cultura e habitação com 10% cada. Na ‘econômica’ é avaliado somente a economia e a renda; na ‘ambiental’, somente o meio ambiente. Por fim, a esfera ‘político-institucional’ subdivide-se em participação social 30%, gestão pública 30% e finanças públicas 40%. </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 xml:space="preserve">A dimensão sociocultural está subdividida em educação, saúde, cultura e habitação. Na educacional são avaliados: acesso e permanência escolar, desempenho escolar, infraestrutura escolar e qualidade do ensino. Esse aspecto, segundo a Fecam (2016, p. 1) visa </w:t>
      </w:r>
      <w:r w:rsidR="002921F5">
        <w:rPr>
          <w:rFonts w:ascii="Arial" w:eastAsia="Arial" w:hAnsi="Arial" w:cs="Arial"/>
          <w:sz w:val="24"/>
          <w:szCs w:val="24"/>
        </w:rPr>
        <w:t xml:space="preserve">a </w:t>
      </w:r>
      <w:r>
        <w:rPr>
          <w:rFonts w:ascii="Arial" w:eastAsia="Arial" w:hAnsi="Arial" w:cs="Arial"/>
          <w:sz w:val="24"/>
          <w:szCs w:val="24"/>
        </w:rPr>
        <w:t xml:space="preserve">“identificar o nível de acesso à educação de qualidade e o impacto deste processo no desenvolvimento sustentável dos municípios”. As políticas públicas devem ser voltadas para uma educação de qualidade, incentivando a geração de programas que induzam a geração de práticas sociais. </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 xml:space="preserve">Os dados da saúde são compostos por: cobertura da atenção básica, fatores de risco e proteção, morbidade e mortalidade. Para a Fecam (2016, p. 22), este aspecto deve auxiliar a tomada de decisões em relação a investimentos e “deve ser uma prioridade nas políticas públicas, ser um indutor de práticas sociais e gerador de programas de ações por meio de vínculo de valores e metas”. Na cultura são avaliados: estrutura de gestão para promoção da cultura, infraestrutura cultural, iniciativas culturais da sociedade e recursos na cultura. De acordo com a Fecam (2017), a cultura proporciona qualidade de vida à população, sendo um fator fundamental para o desenvolvimento local. </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A habitação é composta por dois subíndices: estrutura de gestão para políticas habitacionais e qualidade habitacional. A Fecam (2016, p. 69) cita que “as políticas habitacionais têm como objetivo a modificação do espaço urbano com a finalidade da universalização do acesso à moradia de qualidade”.</w:t>
      </w:r>
    </w:p>
    <w:p w:rsidR="002921F5"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A dimensão econômica é composta por agregação do valor econômico, dinamismo econômico e nível de renda. Objetiva a garantia da geração de riqueza e equidade social pelos esforços da sociedade local para criar condições e mecanismos com vista à inserção do município e de seus moradores no mundo global (F</w:t>
      </w:r>
      <w:r w:rsidR="002921F5">
        <w:rPr>
          <w:rFonts w:ascii="Arial" w:eastAsia="Arial" w:hAnsi="Arial" w:cs="Arial"/>
          <w:sz w:val="24"/>
          <w:szCs w:val="24"/>
        </w:rPr>
        <w:t xml:space="preserve">ECAM, 2017). </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Na dimensão ambiental são avaliados</w:t>
      </w:r>
      <w:r w:rsidR="002921F5">
        <w:rPr>
          <w:rFonts w:ascii="Arial" w:eastAsia="Arial" w:hAnsi="Arial" w:cs="Arial"/>
          <w:sz w:val="24"/>
          <w:szCs w:val="24"/>
        </w:rPr>
        <w:t xml:space="preserve"> os itens</w:t>
      </w:r>
      <w:r>
        <w:rPr>
          <w:rFonts w:ascii="Arial" w:eastAsia="Arial" w:hAnsi="Arial" w:cs="Arial"/>
          <w:sz w:val="24"/>
          <w:szCs w:val="24"/>
        </w:rPr>
        <w:t>: cobertura do saneamento básico e gestão e preservação amb</w:t>
      </w:r>
      <w:r w:rsidR="002921F5">
        <w:rPr>
          <w:rFonts w:ascii="Arial" w:eastAsia="Arial" w:hAnsi="Arial" w:cs="Arial"/>
          <w:sz w:val="24"/>
          <w:szCs w:val="24"/>
        </w:rPr>
        <w:t>iental. A Fecam (2016, p. 95)</w:t>
      </w:r>
      <w:r>
        <w:rPr>
          <w:rFonts w:ascii="Arial" w:eastAsia="Arial" w:hAnsi="Arial" w:cs="Arial"/>
          <w:sz w:val="24"/>
          <w:szCs w:val="24"/>
        </w:rPr>
        <w:t xml:space="preserve"> avalia que o “desenvolvimento deve ser capaz de promover o bem-estar social e econômico, potencializando precisamente os valores e recursos naturais endógenos e sustentando, nesses, a qualidade de vida e progresso da população”.</w:t>
      </w:r>
    </w:p>
    <w:p w:rsidR="003B2FCD" w:rsidRDefault="00981625">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A</w:t>
      </w:r>
      <w:r w:rsidR="00B56796">
        <w:rPr>
          <w:rFonts w:ascii="Arial" w:eastAsia="Arial" w:hAnsi="Arial" w:cs="Arial"/>
          <w:sz w:val="24"/>
          <w:szCs w:val="24"/>
        </w:rPr>
        <w:t xml:space="preserve"> dimensão político-institucional</w:t>
      </w:r>
      <w:r>
        <w:rPr>
          <w:rFonts w:ascii="Arial" w:eastAsia="Arial" w:hAnsi="Arial" w:cs="Arial"/>
          <w:sz w:val="24"/>
          <w:szCs w:val="24"/>
        </w:rPr>
        <w:t xml:space="preserve"> é</w:t>
      </w:r>
      <w:r w:rsidR="00B56796">
        <w:rPr>
          <w:rFonts w:ascii="Arial" w:eastAsia="Arial" w:hAnsi="Arial" w:cs="Arial"/>
          <w:sz w:val="24"/>
          <w:szCs w:val="24"/>
        </w:rPr>
        <w:t xml:space="preserve"> constituída por três subdimensões: finanças públicas (estímulo aos investimentos, capacidade de receita e saúde financeira), gestão pública (articulação com o exterior, capacidade de planejamento, gestão financeira, governo eletrônico e qualidade do quadro funcional) e participação social (participação eleitoral e representatividade dos gêneros). A dimensão aborda “diretrizes e instrumentos capazes de determinar a ação ativa da gestão pública municipal para o desenvolvimento local” (FECAM, 2016, p. 106).</w:t>
      </w:r>
    </w:p>
    <w:p w:rsidR="007D210C"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O Quadro 2 elenca estudos relacionados a índices utilizados para medir o grau de</w:t>
      </w:r>
      <w:r w:rsidR="00981625">
        <w:rPr>
          <w:rFonts w:ascii="Arial" w:eastAsia="Arial" w:hAnsi="Arial" w:cs="Arial"/>
          <w:sz w:val="24"/>
          <w:szCs w:val="24"/>
        </w:rPr>
        <w:t xml:space="preserve"> desenvolvimento sustentável de</w:t>
      </w:r>
      <w:r>
        <w:rPr>
          <w:rFonts w:ascii="Arial" w:eastAsia="Arial" w:hAnsi="Arial" w:cs="Arial"/>
          <w:sz w:val="24"/>
          <w:szCs w:val="24"/>
        </w:rPr>
        <w:t xml:space="preserve"> municípios. </w:t>
      </w:r>
    </w:p>
    <w:p w:rsidR="007D210C" w:rsidRDefault="007D210C">
      <w:pPr>
        <w:rPr>
          <w:rFonts w:ascii="Arial" w:eastAsia="Arial" w:hAnsi="Arial" w:cs="Arial"/>
          <w:sz w:val="24"/>
          <w:szCs w:val="24"/>
        </w:rPr>
      </w:pPr>
      <w:r>
        <w:rPr>
          <w:rFonts w:ascii="Arial" w:eastAsia="Arial" w:hAnsi="Arial" w:cs="Arial"/>
          <w:sz w:val="24"/>
          <w:szCs w:val="24"/>
        </w:rPr>
        <w:br w:type="page"/>
      </w:r>
    </w:p>
    <w:p w:rsidR="003B2FCD" w:rsidRDefault="00B56796">
      <w:pPr>
        <w:pBdr>
          <w:top w:val="nil"/>
          <w:left w:val="nil"/>
          <w:bottom w:val="nil"/>
          <w:right w:val="nil"/>
          <w:between w:val="nil"/>
        </w:pBdr>
        <w:jc w:val="center"/>
        <w:rPr>
          <w:rFonts w:ascii="Arial" w:eastAsia="Arial" w:hAnsi="Arial" w:cs="Arial"/>
        </w:rPr>
      </w:pPr>
      <w:r>
        <w:rPr>
          <w:rFonts w:ascii="Arial" w:eastAsia="Arial" w:hAnsi="Arial" w:cs="Arial"/>
        </w:rPr>
        <w:t>Quadro 2 - Estudos correlatos sobre o Índice de Desenvolvimento Municipal Sustentável</w:t>
      </w:r>
    </w:p>
    <w:tbl>
      <w:tblPr>
        <w:tblStyle w:val="a0"/>
        <w:tblW w:w="899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1597"/>
        <w:gridCol w:w="2835"/>
        <w:gridCol w:w="3544"/>
      </w:tblGrid>
      <w:tr w:rsidR="003B2FCD">
        <w:trPr>
          <w:jc w:val="center"/>
        </w:trPr>
        <w:tc>
          <w:tcPr>
            <w:tcW w:w="1020"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jc w:val="center"/>
              <w:rPr>
                <w:rFonts w:ascii="Arial" w:eastAsia="Arial" w:hAnsi="Arial" w:cs="Arial"/>
                <w:b/>
              </w:rPr>
            </w:pPr>
            <w:r>
              <w:rPr>
                <w:rFonts w:ascii="Arial" w:eastAsia="Arial" w:hAnsi="Arial" w:cs="Arial"/>
                <w:b/>
              </w:rPr>
              <w:t>Autores</w:t>
            </w:r>
          </w:p>
        </w:tc>
        <w:tc>
          <w:tcPr>
            <w:tcW w:w="1597"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jc w:val="center"/>
              <w:rPr>
                <w:rFonts w:ascii="Arial" w:eastAsia="Arial" w:hAnsi="Arial" w:cs="Arial"/>
                <w:b/>
              </w:rPr>
            </w:pPr>
            <w:r>
              <w:rPr>
                <w:rFonts w:ascii="Arial" w:eastAsia="Arial" w:hAnsi="Arial" w:cs="Arial"/>
                <w:b/>
              </w:rPr>
              <w:t>Abrangência</w:t>
            </w:r>
          </w:p>
        </w:tc>
        <w:tc>
          <w:tcPr>
            <w:tcW w:w="2835"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jc w:val="center"/>
              <w:rPr>
                <w:rFonts w:ascii="Arial" w:eastAsia="Arial" w:hAnsi="Arial" w:cs="Arial"/>
                <w:b/>
              </w:rPr>
            </w:pPr>
            <w:r>
              <w:rPr>
                <w:rFonts w:ascii="Arial" w:eastAsia="Arial" w:hAnsi="Arial" w:cs="Arial"/>
                <w:b/>
              </w:rPr>
              <w:t>Objetivo do estudo</w:t>
            </w:r>
          </w:p>
        </w:tc>
        <w:tc>
          <w:tcPr>
            <w:tcW w:w="3544"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jc w:val="center"/>
              <w:rPr>
                <w:rFonts w:ascii="Arial" w:eastAsia="Arial" w:hAnsi="Arial" w:cs="Arial"/>
                <w:b/>
              </w:rPr>
            </w:pPr>
            <w:r>
              <w:rPr>
                <w:rFonts w:ascii="Arial" w:eastAsia="Arial" w:hAnsi="Arial" w:cs="Arial"/>
                <w:b/>
              </w:rPr>
              <w:t>Principais resultados</w:t>
            </w:r>
          </w:p>
        </w:tc>
      </w:tr>
      <w:tr w:rsidR="003B2FCD">
        <w:trPr>
          <w:trHeight w:val="700"/>
          <w:jc w:val="center"/>
        </w:trPr>
        <w:tc>
          <w:tcPr>
            <w:tcW w:w="1020"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rPr>
                <w:rFonts w:ascii="Arial" w:eastAsia="Arial" w:hAnsi="Arial" w:cs="Arial"/>
              </w:rPr>
            </w:pPr>
            <w:r>
              <w:rPr>
                <w:rFonts w:ascii="Arial" w:eastAsia="Arial" w:hAnsi="Arial" w:cs="Arial"/>
              </w:rPr>
              <w:t>Braga et al. (2004)</w:t>
            </w:r>
          </w:p>
        </w:tc>
        <w:tc>
          <w:tcPr>
            <w:tcW w:w="1597"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rPr>
                <w:rFonts w:ascii="Arial" w:eastAsia="Arial" w:hAnsi="Arial" w:cs="Arial"/>
              </w:rPr>
            </w:pPr>
            <w:r>
              <w:rPr>
                <w:rFonts w:ascii="Arial" w:eastAsia="Arial" w:hAnsi="Arial" w:cs="Arial"/>
              </w:rPr>
              <w:t>Minas Gerais (municípios da bacia do rio Piracicaba)</w:t>
            </w:r>
          </w:p>
        </w:tc>
        <w:tc>
          <w:tcPr>
            <w:tcW w:w="2835"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jc w:val="both"/>
              <w:rPr>
                <w:rFonts w:ascii="Arial" w:eastAsia="Arial" w:hAnsi="Arial" w:cs="Arial"/>
              </w:rPr>
            </w:pPr>
            <w:r>
              <w:rPr>
                <w:rFonts w:ascii="Arial" w:eastAsia="Arial" w:hAnsi="Arial" w:cs="Arial"/>
              </w:rPr>
              <w:t>Apresentar metodologia de construção de índices de sustentabilidade local.</w:t>
            </w:r>
          </w:p>
        </w:tc>
        <w:tc>
          <w:tcPr>
            <w:tcW w:w="3544"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jc w:val="both"/>
              <w:rPr>
                <w:rFonts w:ascii="Arial" w:eastAsia="Arial" w:hAnsi="Arial" w:cs="Arial"/>
              </w:rPr>
            </w:pPr>
            <w:r>
              <w:rPr>
                <w:rFonts w:ascii="Arial" w:eastAsia="Arial" w:hAnsi="Arial" w:cs="Arial"/>
              </w:rPr>
              <w:t>Aborda o desafio de mensurar. Propõe cinco índices temáticos e 14 indicadores. Compara a evolução entre anos e municípios.</w:t>
            </w:r>
          </w:p>
        </w:tc>
      </w:tr>
      <w:tr w:rsidR="003B2FCD">
        <w:trPr>
          <w:trHeight w:val="640"/>
          <w:jc w:val="center"/>
        </w:trPr>
        <w:tc>
          <w:tcPr>
            <w:tcW w:w="1020"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rPr>
                <w:rFonts w:ascii="Arial" w:eastAsia="Arial" w:hAnsi="Arial" w:cs="Arial"/>
              </w:rPr>
            </w:pPr>
            <w:r>
              <w:rPr>
                <w:rFonts w:ascii="Arial" w:eastAsia="Arial" w:hAnsi="Arial" w:cs="Arial"/>
              </w:rPr>
              <w:t>Fonseca (2010)</w:t>
            </w:r>
          </w:p>
        </w:tc>
        <w:tc>
          <w:tcPr>
            <w:tcW w:w="1597"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rPr>
                <w:rFonts w:ascii="Arial" w:eastAsia="Arial" w:hAnsi="Arial" w:cs="Arial"/>
              </w:rPr>
            </w:pPr>
            <w:r>
              <w:rPr>
                <w:rFonts w:ascii="Arial" w:eastAsia="Arial" w:hAnsi="Arial" w:cs="Arial"/>
              </w:rPr>
              <w:t>Alguns municípios do AM, MT e PA</w:t>
            </w:r>
          </w:p>
        </w:tc>
        <w:tc>
          <w:tcPr>
            <w:tcW w:w="2835"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jc w:val="both"/>
              <w:rPr>
                <w:rFonts w:ascii="Arial" w:eastAsia="Arial" w:hAnsi="Arial" w:cs="Arial"/>
              </w:rPr>
            </w:pPr>
            <w:r>
              <w:rPr>
                <w:rFonts w:ascii="Arial" w:eastAsia="Arial" w:hAnsi="Arial" w:cs="Arial"/>
              </w:rPr>
              <w:t>Construir um índice de sustentabilidade dos municípios brasileiros sob os aspectos social, econômico, ambiental e institucional.</w:t>
            </w:r>
          </w:p>
        </w:tc>
        <w:tc>
          <w:tcPr>
            <w:tcW w:w="3544"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jc w:val="both"/>
              <w:rPr>
                <w:rFonts w:ascii="Arial" w:eastAsia="Arial" w:hAnsi="Arial" w:cs="Arial"/>
              </w:rPr>
            </w:pPr>
            <w:r>
              <w:rPr>
                <w:rFonts w:ascii="Arial" w:eastAsia="Arial" w:hAnsi="Arial" w:cs="Arial"/>
              </w:rPr>
              <w:t>Necessidade de aprimoramento de indicadores em nível municipal, em especial no que se refere às dimensões ambiental e institucional.</w:t>
            </w:r>
          </w:p>
          <w:p w:rsidR="003B2FCD" w:rsidRDefault="003B2FCD">
            <w:pPr>
              <w:widowControl w:val="0"/>
              <w:pBdr>
                <w:top w:val="nil"/>
                <w:left w:val="nil"/>
                <w:bottom w:val="nil"/>
                <w:right w:val="nil"/>
                <w:between w:val="nil"/>
              </w:pBdr>
              <w:jc w:val="both"/>
              <w:rPr>
                <w:rFonts w:ascii="Arial" w:eastAsia="Arial" w:hAnsi="Arial" w:cs="Arial"/>
              </w:rPr>
            </w:pPr>
          </w:p>
        </w:tc>
      </w:tr>
      <w:tr w:rsidR="003B2FCD">
        <w:trPr>
          <w:jc w:val="center"/>
        </w:trPr>
        <w:tc>
          <w:tcPr>
            <w:tcW w:w="1020"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rPr>
                <w:rFonts w:ascii="Arial" w:eastAsia="Arial" w:hAnsi="Arial" w:cs="Arial"/>
              </w:rPr>
            </w:pPr>
            <w:r>
              <w:rPr>
                <w:rFonts w:ascii="Arial" w:eastAsia="Arial" w:hAnsi="Arial" w:cs="Arial"/>
              </w:rPr>
              <w:t>Réus (2012)</w:t>
            </w:r>
          </w:p>
        </w:tc>
        <w:tc>
          <w:tcPr>
            <w:tcW w:w="1597"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rPr>
                <w:rFonts w:ascii="Arial" w:eastAsia="Arial" w:hAnsi="Arial" w:cs="Arial"/>
              </w:rPr>
            </w:pPr>
            <w:r>
              <w:rPr>
                <w:rFonts w:ascii="Arial" w:eastAsia="Arial" w:hAnsi="Arial" w:cs="Arial"/>
              </w:rPr>
              <w:t>Santa Catarina</w:t>
            </w:r>
          </w:p>
        </w:tc>
        <w:tc>
          <w:tcPr>
            <w:tcW w:w="2835"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jc w:val="both"/>
              <w:rPr>
                <w:rFonts w:ascii="Arial" w:eastAsia="Arial" w:hAnsi="Arial" w:cs="Arial"/>
              </w:rPr>
            </w:pPr>
            <w:r>
              <w:rPr>
                <w:rFonts w:ascii="Arial" w:eastAsia="Arial" w:hAnsi="Arial" w:cs="Arial"/>
              </w:rPr>
              <w:t>Analisar a situação dos municípios de SC em relação aos seus índices de desenvolvimento sustentável com base no sistema de IDMS.</w:t>
            </w:r>
          </w:p>
        </w:tc>
        <w:tc>
          <w:tcPr>
            <w:tcW w:w="3544"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jc w:val="both"/>
              <w:rPr>
                <w:rFonts w:ascii="Arial" w:eastAsia="Arial" w:hAnsi="Arial" w:cs="Arial"/>
              </w:rPr>
            </w:pPr>
            <w:r>
              <w:rPr>
                <w:rFonts w:ascii="Arial" w:eastAsia="Arial" w:hAnsi="Arial" w:cs="Arial"/>
              </w:rPr>
              <w:t>A autora faz uma leitura abrangente sobre o sistema. Destaca que o estado não possui claramente um planejamento estruturado entre as esferas do poder e do tripé da sustentabilidade.</w:t>
            </w:r>
          </w:p>
        </w:tc>
      </w:tr>
      <w:tr w:rsidR="003B2FCD">
        <w:trPr>
          <w:trHeight w:val="800"/>
          <w:jc w:val="center"/>
        </w:trPr>
        <w:tc>
          <w:tcPr>
            <w:tcW w:w="1020"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rPr>
                <w:rFonts w:ascii="Arial" w:eastAsia="Arial" w:hAnsi="Arial" w:cs="Arial"/>
              </w:rPr>
            </w:pPr>
            <w:r>
              <w:rPr>
                <w:rFonts w:ascii="Arial" w:eastAsia="Arial" w:hAnsi="Arial" w:cs="Arial"/>
              </w:rPr>
              <w:t>Ferreira, Sehnem e Bernardy (2015)</w:t>
            </w:r>
          </w:p>
        </w:tc>
        <w:tc>
          <w:tcPr>
            <w:tcW w:w="1597"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rPr>
                <w:rFonts w:ascii="Arial" w:eastAsia="Arial" w:hAnsi="Arial" w:cs="Arial"/>
              </w:rPr>
            </w:pPr>
            <w:r>
              <w:rPr>
                <w:rFonts w:ascii="Arial" w:eastAsia="Arial" w:hAnsi="Arial" w:cs="Arial"/>
              </w:rPr>
              <w:t>Santa Catarina (municípios de Chapecó, Joaçaba, Porto União e Mafra)</w:t>
            </w:r>
          </w:p>
        </w:tc>
        <w:tc>
          <w:tcPr>
            <w:tcW w:w="2835"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jc w:val="both"/>
              <w:rPr>
                <w:rFonts w:ascii="Arial" w:eastAsia="Arial" w:hAnsi="Arial" w:cs="Arial"/>
              </w:rPr>
            </w:pPr>
            <w:r>
              <w:rPr>
                <w:rFonts w:ascii="Arial" w:eastAsia="Arial" w:hAnsi="Arial" w:cs="Arial"/>
              </w:rPr>
              <w:t>Identificar as similaridades e discrepâncias do desenvolvimento municipal sustentável, propondo caminhos alternativos para melhorar esses índices.</w:t>
            </w:r>
          </w:p>
        </w:tc>
        <w:tc>
          <w:tcPr>
            <w:tcW w:w="3544"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jc w:val="both"/>
              <w:rPr>
                <w:rFonts w:ascii="Arial" w:eastAsia="Arial" w:hAnsi="Arial" w:cs="Arial"/>
              </w:rPr>
            </w:pPr>
            <w:r>
              <w:rPr>
                <w:rFonts w:ascii="Arial" w:eastAsia="Arial" w:hAnsi="Arial" w:cs="Arial"/>
              </w:rPr>
              <w:t>Um dos indicadores que contribui para elevar os índices nestes municípios está no âmbito sociocultural, principalmente acerca da educação.</w:t>
            </w:r>
          </w:p>
        </w:tc>
      </w:tr>
      <w:tr w:rsidR="003B2FCD">
        <w:trPr>
          <w:jc w:val="center"/>
        </w:trPr>
        <w:tc>
          <w:tcPr>
            <w:tcW w:w="1020" w:type="dxa"/>
            <w:shd w:val="clear" w:color="auto" w:fill="auto"/>
            <w:tcMar>
              <w:top w:w="100" w:type="dxa"/>
              <w:left w:w="100" w:type="dxa"/>
              <w:bottom w:w="100" w:type="dxa"/>
              <w:right w:w="100" w:type="dxa"/>
            </w:tcMar>
          </w:tcPr>
          <w:p w:rsidR="003B2FCD" w:rsidRDefault="00B56796">
            <w:pPr>
              <w:widowControl w:val="0"/>
              <w:rPr>
                <w:rFonts w:ascii="Arial" w:eastAsia="Arial" w:hAnsi="Arial" w:cs="Arial"/>
              </w:rPr>
            </w:pPr>
            <w:r>
              <w:rPr>
                <w:rFonts w:ascii="Arial" w:eastAsia="Arial" w:hAnsi="Arial" w:cs="Arial"/>
              </w:rPr>
              <w:t>Neuhaus (2016)</w:t>
            </w:r>
          </w:p>
        </w:tc>
        <w:tc>
          <w:tcPr>
            <w:tcW w:w="1597"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rPr>
                <w:rFonts w:ascii="Arial" w:eastAsia="Arial" w:hAnsi="Arial" w:cs="Arial"/>
              </w:rPr>
            </w:pPr>
            <w:r>
              <w:rPr>
                <w:rFonts w:ascii="Arial" w:eastAsia="Arial" w:hAnsi="Arial" w:cs="Arial"/>
              </w:rPr>
              <w:t>Santa Catarina</w:t>
            </w:r>
          </w:p>
        </w:tc>
        <w:tc>
          <w:tcPr>
            <w:tcW w:w="2835"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jc w:val="both"/>
              <w:rPr>
                <w:rFonts w:ascii="Arial" w:eastAsia="Arial" w:hAnsi="Arial" w:cs="Arial"/>
              </w:rPr>
            </w:pPr>
            <w:r>
              <w:rPr>
                <w:rFonts w:ascii="Arial" w:eastAsia="Arial" w:hAnsi="Arial" w:cs="Arial"/>
              </w:rPr>
              <w:t>Propor um sistema de indicadores de sustentabilidade adequado para o meio rural do estado de SC para implementação no SIDEMS.</w:t>
            </w:r>
          </w:p>
        </w:tc>
        <w:tc>
          <w:tcPr>
            <w:tcW w:w="3544" w:type="dxa"/>
            <w:shd w:val="clear" w:color="auto" w:fill="auto"/>
            <w:tcMar>
              <w:top w:w="100" w:type="dxa"/>
              <w:left w:w="100" w:type="dxa"/>
              <w:bottom w:w="100" w:type="dxa"/>
              <w:right w:w="100" w:type="dxa"/>
            </w:tcMar>
          </w:tcPr>
          <w:p w:rsidR="003B2FCD" w:rsidRDefault="00B56796">
            <w:pPr>
              <w:widowControl w:val="0"/>
              <w:pBdr>
                <w:top w:val="nil"/>
                <w:left w:val="nil"/>
                <w:bottom w:val="nil"/>
                <w:right w:val="nil"/>
                <w:between w:val="nil"/>
              </w:pBdr>
              <w:jc w:val="both"/>
              <w:rPr>
                <w:rFonts w:ascii="Arial" w:eastAsia="Arial" w:hAnsi="Arial" w:cs="Arial"/>
              </w:rPr>
            </w:pPr>
            <w:r>
              <w:rPr>
                <w:rFonts w:ascii="Arial" w:eastAsia="Arial" w:hAnsi="Arial" w:cs="Arial"/>
              </w:rPr>
              <w:t>Foi possível selecionar e validar um conjunto contendo 17 indicadores e 58 variáveis, que foram construídos de acordo com a metodologia da Fecam.</w:t>
            </w:r>
          </w:p>
        </w:tc>
      </w:tr>
    </w:tbl>
    <w:p w:rsidR="003B2FCD" w:rsidRDefault="00B56796">
      <w:pPr>
        <w:rPr>
          <w:rFonts w:ascii="Arial" w:eastAsia="Arial" w:hAnsi="Arial" w:cs="Arial"/>
        </w:rPr>
      </w:pPr>
      <w:r>
        <w:rPr>
          <w:rFonts w:ascii="Arial" w:eastAsia="Arial" w:hAnsi="Arial" w:cs="Arial"/>
        </w:rPr>
        <w:t>Fonte: Elaborado pelos autores.</w:t>
      </w:r>
    </w:p>
    <w:p w:rsidR="003B2FCD" w:rsidRDefault="003B2FCD">
      <w:pPr>
        <w:pBdr>
          <w:top w:val="nil"/>
          <w:left w:val="nil"/>
          <w:bottom w:val="nil"/>
          <w:right w:val="nil"/>
          <w:between w:val="nil"/>
        </w:pBdr>
        <w:spacing w:line="360" w:lineRule="auto"/>
        <w:jc w:val="both"/>
        <w:rPr>
          <w:rFonts w:ascii="Arial" w:eastAsia="Arial" w:hAnsi="Arial" w:cs="Arial"/>
        </w:rPr>
      </w:pP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Braga et al. (2004) aprese</w:t>
      </w:r>
      <w:r w:rsidR="00981625">
        <w:rPr>
          <w:rFonts w:ascii="Arial" w:eastAsia="Arial" w:hAnsi="Arial" w:cs="Arial"/>
          <w:sz w:val="24"/>
          <w:szCs w:val="24"/>
        </w:rPr>
        <w:t xml:space="preserve">ntam uma metodologia que visa </w:t>
      </w:r>
      <w:r>
        <w:rPr>
          <w:rFonts w:ascii="Arial" w:eastAsia="Arial" w:hAnsi="Arial" w:cs="Arial"/>
          <w:sz w:val="24"/>
          <w:szCs w:val="24"/>
        </w:rPr>
        <w:t xml:space="preserve">combinar medidas de qualidade do sistema ambiental microrregional; qualidade de vida no espaço urbano; pressão exercida pelas atividades antrópicas sobre as bases de reprodução no espaço e sobre o sistema ambiental microrregional; e capacidade política e institucional de intervenção local. Concluem que nenhum dos municípios apresenta índices de desenvolvimento sustentáveis satisfatórios, mesmo que ações pontuais tenham sido realizadas. Ao final fazem avaliação dos indicadores propostos quanto à relevância, aderência local e disponibilidade dos dados durante a pesquisa. </w:t>
      </w:r>
    </w:p>
    <w:p w:rsidR="003B2FCD" w:rsidRDefault="00981625">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No</w:t>
      </w:r>
      <w:r w:rsidR="00B56796">
        <w:rPr>
          <w:rFonts w:ascii="Arial" w:eastAsia="Arial" w:hAnsi="Arial" w:cs="Arial"/>
          <w:sz w:val="24"/>
          <w:szCs w:val="24"/>
        </w:rPr>
        <w:t xml:space="preserve"> estudo de Fonseca (2010), </w:t>
      </w:r>
      <w:r>
        <w:rPr>
          <w:rFonts w:ascii="Arial" w:eastAsia="Arial" w:hAnsi="Arial" w:cs="Arial"/>
          <w:sz w:val="24"/>
          <w:szCs w:val="24"/>
        </w:rPr>
        <w:t>foram selecionados</w:t>
      </w:r>
      <w:r w:rsidR="00B56796">
        <w:rPr>
          <w:rFonts w:ascii="Arial" w:eastAsia="Arial" w:hAnsi="Arial" w:cs="Arial"/>
          <w:sz w:val="24"/>
          <w:szCs w:val="24"/>
        </w:rPr>
        <w:t xml:space="preserve"> municípios na área de influência da rodovia BR-163, que liga as cidades de</w:t>
      </w:r>
      <w:r>
        <w:rPr>
          <w:rFonts w:ascii="Arial" w:eastAsia="Arial" w:hAnsi="Arial" w:cs="Arial"/>
          <w:sz w:val="24"/>
          <w:szCs w:val="24"/>
        </w:rPr>
        <w:t xml:space="preserve"> Cuiabá (MT) e Santarém (PA), </w:t>
      </w:r>
      <w:r w:rsidR="00B56796">
        <w:rPr>
          <w:rFonts w:ascii="Arial" w:eastAsia="Arial" w:hAnsi="Arial" w:cs="Arial"/>
          <w:sz w:val="24"/>
          <w:szCs w:val="24"/>
        </w:rPr>
        <w:t>busc</w:t>
      </w:r>
      <w:r>
        <w:rPr>
          <w:rFonts w:ascii="Arial" w:eastAsia="Arial" w:hAnsi="Arial" w:cs="Arial"/>
          <w:sz w:val="24"/>
          <w:szCs w:val="24"/>
        </w:rPr>
        <w:t>ando</w:t>
      </w:r>
      <w:r w:rsidR="00B56796">
        <w:rPr>
          <w:rFonts w:ascii="Arial" w:eastAsia="Arial" w:hAnsi="Arial" w:cs="Arial"/>
          <w:sz w:val="24"/>
          <w:szCs w:val="24"/>
        </w:rPr>
        <w:t xml:space="preserve"> desenvolver um índice de sustentabilidade para os municípios sob os aspectos social, econômico, ambiental e institucional. Outro objetivo foi demonstrar como o índice elaborado pode contribuir para o desenvolvimento sustentável, sinalizando as mudanças necessárias para atingi-lo. A região foi selecionada devido ao impacto da BR-163, a qual serve de corredor para o desenvolvimento da região, principalmente pela expansão agrícola, e dos municípios, em virtude do crescimento demográfico. Os resultados demonstram gargalos na região pesquisada, sinalizam que o </w:t>
      </w:r>
      <w:r w:rsidR="00B56796">
        <w:rPr>
          <w:rFonts w:ascii="Arial" w:eastAsia="Arial" w:hAnsi="Arial" w:cs="Arial"/>
          <w:i/>
          <w:sz w:val="24"/>
          <w:szCs w:val="24"/>
        </w:rPr>
        <w:t>software</w:t>
      </w:r>
      <w:r w:rsidR="00B56796">
        <w:rPr>
          <w:rFonts w:ascii="Arial" w:eastAsia="Arial" w:hAnsi="Arial" w:cs="Arial"/>
          <w:sz w:val="24"/>
          <w:szCs w:val="24"/>
        </w:rPr>
        <w:t xml:space="preserve"> utilizado necessita aprimoramento e que os índices elaborados apontam aos municípios caminhos e ações para a melhoria e garantia da sustentabilidade.</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Réus (2012) faz uma abordagem sobre a história do desenvolvimento sustentável e procura debruçar-se sobre a esfera local. Neste sentido, traz à discussão o SIDMS, comparando-o ao IDH-M. Teve o objetivo de analisar a situação dos municípios de Santa Catarina em relação aos seus índices de desenvolvimento sustentável com base no SIDMS. Justifica a pesquisa pela crise no modelo de desenvolvi</w:t>
      </w:r>
      <w:r w:rsidR="00981625">
        <w:rPr>
          <w:rFonts w:ascii="Arial" w:eastAsia="Arial" w:hAnsi="Arial" w:cs="Arial"/>
          <w:sz w:val="24"/>
          <w:szCs w:val="24"/>
        </w:rPr>
        <w:t xml:space="preserve">mento de SC, decorrente do foco </w:t>
      </w:r>
      <w:r>
        <w:rPr>
          <w:rFonts w:ascii="Arial" w:eastAsia="Arial" w:hAnsi="Arial" w:cs="Arial"/>
          <w:sz w:val="24"/>
          <w:szCs w:val="24"/>
        </w:rPr>
        <w:t xml:space="preserve">do governo em incentivar a indústria, o êxodo rural, a concentração populacional, a ocupação descontrolada e a especulação imobiliária das zonas costeiras, </w:t>
      </w:r>
      <w:r w:rsidR="00981625">
        <w:rPr>
          <w:rFonts w:ascii="Arial" w:eastAsia="Arial" w:hAnsi="Arial" w:cs="Arial"/>
          <w:sz w:val="24"/>
          <w:szCs w:val="24"/>
        </w:rPr>
        <w:t>a</w:t>
      </w:r>
      <w:r>
        <w:rPr>
          <w:rFonts w:ascii="Arial" w:eastAsia="Arial" w:hAnsi="Arial" w:cs="Arial"/>
          <w:sz w:val="24"/>
          <w:szCs w:val="24"/>
        </w:rPr>
        <w:t xml:space="preserve"> priorização das demandas de exportação e a devastação ambiental. A experiência adquirida durante o estudo muniu a autora a chegar a conclusões: </w:t>
      </w:r>
    </w:p>
    <w:p w:rsidR="003B2FCD" w:rsidRDefault="00B56796">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 xml:space="preserve">- os indicadores de sustentabilidade contribuem e são necessários para a gestão dos recursos nos municípios; </w:t>
      </w:r>
    </w:p>
    <w:p w:rsidR="003B2FCD" w:rsidRDefault="00B56796">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 xml:space="preserve">- o IDMS não mede com exatidão o nível de sustentabilidade dos municípios, mas sinaliza alguns pontos de insustentabilidade; </w:t>
      </w:r>
    </w:p>
    <w:p w:rsidR="003B2FCD" w:rsidRDefault="00B56796">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 xml:space="preserve">- a falta de resiliência econômica e problemas ambientais são destaques negativos nos dados levantados pelos indicadores; </w:t>
      </w:r>
    </w:p>
    <w:p w:rsidR="003B2FCD" w:rsidRDefault="00B56796">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 xml:space="preserve">- sugere políticas coercitivas em prol do melhoramento dos índices; </w:t>
      </w:r>
    </w:p>
    <w:p w:rsidR="003B2FCD" w:rsidRDefault="00B56796">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 xml:space="preserve">- a dimensão sociocultural foi a melhor avaliada, porém é custeada em sua maioria pelo governo federal, que detém a maior fatia das receitas; </w:t>
      </w:r>
    </w:p>
    <w:p w:rsidR="003B2FCD" w:rsidRDefault="00B56796">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 xml:space="preserve">- a subdimensão gestão pública apresentou pontuação menor, o que explica a falta de planejamento e demonstra o desafio na profissionalização dos agentes públicos; </w:t>
      </w:r>
    </w:p>
    <w:p w:rsidR="003B2FCD" w:rsidRDefault="00B56796">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sz w:val="24"/>
          <w:szCs w:val="24"/>
        </w:rPr>
        <w:t>- o estado possui regiões desprovidas de incentivo e condições para melhorar seus índices e que precisam construir e definir um planejamento robusto, com políticas e ações integradas e sustentáveis.</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 xml:space="preserve">Ferreira, Sehnem e Bernardy (2015) </w:t>
      </w:r>
      <w:r w:rsidR="000F6C88">
        <w:rPr>
          <w:rFonts w:ascii="Arial" w:eastAsia="Arial" w:hAnsi="Arial" w:cs="Arial"/>
          <w:sz w:val="24"/>
          <w:szCs w:val="24"/>
        </w:rPr>
        <w:t>analisam os</w:t>
      </w:r>
      <w:r>
        <w:rPr>
          <w:rFonts w:ascii="Arial" w:eastAsia="Arial" w:hAnsi="Arial" w:cs="Arial"/>
          <w:sz w:val="24"/>
          <w:szCs w:val="24"/>
        </w:rPr>
        <w:t xml:space="preserve"> indicadores de desenvolvimento sustentável dos municípios de Chapecó, Joaçaba, Porto União e Mafra, no Oes</w:t>
      </w:r>
      <w:r w:rsidR="000A0B66">
        <w:rPr>
          <w:rFonts w:ascii="Arial" w:eastAsia="Arial" w:hAnsi="Arial" w:cs="Arial"/>
          <w:sz w:val="24"/>
          <w:szCs w:val="24"/>
        </w:rPr>
        <w:t>te e meio Oeste catarinense. Ess</w:t>
      </w:r>
      <w:r>
        <w:rPr>
          <w:rFonts w:ascii="Arial" w:eastAsia="Arial" w:hAnsi="Arial" w:cs="Arial"/>
          <w:sz w:val="24"/>
          <w:szCs w:val="24"/>
        </w:rPr>
        <w:t xml:space="preserve">es municípios impulsionaram o crescimento econômico durante o século XX. As ações no âmbito sociocultural, principalmente </w:t>
      </w:r>
      <w:r w:rsidR="000F6C88">
        <w:rPr>
          <w:rFonts w:ascii="Arial" w:eastAsia="Arial" w:hAnsi="Arial" w:cs="Arial"/>
          <w:sz w:val="24"/>
          <w:szCs w:val="24"/>
        </w:rPr>
        <w:t>na</w:t>
      </w:r>
      <w:r>
        <w:rPr>
          <w:rFonts w:ascii="Arial" w:eastAsia="Arial" w:hAnsi="Arial" w:cs="Arial"/>
          <w:sz w:val="24"/>
          <w:szCs w:val="24"/>
        </w:rPr>
        <w:t xml:space="preserve"> educação, contribuíram para elevar o índice geral</w:t>
      </w:r>
      <w:r w:rsidR="000F6C88">
        <w:rPr>
          <w:rFonts w:ascii="Arial" w:eastAsia="Arial" w:hAnsi="Arial" w:cs="Arial"/>
          <w:sz w:val="24"/>
          <w:szCs w:val="24"/>
        </w:rPr>
        <w:t xml:space="preserve"> do período analisado</w:t>
      </w:r>
      <w:r>
        <w:rPr>
          <w:rFonts w:ascii="Arial" w:eastAsia="Arial" w:hAnsi="Arial" w:cs="Arial"/>
          <w:sz w:val="24"/>
          <w:szCs w:val="24"/>
        </w:rPr>
        <w:t>.</w:t>
      </w:r>
    </w:p>
    <w:p w:rsidR="003B2FCD" w:rsidRDefault="004E4179">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 xml:space="preserve">Em seu estudo, </w:t>
      </w:r>
      <w:r w:rsidR="00B56796">
        <w:rPr>
          <w:rFonts w:ascii="Arial" w:eastAsia="Arial" w:hAnsi="Arial" w:cs="Arial"/>
          <w:sz w:val="24"/>
          <w:szCs w:val="24"/>
        </w:rPr>
        <w:t xml:space="preserve">Neuhaus (2016) focou na identificação de indicadores para medir, controlar e gerir as dimensões da sustentabilidade. A elaboração dos 17 indicadores oferecidos à Fecam auxilia os gestores públicos a identificar oportunidades de melhoria em prol do fortalecimento da agricultura catarinense e contribui para o desenvolvimento </w:t>
      </w:r>
      <w:r w:rsidR="001F4840">
        <w:rPr>
          <w:rFonts w:ascii="Arial" w:eastAsia="Arial" w:hAnsi="Arial" w:cs="Arial"/>
          <w:sz w:val="24"/>
          <w:szCs w:val="24"/>
        </w:rPr>
        <w:t>d</w:t>
      </w:r>
      <w:r w:rsidR="00B56796">
        <w:rPr>
          <w:rFonts w:ascii="Arial" w:eastAsia="Arial" w:hAnsi="Arial" w:cs="Arial"/>
          <w:sz w:val="24"/>
          <w:szCs w:val="24"/>
        </w:rPr>
        <w:t>as dimensões sociocultural, econômica, ambiental e polític</w:t>
      </w:r>
      <w:r>
        <w:rPr>
          <w:rFonts w:ascii="Arial" w:eastAsia="Arial" w:hAnsi="Arial" w:cs="Arial"/>
          <w:sz w:val="24"/>
          <w:szCs w:val="24"/>
        </w:rPr>
        <w:t>o</w:t>
      </w:r>
      <w:r w:rsidR="00B56796">
        <w:rPr>
          <w:rFonts w:ascii="Arial" w:eastAsia="Arial" w:hAnsi="Arial" w:cs="Arial"/>
          <w:sz w:val="24"/>
          <w:szCs w:val="24"/>
        </w:rPr>
        <w:t>-institucional no meio rural.</w:t>
      </w:r>
    </w:p>
    <w:p w:rsidR="003B2FCD" w:rsidRDefault="003B2FCD">
      <w:pPr>
        <w:pBdr>
          <w:top w:val="nil"/>
          <w:left w:val="nil"/>
          <w:bottom w:val="nil"/>
          <w:right w:val="nil"/>
          <w:between w:val="nil"/>
        </w:pBdr>
        <w:spacing w:line="360" w:lineRule="auto"/>
        <w:rPr>
          <w:rFonts w:ascii="Arial" w:eastAsia="Arial" w:hAnsi="Arial" w:cs="Arial"/>
          <w:sz w:val="24"/>
          <w:szCs w:val="24"/>
        </w:rPr>
      </w:pPr>
    </w:p>
    <w:p w:rsidR="003B2FCD" w:rsidRDefault="00B56796">
      <w:pPr>
        <w:pBdr>
          <w:top w:val="nil"/>
          <w:left w:val="nil"/>
          <w:bottom w:val="nil"/>
          <w:right w:val="nil"/>
          <w:between w:val="nil"/>
        </w:pBdr>
        <w:spacing w:line="360" w:lineRule="auto"/>
        <w:rPr>
          <w:rFonts w:ascii="Arial" w:eastAsia="Arial" w:hAnsi="Arial" w:cs="Arial"/>
          <w:b/>
          <w:sz w:val="24"/>
          <w:szCs w:val="24"/>
        </w:rPr>
      </w:pPr>
      <w:r>
        <w:rPr>
          <w:rFonts w:ascii="Arial" w:eastAsia="Arial" w:hAnsi="Arial" w:cs="Arial"/>
          <w:b/>
          <w:sz w:val="24"/>
          <w:szCs w:val="24"/>
        </w:rPr>
        <w:t>3 METODOLOGIA</w:t>
      </w:r>
    </w:p>
    <w:p w:rsidR="003B2FCD" w:rsidRDefault="003B2FCD">
      <w:pPr>
        <w:spacing w:line="360" w:lineRule="auto"/>
        <w:jc w:val="both"/>
        <w:rPr>
          <w:rFonts w:ascii="Arial" w:eastAsia="Arial" w:hAnsi="Arial" w:cs="Arial"/>
          <w:sz w:val="24"/>
          <w:szCs w:val="24"/>
        </w:rPr>
      </w:pP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O universo de pesquisa foi composto pelo maior município de cada mesorregião do estado de Santa Catarina. No Vale do Itajaí - Blumenau, Oeste Catarinense - Chapecó, Sul Catarinense - Criciúma, Grande Florianópolis - Florianópolis, Norte Catarinense - Joinville e Serrana - Lages.</w:t>
      </w:r>
    </w:p>
    <w:p w:rsidR="003B2FCD" w:rsidRDefault="00B56796">
      <w:pPr>
        <w:spacing w:line="360" w:lineRule="auto"/>
        <w:ind w:firstLine="709"/>
        <w:jc w:val="both"/>
        <w:rPr>
          <w:rFonts w:ascii="Arial" w:eastAsia="Arial" w:hAnsi="Arial" w:cs="Arial"/>
          <w:sz w:val="24"/>
          <w:szCs w:val="24"/>
        </w:rPr>
      </w:pPr>
      <w:r>
        <w:rPr>
          <w:rFonts w:ascii="Arial" w:eastAsia="Arial" w:hAnsi="Arial" w:cs="Arial"/>
          <w:sz w:val="24"/>
          <w:szCs w:val="24"/>
        </w:rPr>
        <w:t>A escolha intencional destas cidades foi decorrente do fato de serem os maiores municípios e da sua representatividade em cada uma das mesorregiões do estado. Ao todo, Santa Catarina conta com 293 municípios, sendo que todos fazem parte do IDMS. O período investigado correspondeu aos dados referentes aos anos de 2012, 2014 e 2016, pois somente estes foram disponibilizados pela Fecam.</w:t>
      </w: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Todos os índices e subíndices municipais são classificados em uma das categorias, conforme o Quadro 3. Os valores são utilizados em todos os níveis do sistema, de modo que o usuário possa verificar as classificações dos municípios e regiões tanto para o índice geral quanto para dimensões, subdimensões, indicadores ou variáveis.</w:t>
      </w:r>
    </w:p>
    <w:p w:rsidR="007D210C" w:rsidRDefault="007D210C">
      <w:pPr>
        <w:rPr>
          <w:rFonts w:ascii="Arial" w:eastAsia="Arial" w:hAnsi="Arial" w:cs="Arial"/>
          <w:sz w:val="24"/>
          <w:szCs w:val="24"/>
        </w:rPr>
      </w:pPr>
      <w:r>
        <w:rPr>
          <w:rFonts w:ascii="Arial" w:eastAsia="Arial" w:hAnsi="Arial" w:cs="Arial"/>
          <w:sz w:val="24"/>
          <w:szCs w:val="24"/>
        </w:rPr>
        <w:br w:type="page"/>
      </w:r>
    </w:p>
    <w:p w:rsidR="003B2FCD" w:rsidRDefault="00B56796">
      <w:pPr>
        <w:jc w:val="center"/>
        <w:rPr>
          <w:rFonts w:ascii="Arial" w:eastAsia="Arial" w:hAnsi="Arial" w:cs="Arial"/>
        </w:rPr>
      </w:pPr>
      <w:r>
        <w:rPr>
          <w:rFonts w:ascii="Arial" w:eastAsia="Arial" w:hAnsi="Arial" w:cs="Arial"/>
        </w:rPr>
        <w:t>Quadro 3 - Classificação do Índice de Desenvolvimento Municipal Sustentável para SC</w:t>
      </w:r>
    </w:p>
    <w:tbl>
      <w:tblPr>
        <w:tblStyle w:val="a1"/>
        <w:tblW w:w="425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6"/>
        <w:gridCol w:w="1987"/>
      </w:tblGrid>
      <w:tr w:rsidR="003B2FCD">
        <w:trPr>
          <w:jc w:val="center"/>
        </w:trPr>
        <w:tc>
          <w:tcPr>
            <w:tcW w:w="2266" w:type="dxa"/>
            <w:tcBorders>
              <w:top w:val="single" w:sz="6" w:space="0" w:color="000000"/>
              <w:left w:val="single" w:sz="6" w:space="0" w:color="000000"/>
              <w:bottom w:val="single" w:sz="6" w:space="0" w:color="000000"/>
              <w:right w:val="single" w:sz="6" w:space="0" w:color="000000"/>
            </w:tcBorders>
          </w:tcPr>
          <w:p w:rsidR="003B2FCD" w:rsidRDefault="00B56796">
            <w:pPr>
              <w:jc w:val="center"/>
              <w:rPr>
                <w:rFonts w:ascii="Arial" w:eastAsia="Arial" w:hAnsi="Arial" w:cs="Arial"/>
                <w:b/>
              </w:rPr>
            </w:pPr>
            <w:r>
              <w:rPr>
                <w:rFonts w:ascii="Arial" w:eastAsia="Arial" w:hAnsi="Arial" w:cs="Arial"/>
                <w:b/>
              </w:rPr>
              <w:t>Valor do IDMS</w:t>
            </w:r>
          </w:p>
        </w:tc>
        <w:tc>
          <w:tcPr>
            <w:tcW w:w="1987" w:type="dxa"/>
            <w:shd w:val="clear" w:color="auto" w:fill="auto"/>
            <w:tcMar>
              <w:top w:w="100" w:type="dxa"/>
              <w:left w:w="100" w:type="dxa"/>
              <w:bottom w:w="100" w:type="dxa"/>
              <w:right w:w="100" w:type="dxa"/>
            </w:tcMar>
          </w:tcPr>
          <w:p w:rsidR="003B2FCD" w:rsidRDefault="00B56796">
            <w:pPr>
              <w:widowControl w:val="0"/>
              <w:jc w:val="center"/>
              <w:rPr>
                <w:rFonts w:ascii="Arial" w:eastAsia="Arial" w:hAnsi="Arial" w:cs="Arial"/>
                <w:b/>
              </w:rPr>
            </w:pPr>
            <w:r>
              <w:rPr>
                <w:rFonts w:ascii="Arial" w:eastAsia="Arial" w:hAnsi="Arial" w:cs="Arial"/>
                <w:b/>
              </w:rPr>
              <w:t>Classificação</w:t>
            </w:r>
          </w:p>
        </w:tc>
      </w:tr>
      <w:tr w:rsidR="003B2FCD" w:rsidTr="00076593">
        <w:trPr>
          <w:trHeight w:val="234"/>
          <w:jc w:val="center"/>
        </w:trPr>
        <w:tc>
          <w:tcPr>
            <w:tcW w:w="2266" w:type="dxa"/>
            <w:tcBorders>
              <w:top w:val="single" w:sz="6" w:space="0" w:color="000000"/>
              <w:left w:val="single" w:sz="6" w:space="0" w:color="000000"/>
              <w:bottom w:val="single" w:sz="6" w:space="0" w:color="000000"/>
              <w:right w:val="single" w:sz="6" w:space="0" w:color="000000"/>
            </w:tcBorders>
          </w:tcPr>
          <w:p w:rsidR="003B2FCD" w:rsidRDefault="00B56796">
            <w:pPr>
              <w:widowControl w:val="0"/>
              <w:pBdr>
                <w:top w:val="nil"/>
                <w:left w:val="nil"/>
                <w:bottom w:val="nil"/>
                <w:right w:val="nil"/>
                <w:between w:val="nil"/>
              </w:pBdr>
              <w:jc w:val="center"/>
              <w:rPr>
                <w:rFonts w:ascii="Arial" w:eastAsia="Arial" w:hAnsi="Arial" w:cs="Arial"/>
              </w:rPr>
            </w:pPr>
            <w:r>
              <w:rPr>
                <w:rFonts w:ascii="Arial Unicode MS" w:eastAsia="Arial Unicode MS" w:hAnsi="Arial Unicode MS" w:cs="Arial Unicode MS"/>
              </w:rPr>
              <w:t>≥ 0,875</w:t>
            </w:r>
          </w:p>
        </w:tc>
        <w:tc>
          <w:tcPr>
            <w:tcW w:w="1987" w:type="dxa"/>
            <w:shd w:val="clear" w:color="auto" w:fill="auto"/>
            <w:tcMar>
              <w:top w:w="100" w:type="dxa"/>
              <w:left w:w="100" w:type="dxa"/>
              <w:bottom w:w="100" w:type="dxa"/>
              <w:right w:w="100" w:type="dxa"/>
            </w:tcMar>
          </w:tcPr>
          <w:p w:rsidR="003B2FCD" w:rsidRDefault="00B56796">
            <w:pPr>
              <w:widowControl w:val="0"/>
              <w:jc w:val="center"/>
              <w:rPr>
                <w:rFonts w:ascii="Arial" w:eastAsia="Arial" w:hAnsi="Arial" w:cs="Arial"/>
              </w:rPr>
            </w:pPr>
            <w:r>
              <w:rPr>
                <w:rFonts w:ascii="Arial" w:eastAsia="Arial" w:hAnsi="Arial" w:cs="Arial"/>
              </w:rPr>
              <w:t>Alto</w:t>
            </w:r>
          </w:p>
        </w:tc>
      </w:tr>
      <w:tr w:rsidR="003B2FCD">
        <w:trPr>
          <w:trHeight w:val="20"/>
          <w:jc w:val="center"/>
        </w:trPr>
        <w:tc>
          <w:tcPr>
            <w:tcW w:w="2266" w:type="dxa"/>
            <w:tcBorders>
              <w:top w:val="single" w:sz="6" w:space="0" w:color="000000"/>
              <w:left w:val="single" w:sz="6" w:space="0" w:color="000000"/>
              <w:bottom w:val="single" w:sz="6" w:space="0" w:color="000000"/>
              <w:right w:val="single" w:sz="6" w:space="0" w:color="000000"/>
            </w:tcBorders>
          </w:tcPr>
          <w:p w:rsidR="003B2FCD" w:rsidRDefault="00B56796">
            <w:pPr>
              <w:widowControl w:val="0"/>
              <w:pBdr>
                <w:top w:val="nil"/>
                <w:left w:val="nil"/>
                <w:bottom w:val="nil"/>
                <w:right w:val="nil"/>
                <w:between w:val="nil"/>
              </w:pBdr>
              <w:jc w:val="center"/>
              <w:rPr>
                <w:rFonts w:ascii="Arial" w:eastAsia="Arial" w:hAnsi="Arial" w:cs="Arial"/>
              </w:rPr>
            </w:pPr>
            <w:r>
              <w:rPr>
                <w:rFonts w:ascii="Arial Unicode MS" w:eastAsia="Arial Unicode MS" w:hAnsi="Arial Unicode MS" w:cs="Arial Unicode MS"/>
              </w:rPr>
              <w:t>≥ 0,750 e &lt; 0,875</w:t>
            </w:r>
          </w:p>
        </w:tc>
        <w:tc>
          <w:tcPr>
            <w:tcW w:w="1987" w:type="dxa"/>
            <w:shd w:val="clear" w:color="auto" w:fill="auto"/>
            <w:tcMar>
              <w:top w:w="100" w:type="dxa"/>
              <w:left w:w="100" w:type="dxa"/>
              <w:bottom w:w="100" w:type="dxa"/>
              <w:right w:w="100" w:type="dxa"/>
            </w:tcMar>
          </w:tcPr>
          <w:p w:rsidR="003B2FCD" w:rsidRDefault="00B56796">
            <w:pPr>
              <w:widowControl w:val="0"/>
              <w:jc w:val="center"/>
              <w:rPr>
                <w:rFonts w:ascii="Arial" w:eastAsia="Arial" w:hAnsi="Arial" w:cs="Arial"/>
              </w:rPr>
            </w:pPr>
            <w:r>
              <w:rPr>
                <w:rFonts w:ascii="Arial" w:eastAsia="Arial" w:hAnsi="Arial" w:cs="Arial"/>
              </w:rPr>
              <w:t>Médio Alto</w:t>
            </w:r>
          </w:p>
        </w:tc>
      </w:tr>
      <w:tr w:rsidR="003B2FCD">
        <w:trPr>
          <w:trHeight w:val="260"/>
          <w:jc w:val="center"/>
        </w:trPr>
        <w:tc>
          <w:tcPr>
            <w:tcW w:w="2266" w:type="dxa"/>
            <w:tcBorders>
              <w:top w:val="single" w:sz="6" w:space="0" w:color="000000"/>
              <w:left w:val="single" w:sz="6" w:space="0" w:color="000000"/>
              <w:bottom w:val="single" w:sz="6" w:space="0" w:color="000000"/>
              <w:right w:val="single" w:sz="6" w:space="0" w:color="000000"/>
            </w:tcBorders>
          </w:tcPr>
          <w:p w:rsidR="003B2FCD" w:rsidRDefault="00B56796">
            <w:pPr>
              <w:widowControl w:val="0"/>
              <w:pBdr>
                <w:top w:val="nil"/>
                <w:left w:val="nil"/>
                <w:bottom w:val="nil"/>
                <w:right w:val="nil"/>
                <w:between w:val="nil"/>
              </w:pBdr>
              <w:jc w:val="center"/>
              <w:rPr>
                <w:rFonts w:ascii="Arial" w:eastAsia="Arial" w:hAnsi="Arial" w:cs="Arial"/>
              </w:rPr>
            </w:pPr>
            <w:r>
              <w:rPr>
                <w:rFonts w:ascii="Arial Unicode MS" w:eastAsia="Arial Unicode MS" w:hAnsi="Arial Unicode MS" w:cs="Arial Unicode MS"/>
              </w:rPr>
              <w:t>≥ 0,625 e &lt; 0,750</w:t>
            </w:r>
          </w:p>
        </w:tc>
        <w:tc>
          <w:tcPr>
            <w:tcW w:w="1987" w:type="dxa"/>
            <w:shd w:val="clear" w:color="auto" w:fill="auto"/>
            <w:tcMar>
              <w:top w:w="100" w:type="dxa"/>
              <w:left w:w="100" w:type="dxa"/>
              <w:bottom w:w="100" w:type="dxa"/>
              <w:right w:w="100" w:type="dxa"/>
            </w:tcMar>
          </w:tcPr>
          <w:p w:rsidR="003B2FCD" w:rsidRDefault="00B56796">
            <w:pPr>
              <w:widowControl w:val="0"/>
              <w:jc w:val="center"/>
              <w:rPr>
                <w:rFonts w:ascii="Arial" w:eastAsia="Arial" w:hAnsi="Arial" w:cs="Arial"/>
              </w:rPr>
            </w:pPr>
            <w:r>
              <w:rPr>
                <w:rFonts w:ascii="Arial" w:eastAsia="Arial" w:hAnsi="Arial" w:cs="Arial"/>
              </w:rPr>
              <w:t>Médio</w:t>
            </w:r>
          </w:p>
        </w:tc>
      </w:tr>
      <w:tr w:rsidR="003B2FCD" w:rsidTr="00076593">
        <w:trPr>
          <w:trHeight w:val="316"/>
          <w:jc w:val="center"/>
        </w:trPr>
        <w:tc>
          <w:tcPr>
            <w:tcW w:w="2266" w:type="dxa"/>
            <w:tcBorders>
              <w:top w:val="single" w:sz="6" w:space="0" w:color="000000"/>
              <w:left w:val="single" w:sz="6" w:space="0" w:color="000000"/>
              <w:bottom w:val="single" w:sz="6" w:space="0" w:color="000000"/>
              <w:right w:val="single" w:sz="6" w:space="0" w:color="000000"/>
            </w:tcBorders>
          </w:tcPr>
          <w:p w:rsidR="003B2FCD" w:rsidRDefault="00B56796">
            <w:pPr>
              <w:widowControl w:val="0"/>
              <w:jc w:val="center"/>
              <w:rPr>
                <w:rFonts w:ascii="Arial" w:eastAsia="Arial" w:hAnsi="Arial" w:cs="Arial"/>
              </w:rPr>
            </w:pPr>
            <w:r>
              <w:rPr>
                <w:rFonts w:ascii="Arial Unicode MS" w:eastAsia="Arial Unicode MS" w:hAnsi="Arial Unicode MS" w:cs="Arial Unicode MS"/>
                <w:color w:val="222222"/>
                <w:sz w:val="22"/>
                <w:szCs w:val="22"/>
              </w:rPr>
              <w:t>≥</w:t>
            </w:r>
            <w:r>
              <w:rPr>
                <w:rFonts w:ascii="Arial" w:eastAsia="Arial" w:hAnsi="Arial" w:cs="Arial"/>
              </w:rPr>
              <w:t>0,500 e &lt; 0,625</w:t>
            </w:r>
          </w:p>
        </w:tc>
        <w:tc>
          <w:tcPr>
            <w:tcW w:w="1987" w:type="dxa"/>
            <w:shd w:val="clear" w:color="auto" w:fill="auto"/>
            <w:tcMar>
              <w:top w:w="100" w:type="dxa"/>
              <w:left w:w="100" w:type="dxa"/>
              <w:bottom w:w="100" w:type="dxa"/>
              <w:right w:w="100" w:type="dxa"/>
            </w:tcMar>
          </w:tcPr>
          <w:p w:rsidR="003B2FCD" w:rsidRDefault="00B56796">
            <w:pPr>
              <w:widowControl w:val="0"/>
              <w:jc w:val="center"/>
              <w:rPr>
                <w:rFonts w:ascii="Arial" w:eastAsia="Arial" w:hAnsi="Arial" w:cs="Arial"/>
              </w:rPr>
            </w:pPr>
            <w:r>
              <w:rPr>
                <w:rFonts w:ascii="Arial" w:eastAsia="Arial" w:hAnsi="Arial" w:cs="Arial"/>
              </w:rPr>
              <w:t>Médio Baixo</w:t>
            </w:r>
          </w:p>
        </w:tc>
      </w:tr>
      <w:tr w:rsidR="003B2FCD">
        <w:trPr>
          <w:trHeight w:val="240"/>
          <w:jc w:val="center"/>
        </w:trPr>
        <w:tc>
          <w:tcPr>
            <w:tcW w:w="2266" w:type="dxa"/>
            <w:tcBorders>
              <w:top w:val="single" w:sz="6" w:space="0" w:color="000000"/>
              <w:left w:val="single" w:sz="6" w:space="0" w:color="000000"/>
              <w:bottom w:val="single" w:sz="6" w:space="0" w:color="000000"/>
              <w:right w:val="single" w:sz="6" w:space="0" w:color="000000"/>
            </w:tcBorders>
          </w:tcPr>
          <w:p w:rsidR="003B2FCD" w:rsidRDefault="00B56796">
            <w:pPr>
              <w:widowControl w:val="0"/>
              <w:jc w:val="center"/>
              <w:rPr>
                <w:rFonts w:ascii="Arial" w:eastAsia="Arial" w:hAnsi="Arial" w:cs="Arial"/>
              </w:rPr>
            </w:pPr>
            <m:oMath>
              <m:r>
                <w:rPr>
                  <w:rFonts w:ascii="Arial" w:eastAsia="Arial" w:hAnsi="Arial" w:cs="Arial"/>
                </w:rPr>
                <m:t>&lt;</m:t>
              </m:r>
            </m:oMath>
            <w:r>
              <w:rPr>
                <w:rFonts w:ascii="Arial" w:eastAsia="Arial" w:hAnsi="Arial" w:cs="Arial"/>
              </w:rPr>
              <w:t xml:space="preserve"> 0,500</w:t>
            </w:r>
          </w:p>
        </w:tc>
        <w:tc>
          <w:tcPr>
            <w:tcW w:w="1987" w:type="dxa"/>
            <w:shd w:val="clear" w:color="auto" w:fill="auto"/>
            <w:tcMar>
              <w:top w:w="100" w:type="dxa"/>
              <w:left w:w="100" w:type="dxa"/>
              <w:bottom w:w="100" w:type="dxa"/>
              <w:right w:w="100" w:type="dxa"/>
            </w:tcMar>
          </w:tcPr>
          <w:p w:rsidR="003B2FCD" w:rsidRDefault="00B56796">
            <w:pPr>
              <w:widowControl w:val="0"/>
              <w:jc w:val="center"/>
              <w:rPr>
                <w:rFonts w:ascii="Arial" w:eastAsia="Arial" w:hAnsi="Arial" w:cs="Arial"/>
              </w:rPr>
            </w:pPr>
            <w:r>
              <w:rPr>
                <w:rFonts w:ascii="Arial" w:eastAsia="Arial" w:hAnsi="Arial" w:cs="Arial"/>
              </w:rPr>
              <w:t>Baixo</w:t>
            </w:r>
          </w:p>
        </w:tc>
      </w:tr>
    </w:tbl>
    <w:p w:rsidR="003B2FCD" w:rsidRDefault="00B56796">
      <w:pPr>
        <w:rPr>
          <w:rFonts w:ascii="Arial" w:eastAsia="Arial" w:hAnsi="Arial" w:cs="Arial"/>
        </w:rPr>
      </w:pPr>
      <w:r>
        <w:rPr>
          <w:rFonts w:ascii="Arial" w:eastAsia="Arial" w:hAnsi="Arial" w:cs="Arial"/>
        </w:rPr>
        <w:t xml:space="preserve">                                           Fonte: Adaptado de Fecam (2016).</w:t>
      </w:r>
    </w:p>
    <w:p w:rsidR="003B2FCD" w:rsidRDefault="003B2FCD">
      <w:pPr>
        <w:spacing w:line="360" w:lineRule="auto"/>
        <w:jc w:val="both"/>
        <w:rPr>
          <w:rFonts w:ascii="Arial" w:eastAsia="Arial" w:hAnsi="Arial" w:cs="Arial"/>
        </w:rPr>
      </w:pPr>
    </w:p>
    <w:p w:rsidR="003B2FCD" w:rsidRDefault="00B56796">
      <w:pPr>
        <w:spacing w:line="360" w:lineRule="auto"/>
        <w:jc w:val="both"/>
        <w:rPr>
          <w:rFonts w:ascii="Arial" w:eastAsia="Arial" w:hAnsi="Arial" w:cs="Arial"/>
          <w:sz w:val="24"/>
          <w:szCs w:val="24"/>
        </w:rPr>
      </w:pPr>
      <w:r>
        <w:rPr>
          <w:rFonts w:ascii="Arial" w:eastAsia="Arial" w:hAnsi="Arial" w:cs="Arial"/>
        </w:rPr>
        <w:tab/>
      </w:r>
      <w:r>
        <w:rPr>
          <w:rFonts w:ascii="Arial" w:eastAsia="Arial" w:hAnsi="Arial" w:cs="Arial"/>
          <w:sz w:val="24"/>
          <w:szCs w:val="24"/>
        </w:rPr>
        <w:t>Observa-se no Quadro 3 que há cinco classificações do IDMS. Para que um município obtenha um índice ‘Baixo’, deve ser inferior a 0,500. A faixa maior ou igual a 0,500 e menor que 0,625 faz parte do ‘Médio Baixo’. Já o índice ‘Médio’ fica nos valores de maior ou igual a 0,625 até menor que 0,750. Considera-se ‘Médio Alto’ valor maior ou igual a 0,750 até menor que 0,875. Por fim, o melhor índice que um município pode alcançar, o ‘Alto’, é maior que 0,875.</w:t>
      </w:r>
    </w:p>
    <w:p w:rsidR="003B2FCD" w:rsidRDefault="003B2FCD">
      <w:pPr>
        <w:spacing w:line="360" w:lineRule="auto"/>
        <w:jc w:val="both"/>
        <w:rPr>
          <w:rFonts w:ascii="Arial" w:eastAsia="Arial" w:hAnsi="Arial" w:cs="Arial"/>
          <w:sz w:val="24"/>
          <w:szCs w:val="24"/>
        </w:rPr>
      </w:pPr>
    </w:p>
    <w:p w:rsidR="003B2FCD" w:rsidRDefault="00B56796">
      <w:pPr>
        <w:pBdr>
          <w:top w:val="nil"/>
          <w:left w:val="nil"/>
          <w:bottom w:val="nil"/>
          <w:right w:val="nil"/>
          <w:between w:val="nil"/>
        </w:pBdr>
        <w:spacing w:line="360" w:lineRule="auto"/>
        <w:rPr>
          <w:rFonts w:ascii="Arial" w:eastAsia="Arial" w:hAnsi="Arial" w:cs="Arial"/>
          <w:b/>
          <w:sz w:val="24"/>
          <w:szCs w:val="24"/>
        </w:rPr>
      </w:pPr>
      <w:r>
        <w:rPr>
          <w:rFonts w:ascii="Arial" w:eastAsia="Arial" w:hAnsi="Arial" w:cs="Arial"/>
          <w:b/>
          <w:sz w:val="24"/>
          <w:szCs w:val="24"/>
        </w:rPr>
        <w:t xml:space="preserve">4 </w:t>
      </w:r>
      <w:r>
        <w:rPr>
          <w:rFonts w:ascii="Arial" w:eastAsia="Arial" w:hAnsi="Arial" w:cs="Arial"/>
          <w:b/>
          <w:color w:val="333333"/>
          <w:sz w:val="24"/>
          <w:szCs w:val="24"/>
          <w:highlight w:val="white"/>
        </w:rPr>
        <w:t>APRESENTAÇÃO E ANÁLISE DOS RESULTADOS</w:t>
      </w:r>
    </w:p>
    <w:p w:rsidR="003B2FCD" w:rsidRDefault="003B2FCD">
      <w:pPr>
        <w:pBdr>
          <w:top w:val="nil"/>
          <w:left w:val="nil"/>
          <w:bottom w:val="nil"/>
          <w:right w:val="nil"/>
          <w:between w:val="nil"/>
        </w:pBdr>
        <w:spacing w:line="360" w:lineRule="auto"/>
        <w:ind w:firstLine="720"/>
        <w:jc w:val="both"/>
        <w:rPr>
          <w:rFonts w:ascii="Arial" w:eastAsia="Arial" w:hAnsi="Arial" w:cs="Arial"/>
          <w:sz w:val="24"/>
          <w:szCs w:val="24"/>
        </w:rPr>
      </w:pPr>
    </w:p>
    <w:p w:rsidR="007D210C"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Segundo a Fecam, o IBGE criou para fins estatísticos e de planejamento público mesorregiões que subdividem o estado em áreas geográficas. Na etapa inicial da pesquisa, será analisado o IDMS do maior município de cada mesorregião catarinense, avaliando sua evolução conforme dados dos indicadores de 2012, 2014 e 2016. Na Tabela 1 é possível verificar a progressão dos índices de cada município nos três anos em questão.</w:t>
      </w:r>
    </w:p>
    <w:p w:rsidR="007D210C" w:rsidRDefault="007D210C">
      <w:pPr>
        <w:rPr>
          <w:rFonts w:ascii="Arial" w:eastAsia="Arial" w:hAnsi="Arial" w:cs="Arial"/>
          <w:sz w:val="24"/>
          <w:szCs w:val="24"/>
        </w:rPr>
      </w:pPr>
      <w:r>
        <w:rPr>
          <w:rFonts w:ascii="Arial" w:eastAsia="Arial" w:hAnsi="Arial" w:cs="Arial"/>
          <w:sz w:val="24"/>
          <w:szCs w:val="24"/>
        </w:rPr>
        <w:br w:type="page"/>
      </w:r>
    </w:p>
    <w:p w:rsidR="003B2FCD" w:rsidRDefault="00B56796">
      <w:pPr>
        <w:jc w:val="center"/>
        <w:rPr>
          <w:rFonts w:ascii="Arial" w:eastAsia="Arial" w:hAnsi="Arial" w:cs="Arial"/>
        </w:rPr>
      </w:pPr>
      <w:r>
        <w:rPr>
          <w:rFonts w:ascii="Arial" w:eastAsia="Arial" w:hAnsi="Arial" w:cs="Arial"/>
        </w:rPr>
        <w:t>Tabela 1 - Classificação e índices dos seis municípios pesquisados</w:t>
      </w:r>
    </w:p>
    <w:tbl>
      <w:tblPr>
        <w:tblStyle w:val="a2"/>
        <w:tblW w:w="9196"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486"/>
        <w:gridCol w:w="847"/>
        <w:gridCol w:w="889"/>
        <w:gridCol w:w="851"/>
        <w:gridCol w:w="847"/>
        <w:gridCol w:w="859"/>
        <w:gridCol w:w="831"/>
        <w:gridCol w:w="847"/>
        <w:gridCol w:w="889"/>
        <w:gridCol w:w="850"/>
      </w:tblGrid>
      <w:tr w:rsidR="003B2FCD">
        <w:trPr>
          <w:trHeight w:val="200"/>
          <w:jc w:val="center"/>
        </w:trPr>
        <w:tc>
          <w:tcPr>
            <w:tcW w:w="1486"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3B2FCD" w:rsidRDefault="003B2FCD">
            <w:pPr>
              <w:spacing w:line="276" w:lineRule="auto"/>
              <w:ind w:left="60"/>
              <w:jc w:val="center"/>
              <w:rPr>
                <w:rFonts w:ascii="Arial" w:eastAsia="Arial" w:hAnsi="Arial" w:cs="Arial"/>
              </w:rPr>
            </w:pPr>
          </w:p>
        </w:tc>
        <w:tc>
          <w:tcPr>
            <w:tcW w:w="847" w:type="dxa"/>
            <w:tcBorders>
              <w:top w:val="single" w:sz="8" w:space="0" w:color="000000"/>
              <w:left w:val="nil"/>
              <w:bottom w:val="single" w:sz="8" w:space="0" w:color="000000"/>
              <w:right w:val="nil"/>
            </w:tcBorders>
            <w:tcMar>
              <w:top w:w="100" w:type="dxa"/>
              <w:left w:w="80" w:type="dxa"/>
              <w:bottom w:w="100" w:type="dxa"/>
              <w:right w:w="80" w:type="dxa"/>
            </w:tcMar>
          </w:tcPr>
          <w:p w:rsidR="003B2FCD" w:rsidRPr="00E65A95" w:rsidRDefault="00B56796" w:rsidP="00B90740">
            <w:pPr>
              <w:spacing w:line="276" w:lineRule="auto"/>
              <w:ind w:left="60"/>
              <w:jc w:val="center"/>
              <w:rPr>
                <w:rFonts w:ascii="Arial" w:eastAsia="Arial" w:hAnsi="Arial" w:cs="Arial"/>
                <w:b/>
                <w:sz w:val="18"/>
                <w:szCs w:val="18"/>
              </w:rPr>
            </w:pPr>
            <w:r w:rsidRPr="00E65A95">
              <w:rPr>
                <w:rFonts w:ascii="Arial" w:eastAsia="Arial" w:hAnsi="Arial" w:cs="Arial"/>
                <w:b/>
                <w:sz w:val="18"/>
                <w:szCs w:val="18"/>
              </w:rPr>
              <w:t>2012</w:t>
            </w:r>
          </w:p>
        </w:tc>
        <w:tc>
          <w:tcPr>
            <w:tcW w:w="889" w:type="dxa"/>
            <w:tcBorders>
              <w:top w:val="single" w:sz="8" w:space="0" w:color="000000"/>
              <w:left w:val="nil"/>
              <w:bottom w:val="single" w:sz="8" w:space="0" w:color="000000"/>
              <w:right w:val="nil"/>
            </w:tcBorders>
            <w:tcMar>
              <w:top w:w="100" w:type="dxa"/>
              <w:left w:w="80" w:type="dxa"/>
              <w:bottom w:w="100" w:type="dxa"/>
              <w:right w:w="80" w:type="dxa"/>
            </w:tcMar>
          </w:tcPr>
          <w:p w:rsidR="003B2FCD" w:rsidRPr="00E65A95" w:rsidRDefault="00B56796" w:rsidP="00B90740">
            <w:pPr>
              <w:spacing w:line="276" w:lineRule="auto"/>
              <w:ind w:left="60"/>
              <w:jc w:val="center"/>
              <w:rPr>
                <w:rFonts w:ascii="Arial" w:eastAsia="Arial" w:hAnsi="Arial" w:cs="Arial"/>
                <w:b/>
                <w:sz w:val="18"/>
                <w:szCs w:val="18"/>
              </w:rPr>
            </w:pPr>
            <w:r w:rsidRPr="00E65A95">
              <w:rPr>
                <w:rFonts w:ascii="Arial" w:eastAsia="Arial" w:hAnsi="Arial" w:cs="Arial"/>
                <w:b/>
                <w:sz w:val="18"/>
                <w:szCs w:val="18"/>
              </w:rPr>
              <w:t>Cidade</w:t>
            </w:r>
          </w:p>
        </w:tc>
        <w:tc>
          <w:tcPr>
            <w:tcW w:w="851"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3B2FCD" w:rsidRPr="00E65A95" w:rsidRDefault="00B56796" w:rsidP="00B90740">
            <w:pPr>
              <w:spacing w:line="276" w:lineRule="auto"/>
              <w:ind w:left="60"/>
              <w:jc w:val="center"/>
              <w:rPr>
                <w:rFonts w:ascii="Arial" w:eastAsia="Arial" w:hAnsi="Arial" w:cs="Arial"/>
                <w:b/>
                <w:sz w:val="18"/>
                <w:szCs w:val="18"/>
              </w:rPr>
            </w:pPr>
            <w:r w:rsidRPr="00E65A95">
              <w:rPr>
                <w:rFonts w:ascii="Arial" w:eastAsia="Arial" w:hAnsi="Arial" w:cs="Arial"/>
                <w:b/>
                <w:sz w:val="18"/>
                <w:szCs w:val="18"/>
              </w:rPr>
              <w:t>Meso.</w:t>
            </w:r>
          </w:p>
        </w:tc>
        <w:tc>
          <w:tcPr>
            <w:tcW w:w="847" w:type="dxa"/>
            <w:tcBorders>
              <w:top w:val="single" w:sz="8" w:space="0" w:color="000000"/>
              <w:left w:val="nil"/>
              <w:bottom w:val="single" w:sz="8" w:space="0" w:color="000000"/>
              <w:right w:val="nil"/>
            </w:tcBorders>
            <w:tcMar>
              <w:top w:w="100" w:type="dxa"/>
              <w:left w:w="80" w:type="dxa"/>
              <w:bottom w:w="100" w:type="dxa"/>
              <w:right w:w="80" w:type="dxa"/>
            </w:tcMar>
          </w:tcPr>
          <w:p w:rsidR="003B2FCD" w:rsidRPr="00E65A95" w:rsidRDefault="00B56796" w:rsidP="00B90740">
            <w:pPr>
              <w:spacing w:line="276" w:lineRule="auto"/>
              <w:ind w:left="60"/>
              <w:jc w:val="center"/>
              <w:rPr>
                <w:rFonts w:ascii="Arial" w:eastAsia="Arial" w:hAnsi="Arial" w:cs="Arial"/>
                <w:b/>
                <w:sz w:val="18"/>
                <w:szCs w:val="18"/>
              </w:rPr>
            </w:pPr>
            <w:r w:rsidRPr="00E65A95">
              <w:rPr>
                <w:rFonts w:ascii="Arial" w:eastAsia="Arial" w:hAnsi="Arial" w:cs="Arial"/>
                <w:b/>
                <w:sz w:val="18"/>
                <w:szCs w:val="18"/>
              </w:rPr>
              <w:t>2014</w:t>
            </w:r>
          </w:p>
        </w:tc>
        <w:tc>
          <w:tcPr>
            <w:tcW w:w="859" w:type="dxa"/>
            <w:tcBorders>
              <w:top w:val="single" w:sz="8" w:space="0" w:color="000000"/>
              <w:left w:val="nil"/>
              <w:bottom w:val="single" w:sz="8" w:space="0" w:color="000000"/>
              <w:right w:val="nil"/>
            </w:tcBorders>
            <w:tcMar>
              <w:top w:w="100" w:type="dxa"/>
              <w:left w:w="80" w:type="dxa"/>
              <w:bottom w:w="100" w:type="dxa"/>
              <w:right w:w="80" w:type="dxa"/>
            </w:tcMar>
          </w:tcPr>
          <w:p w:rsidR="003B2FCD" w:rsidRPr="00E65A95" w:rsidRDefault="00B56796" w:rsidP="00B90740">
            <w:pPr>
              <w:spacing w:line="276" w:lineRule="auto"/>
              <w:ind w:left="60"/>
              <w:jc w:val="center"/>
              <w:rPr>
                <w:rFonts w:ascii="Arial" w:eastAsia="Arial" w:hAnsi="Arial" w:cs="Arial"/>
                <w:b/>
                <w:sz w:val="18"/>
                <w:szCs w:val="18"/>
              </w:rPr>
            </w:pPr>
            <w:r w:rsidRPr="00E65A95">
              <w:rPr>
                <w:rFonts w:ascii="Arial" w:eastAsia="Arial" w:hAnsi="Arial" w:cs="Arial"/>
                <w:b/>
                <w:sz w:val="18"/>
                <w:szCs w:val="18"/>
              </w:rPr>
              <w:t>Cidade</w:t>
            </w:r>
          </w:p>
        </w:tc>
        <w:tc>
          <w:tcPr>
            <w:tcW w:w="831"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3B2FCD" w:rsidRPr="00E65A95" w:rsidRDefault="00B56796" w:rsidP="00B90740">
            <w:pPr>
              <w:spacing w:line="276" w:lineRule="auto"/>
              <w:ind w:left="60"/>
              <w:jc w:val="center"/>
              <w:rPr>
                <w:rFonts w:ascii="Arial" w:eastAsia="Arial" w:hAnsi="Arial" w:cs="Arial"/>
                <w:b/>
                <w:sz w:val="18"/>
                <w:szCs w:val="18"/>
              </w:rPr>
            </w:pPr>
            <w:r w:rsidRPr="00E65A95">
              <w:rPr>
                <w:rFonts w:ascii="Arial" w:eastAsia="Arial" w:hAnsi="Arial" w:cs="Arial"/>
                <w:b/>
                <w:sz w:val="18"/>
                <w:szCs w:val="18"/>
              </w:rPr>
              <w:t>Meso.</w:t>
            </w:r>
          </w:p>
        </w:tc>
        <w:tc>
          <w:tcPr>
            <w:tcW w:w="847" w:type="dxa"/>
            <w:tcBorders>
              <w:top w:val="single" w:sz="8" w:space="0" w:color="000000"/>
              <w:left w:val="nil"/>
              <w:bottom w:val="single" w:sz="8" w:space="0" w:color="000000"/>
              <w:right w:val="nil"/>
            </w:tcBorders>
            <w:tcMar>
              <w:top w:w="100" w:type="dxa"/>
              <w:left w:w="80" w:type="dxa"/>
              <w:bottom w:w="100" w:type="dxa"/>
              <w:right w:w="80" w:type="dxa"/>
            </w:tcMar>
          </w:tcPr>
          <w:p w:rsidR="003B2FCD" w:rsidRPr="00E65A95" w:rsidRDefault="00B56796" w:rsidP="00B90740">
            <w:pPr>
              <w:spacing w:line="276" w:lineRule="auto"/>
              <w:ind w:left="60"/>
              <w:jc w:val="center"/>
              <w:rPr>
                <w:rFonts w:ascii="Arial" w:eastAsia="Arial" w:hAnsi="Arial" w:cs="Arial"/>
                <w:b/>
                <w:sz w:val="18"/>
                <w:szCs w:val="18"/>
              </w:rPr>
            </w:pPr>
            <w:r w:rsidRPr="00E65A95">
              <w:rPr>
                <w:rFonts w:ascii="Arial" w:eastAsia="Arial" w:hAnsi="Arial" w:cs="Arial"/>
                <w:b/>
                <w:sz w:val="18"/>
                <w:szCs w:val="18"/>
              </w:rPr>
              <w:t>2016</w:t>
            </w:r>
          </w:p>
        </w:tc>
        <w:tc>
          <w:tcPr>
            <w:tcW w:w="889" w:type="dxa"/>
            <w:tcBorders>
              <w:top w:val="single" w:sz="8" w:space="0" w:color="000000"/>
              <w:left w:val="nil"/>
              <w:bottom w:val="single" w:sz="8" w:space="0" w:color="000000"/>
              <w:right w:val="nil"/>
            </w:tcBorders>
            <w:tcMar>
              <w:top w:w="100" w:type="dxa"/>
              <w:left w:w="80" w:type="dxa"/>
              <w:bottom w:w="100" w:type="dxa"/>
              <w:right w:w="80" w:type="dxa"/>
            </w:tcMar>
          </w:tcPr>
          <w:p w:rsidR="003B2FCD" w:rsidRPr="00E65A95" w:rsidRDefault="00B56796" w:rsidP="00B90740">
            <w:pPr>
              <w:spacing w:line="276" w:lineRule="auto"/>
              <w:ind w:left="60"/>
              <w:jc w:val="center"/>
              <w:rPr>
                <w:rFonts w:ascii="Arial" w:eastAsia="Arial" w:hAnsi="Arial" w:cs="Arial"/>
                <w:b/>
                <w:sz w:val="18"/>
                <w:szCs w:val="18"/>
              </w:rPr>
            </w:pPr>
            <w:r w:rsidRPr="00E65A95">
              <w:rPr>
                <w:rFonts w:ascii="Arial" w:eastAsia="Arial" w:hAnsi="Arial" w:cs="Arial"/>
                <w:b/>
                <w:sz w:val="18"/>
                <w:szCs w:val="18"/>
              </w:rPr>
              <w:t>Cidade</w:t>
            </w:r>
          </w:p>
        </w:tc>
        <w:tc>
          <w:tcPr>
            <w:tcW w:w="850" w:type="dxa"/>
            <w:tcBorders>
              <w:top w:val="single" w:sz="8" w:space="0" w:color="000000"/>
              <w:left w:val="nil"/>
              <w:bottom w:val="single" w:sz="8" w:space="0" w:color="000000"/>
              <w:right w:val="nil"/>
            </w:tcBorders>
            <w:tcMar>
              <w:top w:w="100" w:type="dxa"/>
              <w:left w:w="80" w:type="dxa"/>
              <w:bottom w:w="100" w:type="dxa"/>
              <w:right w:w="80" w:type="dxa"/>
            </w:tcMar>
          </w:tcPr>
          <w:p w:rsidR="003B2FCD" w:rsidRPr="00E65A95" w:rsidRDefault="00B56796" w:rsidP="00B90740">
            <w:pPr>
              <w:spacing w:line="276" w:lineRule="auto"/>
              <w:ind w:left="60"/>
              <w:jc w:val="center"/>
              <w:rPr>
                <w:rFonts w:ascii="Arial" w:eastAsia="Arial" w:hAnsi="Arial" w:cs="Arial"/>
                <w:b/>
                <w:sz w:val="18"/>
                <w:szCs w:val="18"/>
              </w:rPr>
            </w:pPr>
            <w:r w:rsidRPr="00E65A95">
              <w:rPr>
                <w:rFonts w:ascii="Arial" w:eastAsia="Arial" w:hAnsi="Arial" w:cs="Arial"/>
                <w:b/>
                <w:sz w:val="18"/>
                <w:szCs w:val="18"/>
              </w:rPr>
              <w:t>Meso.</w:t>
            </w:r>
          </w:p>
        </w:tc>
      </w:tr>
      <w:tr w:rsidR="003B2FCD" w:rsidTr="00E65A95">
        <w:trPr>
          <w:trHeight w:val="454"/>
          <w:jc w:val="center"/>
        </w:trPr>
        <w:tc>
          <w:tcPr>
            <w:tcW w:w="1486" w:type="dxa"/>
            <w:tcBorders>
              <w:top w:val="nil"/>
              <w:left w:val="nil"/>
              <w:bottom w:val="nil"/>
              <w:right w:val="single" w:sz="8" w:space="0" w:color="000000"/>
            </w:tcBorders>
            <w:tcMar>
              <w:top w:w="100" w:type="dxa"/>
              <w:left w:w="80" w:type="dxa"/>
              <w:bottom w:w="100" w:type="dxa"/>
              <w:right w:w="80" w:type="dxa"/>
            </w:tcMar>
          </w:tcPr>
          <w:p w:rsidR="003B2FCD" w:rsidRPr="00E65A95" w:rsidRDefault="00B56796">
            <w:pPr>
              <w:spacing w:line="276" w:lineRule="auto"/>
              <w:ind w:left="60"/>
              <w:jc w:val="both"/>
              <w:rPr>
                <w:rFonts w:ascii="Arial" w:eastAsia="Arial" w:hAnsi="Arial" w:cs="Arial"/>
                <w:b/>
                <w:sz w:val="18"/>
                <w:szCs w:val="18"/>
              </w:rPr>
            </w:pPr>
            <w:r w:rsidRPr="00E65A95">
              <w:rPr>
                <w:rFonts w:ascii="Arial" w:eastAsia="Arial" w:hAnsi="Arial" w:cs="Arial"/>
                <w:b/>
                <w:sz w:val="18"/>
                <w:szCs w:val="18"/>
              </w:rPr>
              <w:t>Joinville/Norte</w:t>
            </w:r>
          </w:p>
        </w:tc>
        <w:tc>
          <w:tcPr>
            <w:tcW w:w="847"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3º</w:t>
            </w:r>
          </w:p>
        </w:tc>
        <w:tc>
          <w:tcPr>
            <w:tcW w:w="889"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0,748</w:t>
            </w:r>
          </w:p>
        </w:tc>
        <w:tc>
          <w:tcPr>
            <w:tcW w:w="851" w:type="dxa"/>
            <w:tcBorders>
              <w:top w:val="nil"/>
              <w:left w:val="nil"/>
              <w:bottom w:val="nil"/>
              <w:right w:val="single" w:sz="8" w:space="0" w:color="000000"/>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0,608</w:t>
            </w:r>
          </w:p>
        </w:tc>
        <w:tc>
          <w:tcPr>
            <w:tcW w:w="847"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6º</w:t>
            </w:r>
          </w:p>
        </w:tc>
        <w:tc>
          <w:tcPr>
            <w:tcW w:w="859"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0,745</w:t>
            </w:r>
          </w:p>
        </w:tc>
        <w:tc>
          <w:tcPr>
            <w:tcW w:w="831" w:type="dxa"/>
            <w:tcBorders>
              <w:top w:val="nil"/>
              <w:left w:val="nil"/>
              <w:bottom w:val="nil"/>
              <w:right w:val="single" w:sz="8" w:space="0" w:color="000000"/>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0,622</w:t>
            </w:r>
          </w:p>
        </w:tc>
        <w:tc>
          <w:tcPr>
            <w:tcW w:w="847"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2º</w:t>
            </w:r>
          </w:p>
        </w:tc>
        <w:tc>
          <w:tcPr>
            <w:tcW w:w="889"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0,768</w:t>
            </w:r>
          </w:p>
        </w:tc>
        <w:tc>
          <w:tcPr>
            <w:tcW w:w="850"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0,620</w:t>
            </w:r>
          </w:p>
        </w:tc>
      </w:tr>
      <w:tr w:rsidR="003B2FCD">
        <w:trPr>
          <w:trHeight w:val="480"/>
          <w:jc w:val="center"/>
        </w:trPr>
        <w:tc>
          <w:tcPr>
            <w:tcW w:w="1486" w:type="dxa"/>
            <w:tcBorders>
              <w:top w:val="nil"/>
              <w:left w:val="nil"/>
              <w:bottom w:val="nil"/>
              <w:right w:val="single" w:sz="8" w:space="0" w:color="000000"/>
            </w:tcBorders>
            <w:tcMar>
              <w:top w:w="100" w:type="dxa"/>
              <w:left w:w="80" w:type="dxa"/>
              <w:bottom w:w="100" w:type="dxa"/>
              <w:right w:w="80" w:type="dxa"/>
            </w:tcMar>
          </w:tcPr>
          <w:p w:rsidR="003B2FCD" w:rsidRPr="00E65A95" w:rsidRDefault="00B56796">
            <w:pPr>
              <w:spacing w:line="276" w:lineRule="auto"/>
              <w:ind w:left="60"/>
              <w:jc w:val="both"/>
              <w:rPr>
                <w:rFonts w:ascii="Arial" w:eastAsia="Arial" w:hAnsi="Arial" w:cs="Arial"/>
                <w:b/>
                <w:sz w:val="18"/>
                <w:szCs w:val="18"/>
              </w:rPr>
            </w:pPr>
            <w:r w:rsidRPr="00E65A95">
              <w:rPr>
                <w:rFonts w:ascii="Arial" w:eastAsia="Arial" w:hAnsi="Arial" w:cs="Arial"/>
                <w:b/>
                <w:sz w:val="18"/>
                <w:szCs w:val="18"/>
              </w:rPr>
              <w:t>Blumenau/ Vale do Itajaí</w:t>
            </w:r>
          </w:p>
        </w:tc>
        <w:tc>
          <w:tcPr>
            <w:tcW w:w="847"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4º</w:t>
            </w:r>
          </w:p>
        </w:tc>
        <w:tc>
          <w:tcPr>
            <w:tcW w:w="889"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0,747</w:t>
            </w:r>
          </w:p>
        </w:tc>
        <w:tc>
          <w:tcPr>
            <w:tcW w:w="851" w:type="dxa"/>
            <w:tcBorders>
              <w:top w:val="nil"/>
              <w:left w:val="nil"/>
              <w:bottom w:val="nil"/>
              <w:right w:val="single" w:sz="8" w:space="0" w:color="000000"/>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0,623</w:t>
            </w:r>
          </w:p>
        </w:tc>
        <w:tc>
          <w:tcPr>
            <w:tcW w:w="847"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2º</w:t>
            </w:r>
          </w:p>
        </w:tc>
        <w:tc>
          <w:tcPr>
            <w:tcW w:w="859"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0,767</w:t>
            </w:r>
          </w:p>
        </w:tc>
        <w:tc>
          <w:tcPr>
            <w:tcW w:w="831" w:type="dxa"/>
            <w:tcBorders>
              <w:top w:val="nil"/>
              <w:left w:val="nil"/>
              <w:bottom w:val="nil"/>
              <w:right w:val="single" w:sz="8" w:space="0" w:color="000000"/>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0,647</w:t>
            </w:r>
          </w:p>
        </w:tc>
        <w:tc>
          <w:tcPr>
            <w:tcW w:w="847"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6º</w:t>
            </w:r>
          </w:p>
        </w:tc>
        <w:tc>
          <w:tcPr>
            <w:tcW w:w="889"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0,754</w:t>
            </w:r>
          </w:p>
        </w:tc>
        <w:tc>
          <w:tcPr>
            <w:tcW w:w="850"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0,643</w:t>
            </w:r>
          </w:p>
        </w:tc>
      </w:tr>
      <w:tr w:rsidR="003B2FCD">
        <w:trPr>
          <w:trHeight w:val="300"/>
          <w:jc w:val="center"/>
        </w:trPr>
        <w:tc>
          <w:tcPr>
            <w:tcW w:w="1486" w:type="dxa"/>
            <w:tcBorders>
              <w:top w:val="nil"/>
              <w:left w:val="nil"/>
              <w:bottom w:val="nil"/>
              <w:right w:val="single" w:sz="8" w:space="0" w:color="000000"/>
            </w:tcBorders>
            <w:tcMar>
              <w:top w:w="100" w:type="dxa"/>
              <w:left w:w="80" w:type="dxa"/>
              <w:bottom w:w="100" w:type="dxa"/>
              <w:right w:w="80" w:type="dxa"/>
            </w:tcMar>
          </w:tcPr>
          <w:p w:rsidR="003B2FCD" w:rsidRPr="00E65A95" w:rsidRDefault="00B56796">
            <w:pPr>
              <w:spacing w:line="276" w:lineRule="auto"/>
              <w:ind w:left="60"/>
              <w:jc w:val="both"/>
              <w:rPr>
                <w:rFonts w:ascii="Arial" w:eastAsia="Arial" w:hAnsi="Arial" w:cs="Arial"/>
                <w:b/>
                <w:sz w:val="18"/>
                <w:szCs w:val="18"/>
              </w:rPr>
            </w:pPr>
            <w:r w:rsidRPr="00E65A95">
              <w:rPr>
                <w:rFonts w:ascii="Arial" w:eastAsia="Arial" w:hAnsi="Arial" w:cs="Arial"/>
                <w:b/>
                <w:sz w:val="18"/>
                <w:szCs w:val="18"/>
              </w:rPr>
              <w:t>Florianópolis/ Grande Flp.</w:t>
            </w:r>
          </w:p>
        </w:tc>
        <w:tc>
          <w:tcPr>
            <w:tcW w:w="847"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7º</w:t>
            </w:r>
          </w:p>
        </w:tc>
        <w:tc>
          <w:tcPr>
            <w:tcW w:w="889"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0,724</w:t>
            </w:r>
          </w:p>
        </w:tc>
        <w:tc>
          <w:tcPr>
            <w:tcW w:w="851" w:type="dxa"/>
            <w:tcBorders>
              <w:top w:val="nil"/>
              <w:left w:val="nil"/>
              <w:bottom w:val="nil"/>
              <w:right w:val="single" w:sz="8" w:space="0" w:color="000000"/>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0,599</w:t>
            </w:r>
          </w:p>
        </w:tc>
        <w:tc>
          <w:tcPr>
            <w:tcW w:w="847"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12º</w:t>
            </w:r>
          </w:p>
        </w:tc>
        <w:tc>
          <w:tcPr>
            <w:tcW w:w="859"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0,721</w:t>
            </w:r>
          </w:p>
        </w:tc>
        <w:tc>
          <w:tcPr>
            <w:tcW w:w="831" w:type="dxa"/>
            <w:tcBorders>
              <w:top w:val="nil"/>
              <w:left w:val="nil"/>
              <w:bottom w:val="nil"/>
              <w:right w:val="single" w:sz="8" w:space="0" w:color="000000"/>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0,624</w:t>
            </w:r>
          </w:p>
        </w:tc>
        <w:tc>
          <w:tcPr>
            <w:tcW w:w="847"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14º</w:t>
            </w:r>
          </w:p>
        </w:tc>
        <w:tc>
          <w:tcPr>
            <w:tcW w:w="889"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0,717</w:t>
            </w:r>
          </w:p>
        </w:tc>
        <w:tc>
          <w:tcPr>
            <w:tcW w:w="850"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0,615</w:t>
            </w:r>
          </w:p>
        </w:tc>
      </w:tr>
      <w:tr w:rsidR="003B2FCD">
        <w:trPr>
          <w:trHeight w:val="300"/>
          <w:jc w:val="center"/>
        </w:trPr>
        <w:tc>
          <w:tcPr>
            <w:tcW w:w="1486" w:type="dxa"/>
            <w:tcBorders>
              <w:top w:val="nil"/>
              <w:left w:val="nil"/>
              <w:bottom w:val="nil"/>
              <w:right w:val="single" w:sz="8" w:space="0" w:color="000000"/>
            </w:tcBorders>
            <w:tcMar>
              <w:top w:w="100" w:type="dxa"/>
              <w:left w:w="80" w:type="dxa"/>
              <w:bottom w:w="100" w:type="dxa"/>
              <w:right w:w="80" w:type="dxa"/>
            </w:tcMar>
          </w:tcPr>
          <w:p w:rsidR="003B2FCD" w:rsidRPr="00E65A95" w:rsidRDefault="00B56796">
            <w:pPr>
              <w:spacing w:line="276" w:lineRule="auto"/>
              <w:ind w:left="60"/>
              <w:jc w:val="both"/>
              <w:rPr>
                <w:rFonts w:ascii="Arial" w:eastAsia="Arial" w:hAnsi="Arial" w:cs="Arial"/>
                <w:b/>
                <w:sz w:val="18"/>
                <w:szCs w:val="18"/>
              </w:rPr>
            </w:pPr>
            <w:r w:rsidRPr="00E65A95">
              <w:rPr>
                <w:rFonts w:ascii="Arial" w:eastAsia="Arial" w:hAnsi="Arial" w:cs="Arial"/>
                <w:b/>
                <w:sz w:val="18"/>
                <w:szCs w:val="18"/>
              </w:rPr>
              <w:t>Lages/ Serrana</w:t>
            </w:r>
          </w:p>
        </w:tc>
        <w:tc>
          <w:tcPr>
            <w:tcW w:w="847"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27º</w:t>
            </w:r>
          </w:p>
        </w:tc>
        <w:tc>
          <w:tcPr>
            <w:tcW w:w="889"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0,673</w:t>
            </w:r>
          </w:p>
        </w:tc>
        <w:tc>
          <w:tcPr>
            <w:tcW w:w="851" w:type="dxa"/>
            <w:tcBorders>
              <w:top w:val="nil"/>
              <w:left w:val="nil"/>
              <w:bottom w:val="nil"/>
              <w:right w:val="single" w:sz="8" w:space="0" w:color="000000"/>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0,550</w:t>
            </w:r>
          </w:p>
        </w:tc>
        <w:tc>
          <w:tcPr>
            <w:tcW w:w="847"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80º</w:t>
            </w:r>
          </w:p>
        </w:tc>
        <w:tc>
          <w:tcPr>
            <w:tcW w:w="859"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0,652</w:t>
            </w:r>
          </w:p>
        </w:tc>
        <w:tc>
          <w:tcPr>
            <w:tcW w:w="831" w:type="dxa"/>
            <w:tcBorders>
              <w:top w:val="nil"/>
              <w:left w:val="nil"/>
              <w:bottom w:val="nil"/>
              <w:right w:val="single" w:sz="8" w:space="0" w:color="000000"/>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0,580</w:t>
            </w:r>
          </w:p>
        </w:tc>
        <w:tc>
          <w:tcPr>
            <w:tcW w:w="847"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73º</w:t>
            </w:r>
          </w:p>
        </w:tc>
        <w:tc>
          <w:tcPr>
            <w:tcW w:w="889"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0,651</w:t>
            </w:r>
          </w:p>
        </w:tc>
        <w:tc>
          <w:tcPr>
            <w:tcW w:w="850"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0,582</w:t>
            </w:r>
          </w:p>
        </w:tc>
      </w:tr>
      <w:tr w:rsidR="003B2FCD">
        <w:trPr>
          <w:trHeight w:val="300"/>
          <w:jc w:val="center"/>
        </w:trPr>
        <w:tc>
          <w:tcPr>
            <w:tcW w:w="1486" w:type="dxa"/>
            <w:tcBorders>
              <w:top w:val="nil"/>
              <w:left w:val="nil"/>
              <w:bottom w:val="nil"/>
              <w:right w:val="single" w:sz="8" w:space="0" w:color="000000"/>
            </w:tcBorders>
            <w:tcMar>
              <w:top w:w="100" w:type="dxa"/>
              <w:left w:w="80" w:type="dxa"/>
              <w:bottom w:w="100" w:type="dxa"/>
              <w:right w:w="80" w:type="dxa"/>
            </w:tcMar>
          </w:tcPr>
          <w:p w:rsidR="003B2FCD" w:rsidRPr="00E65A95" w:rsidRDefault="00B56796">
            <w:pPr>
              <w:spacing w:line="276" w:lineRule="auto"/>
              <w:ind w:left="60"/>
              <w:jc w:val="both"/>
              <w:rPr>
                <w:rFonts w:ascii="Arial" w:eastAsia="Arial" w:hAnsi="Arial" w:cs="Arial"/>
                <w:b/>
                <w:sz w:val="18"/>
                <w:szCs w:val="18"/>
              </w:rPr>
            </w:pPr>
            <w:r w:rsidRPr="00E65A95">
              <w:rPr>
                <w:rFonts w:ascii="Arial" w:eastAsia="Arial" w:hAnsi="Arial" w:cs="Arial"/>
                <w:b/>
                <w:sz w:val="18"/>
                <w:szCs w:val="18"/>
              </w:rPr>
              <w:t>Chapecó/ Oeste</w:t>
            </w:r>
          </w:p>
        </w:tc>
        <w:tc>
          <w:tcPr>
            <w:tcW w:w="847"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43º</w:t>
            </w:r>
          </w:p>
        </w:tc>
        <w:tc>
          <w:tcPr>
            <w:tcW w:w="889"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0,651</w:t>
            </w:r>
          </w:p>
        </w:tc>
        <w:tc>
          <w:tcPr>
            <w:tcW w:w="851" w:type="dxa"/>
            <w:tcBorders>
              <w:top w:val="nil"/>
              <w:left w:val="nil"/>
              <w:bottom w:val="nil"/>
              <w:right w:val="single" w:sz="8" w:space="0" w:color="000000"/>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0,566</w:t>
            </w:r>
          </w:p>
        </w:tc>
        <w:tc>
          <w:tcPr>
            <w:tcW w:w="847"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121º</w:t>
            </w:r>
          </w:p>
        </w:tc>
        <w:tc>
          <w:tcPr>
            <w:tcW w:w="859"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0,628</w:t>
            </w:r>
          </w:p>
        </w:tc>
        <w:tc>
          <w:tcPr>
            <w:tcW w:w="831" w:type="dxa"/>
            <w:tcBorders>
              <w:top w:val="nil"/>
              <w:left w:val="nil"/>
              <w:bottom w:val="nil"/>
              <w:right w:val="single" w:sz="8" w:space="0" w:color="000000"/>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0,595</w:t>
            </w:r>
          </w:p>
        </w:tc>
        <w:tc>
          <w:tcPr>
            <w:tcW w:w="847"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21º</w:t>
            </w:r>
          </w:p>
        </w:tc>
        <w:tc>
          <w:tcPr>
            <w:tcW w:w="889"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0,701</w:t>
            </w:r>
          </w:p>
        </w:tc>
        <w:tc>
          <w:tcPr>
            <w:tcW w:w="850" w:type="dxa"/>
            <w:tcBorders>
              <w:top w:val="nil"/>
              <w:left w:val="nil"/>
              <w:bottom w:val="nil"/>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0,593</w:t>
            </w:r>
          </w:p>
        </w:tc>
      </w:tr>
      <w:tr w:rsidR="003B2FCD" w:rsidTr="00E65A95">
        <w:trPr>
          <w:trHeight w:val="277"/>
          <w:jc w:val="center"/>
        </w:trPr>
        <w:tc>
          <w:tcPr>
            <w:tcW w:w="1486" w:type="dxa"/>
            <w:tcBorders>
              <w:top w:val="nil"/>
              <w:left w:val="nil"/>
              <w:bottom w:val="single" w:sz="8" w:space="0" w:color="000000"/>
              <w:right w:val="single" w:sz="8" w:space="0" w:color="000000"/>
            </w:tcBorders>
            <w:tcMar>
              <w:top w:w="100" w:type="dxa"/>
              <w:left w:w="80" w:type="dxa"/>
              <w:bottom w:w="100" w:type="dxa"/>
              <w:right w:w="80" w:type="dxa"/>
            </w:tcMar>
          </w:tcPr>
          <w:p w:rsidR="003B2FCD" w:rsidRPr="00E65A95" w:rsidRDefault="00B56796">
            <w:pPr>
              <w:spacing w:line="276" w:lineRule="auto"/>
              <w:ind w:left="60"/>
              <w:jc w:val="both"/>
              <w:rPr>
                <w:rFonts w:ascii="Arial" w:eastAsia="Arial" w:hAnsi="Arial" w:cs="Arial"/>
                <w:b/>
                <w:sz w:val="18"/>
                <w:szCs w:val="18"/>
              </w:rPr>
            </w:pPr>
            <w:r w:rsidRPr="00E65A95">
              <w:rPr>
                <w:rFonts w:ascii="Arial" w:eastAsia="Arial" w:hAnsi="Arial" w:cs="Arial"/>
                <w:b/>
                <w:sz w:val="18"/>
                <w:szCs w:val="18"/>
              </w:rPr>
              <w:t>Criciúma/Sul</w:t>
            </w:r>
          </w:p>
        </w:tc>
        <w:tc>
          <w:tcPr>
            <w:tcW w:w="847" w:type="dxa"/>
            <w:tcBorders>
              <w:top w:val="nil"/>
              <w:left w:val="nil"/>
              <w:bottom w:val="single" w:sz="8" w:space="0" w:color="000000"/>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49º</w:t>
            </w:r>
          </w:p>
        </w:tc>
        <w:tc>
          <w:tcPr>
            <w:tcW w:w="889" w:type="dxa"/>
            <w:tcBorders>
              <w:top w:val="nil"/>
              <w:left w:val="nil"/>
              <w:bottom w:val="single" w:sz="8" w:space="0" w:color="000000"/>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0,647</w:t>
            </w:r>
          </w:p>
        </w:tc>
        <w:tc>
          <w:tcPr>
            <w:tcW w:w="851" w:type="dxa"/>
            <w:tcBorders>
              <w:top w:val="nil"/>
              <w:left w:val="nil"/>
              <w:bottom w:val="single" w:sz="8" w:space="0" w:color="000000"/>
              <w:right w:val="single" w:sz="8" w:space="0" w:color="000000"/>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0,573</w:t>
            </w:r>
          </w:p>
        </w:tc>
        <w:tc>
          <w:tcPr>
            <w:tcW w:w="847" w:type="dxa"/>
            <w:tcBorders>
              <w:top w:val="nil"/>
              <w:left w:val="nil"/>
              <w:bottom w:val="single" w:sz="8" w:space="0" w:color="000000"/>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45º</w:t>
            </w:r>
          </w:p>
        </w:tc>
        <w:tc>
          <w:tcPr>
            <w:tcW w:w="859" w:type="dxa"/>
            <w:tcBorders>
              <w:top w:val="nil"/>
              <w:left w:val="nil"/>
              <w:bottom w:val="single" w:sz="8" w:space="0" w:color="000000"/>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0,672</w:t>
            </w:r>
          </w:p>
        </w:tc>
        <w:tc>
          <w:tcPr>
            <w:tcW w:w="831" w:type="dxa"/>
            <w:tcBorders>
              <w:top w:val="nil"/>
              <w:left w:val="nil"/>
              <w:bottom w:val="single" w:sz="8" w:space="0" w:color="000000"/>
              <w:right w:val="single" w:sz="8" w:space="0" w:color="000000"/>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0,605</w:t>
            </w:r>
          </w:p>
        </w:tc>
        <w:tc>
          <w:tcPr>
            <w:tcW w:w="847" w:type="dxa"/>
            <w:tcBorders>
              <w:top w:val="nil"/>
              <w:left w:val="nil"/>
              <w:bottom w:val="single" w:sz="8" w:space="0" w:color="000000"/>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60º</w:t>
            </w:r>
          </w:p>
        </w:tc>
        <w:tc>
          <w:tcPr>
            <w:tcW w:w="889" w:type="dxa"/>
            <w:tcBorders>
              <w:top w:val="nil"/>
              <w:left w:val="nil"/>
              <w:bottom w:val="single" w:sz="8" w:space="0" w:color="000000"/>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0,657</w:t>
            </w:r>
          </w:p>
        </w:tc>
        <w:tc>
          <w:tcPr>
            <w:tcW w:w="850" w:type="dxa"/>
            <w:tcBorders>
              <w:top w:val="nil"/>
              <w:left w:val="nil"/>
              <w:bottom w:val="single" w:sz="8" w:space="0" w:color="000000"/>
              <w:right w:val="nil"/>
            </w:tcBorders>
            <w:tcMar>
              <w:top w:w="100" w:type="dxa"/>
              <w:left w:w="80" w:type="dxa"/>
              <w:bottom w:w="100" w:type="dxa"/>
              <w:right w:w="80" w:type="dxa"/>
            </w:tcMar>
          </w:tcPr>
          <w:p w:rsidR="003B2FCD" w:rsidRDefault="00B56796" w:rsidP="00B90740">
            <w:pPr>
              <w:spacing w:line="276" w:lineRule="auto"/>
              <w:ind w:left="60"/>
              <w:jc w:val="center"/>
              <w:rPr>
                <w:rFonts w:ascii="Arial" w:eastAsia="Arial" w:hAnsi="Arial" w:cs="Arial"/>
              </w:rPr>
            </w:pPr>
            <w:r>
              <w:rPr>
                <w:rFonts w:ascii="Arial" w:eastAsia="Arial" w:hAnsi="Arial" w:cs="Arial"/>
              </w:rPr>
              <w:t>0,610</w:t>
            </w:r>
          </w:p>
        </w:tc>
      </w:tr>
    </w:tbl>
    <w:p w:rsidR="003B2FCD" w:rsidRDefault="00B56796">
      <w:pPr>
        <w:rPr>
          <w:rFonts w:ascii="Arial" w:eastAsia="Arial" w:hAnsi="Arial" w:cs="Arial"/>
        </w:rPr>
      </w:pPr>
      <w:r>
        <w:rPr>
          <w:rFonts w:ascii="Arial" w:eastAsia="Arial" w:hAnsi="Arial" w:cs="Arial"/>
        </w:rPr>
        <w:t>Fonte: Adaptada de Fecam (2016).</w:t>
      </w:r>
    </w:p>
    <w:p w:rsidR="003B2FCD" w:rsidRDefault="003B2FCD">
      <w:pPr>
        <w:pBdr>
          <w:top w:val="nil"/>
          <w:left w:val="nil"/>
          <w:bottom w:val="nil"/>
          <w:right w:val="nil"/>
          <w:between w:val="nil"/>
        </w:pBdr>
        <w:spacing w:line="360" w:lineRule="auto"/>
        <w:ind w:firstLine="720"/>
        <w:jc w:val="both"/>
        <w:rPr>
          <w:rFonts w:ascii="Arial" w:eastAsia="Arial" w:hAnsi="Arial" w:cs="Arial"/>
        </w:rPr>
      </w:pP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Pode-se verificar na Tabela 1 que no ano de 2012 os principais destaques das cidades estudadas são Joinville, Blumenau e Florianópolis, com as 3ª, 4ª e 7ª posições, respectivamente. Na sequência, Lages com a 27ª colocação e, por fim, não muito equidistantes, as cidades de Chapecó na 43ª, e Criciúma na 49º. Analisando os índices dos municípios, suas mesorregiões e os valores apresentados no Quadro 2, percebe-se que todos estão na faixa de classificação ‘Médio’, enquanto todas as mesorregiões ficam na faixa ‘Médio Baixo’.</w:t>
      </w: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No que tange ao índice referente a 2014, destaca-se novamente Blumenau, ganhando duas posições e ficando na 2ª colocação. Joinville e Florianópolis, por mais que tenham caído um pouco, também se mantiveram bem colocadas, em 6º e 12º lugares, respectivamente. Já Criciúma, houve uma evolução, ganhando quatro posições. Os demais municípios, Lages e Chapecó, caíram suas posições, indo para a 80ª e 121ª. Quanto às faixas, de acordo com o Quadro 2, destaca-se positivamente o município de Blumenau com classificação ‘Médio Alto’, sendo que os demais estão na faixa ‘Médio’. Nas mesorregiões, também impulsionada pelo seu maior município, o Vale do Itajaí está na faixa ‘Médio’, enquanto as demais estão na ‘Médio Baixo’.</w:t>
      </w: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 xml:space="preserve">Nos dados referentes ao ano de 2016, a cidade que obteve maior melhoria em termos de classificação foi Chapecó, ganhando 100 posições, colocando-se em 21ª. Outra bem colocada foi a cidade de Joinville, invertendo as posições de 2014 com Blumenau, passando de 6º para 2º. As demais, Florianópolis, Criciúma e Lages, variaram as classificações, passando para 14ª, 60ª e 73ª posições. Comparando os valores com o Quadro 2, destacam-se Blumenau e Joinville, ficando na faixa ‘Médio Alto’, e os demais na faixa ‘Médio’. As mesorregiões Vale do Itajaí e Norte não acompanharam suas principais cidades, alcançando a faixa ‘Médio’. O mesmo acontece com as demais mesorregiões. </w:t>
      </w: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 xml:space="preserve">Na Tabela 2 </w:t>
      </w:r>
      <w:r w:rsidR="00B90740">
        <w:rPr>
          <w:rFonts w:ascii="Arial" w:eastAsia="Arial" w:hAnsi="Arial" w:cs="Arial"/>
          <w:sz w:val="24"/>
          <w:szCs w:val="24"/>
        </w:rPr>
        <w:t xml:space="preserve">são apresentados </w:t>
      </w:r>
      <w:r>
        <w:rPr>
          <w:rFonts w:ascii="Arial" w:eastAsia="Arial" w:hAnsi="Arial" w:cs="Arial"/>
          <w:sz w:val="24"/>
          <w:szCs w:val="24"/>
        </w:rPr>
        <w:t>os dados do IDMS dos seis municípios no ano de 2012.</w:t>
      </w:r>
    </w:p>
    <w:p w:rsidR="003B2FCD" w:rsidRDefault="003B2FCD">
      <w:pPr>
        <w:pBdr>
          <w:top w:val="nil"/>
          <w:left w:val="nil"/>
          <w:bottom w:val="nil"/>
          <w:right w:val="nil"/>
          <w:between w:val="nil"/>
        </w:pBdr>
        <w:jc w:val="both"/>
        <w:rPr>
          <w:rFonts w:ascii="Arial" w:eastAsia="Arial" w:hAnsi="Arial" w:cs="Arial"/>
          <w:sz w:val="24"/>
          <w:szCs w:val="24"/>
        </w:rPr>
      </w:pPr>
    </w:p>
    <w:p w:rsidR="003B2FCD" w:rsidRDefault="00B56796">
      <w:pPr>
        <w:pBdr>
          <w:top w:val="nil"/>
          <w:left w:val="nil"/>
          <w:bottom w:val="nil"/>
          <w:right w:val="nil"/>
          <w:between w:val="nil"/>
        </w:pBdr>
        <w:jc w:val="center"/>
        <w:rPr>
          <w:rFonts w:ascii="Arial" w:eastAsia="Arial" w:hAnsi="Arial" w:cs="Arial"/>
        </w:rPr>
      </w:pPr>
      <w:r>
        <w:rPr>
          <w:rFonts w:ascii="Arial" w:eastAsia="Arial" w:hAnsi="Arial" w:cs="Arial"/>
        </w:rPr>
        <w:t>Tabela 2 - IDMS - ano 2012 - índice geral e subíndices</w:t>
      </w:r>
    </w:p>
    <w:tbl>
      <w:tblPr>
        <w:tblStyle w:val="a3"/>
        <w:tblW w:w="895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351"/>
        <w:gridCol w:w="1126"/>
        <w:gridCol w:w="1126"/>
        <w:gridCol w:w="1126"/>
        <w:gridCol w:w="1245"/>
        <w:gridCol w:w="1005"/>
        <w:gridCol w:w="980"/>
      </w:tblGrid>
      <w:tr w:rsidR="003B2FCD">
        <w:trPr>
          <w:trHeight w:val="280"/>
          <w:jc w:val="center"/>
        </w:trPr>
        <w:tc>
          <w:tcPr>
            <w:tcW w:w="2351" w:type="dxa"/>
            <w:tcBorders>
              <w:top w:val="single" w:sz="6" w:space="0" w:color="000000"/>
              <w:left w:val="nil"/>
              <w:bottom w:val="single" w:sz="4" w:space="0" w:color="000000"/>
              <w:right w:val="nil"/>
            </w:tcBorders>
            <w:shd w:val="clear" w:color="auto" w:fill="FFFFFF"/>
            <w:tcMar>
              <w:top w:w="40" w:type="dxa"/>
              <w:left w:w="40" w:type="dxa"/>
              <w:bottom w:w="40" w:type="dxa"/>
              <w:right w:w="40" w:type="dxa"/>
            </w:tcMar>
            <w:vAlign w:val="center"/>
          </w:tcPr>
          <w:p w:rsidR="003B2FCD" w:rsidRDefault="003B2FCD">
            <w:pPr>
              <w:widowControl w:val="0"/>
              <w:jc w:val="center"/>
              <w:rPr>
                <w:rFonts w:ascii="Arial" w:eastAsia="Arial" w:hAnsi="Arial" w:cs="Arial"/>
              </w:rPr>
            </w:pPr>
          </w:p>
        </w:tc>
        <w:tc>
          <w:tcPr>
            <w:tcW w:w="1126" w:type="dxa"/>
            <w:tcBorders>
              <w:top w:val="single" w:sz="6" w:space="0" w:color="000000"/>
              <w:left w:val="nil"/>
              <w:bottom w:val="single" w:sz="4"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Blumenau</w:t>
            </w:r>
          </w:p>
        </w:tc>
        <w:tc>
          <w:tcPr>
            <w:tcW w:w="1126" w:type="dxa"/>
            <w:tcBorders>
              <w:top w:val="single" w:sz="6" w:space="0" w:color="000000"/>
              <w:left w:val="nil"/>
              <w:bottom w:val="single" w:sz="4"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Chapecó</w:t>
            </w:r>
          </w:p>
        </w:tc>
        <w:tc>
          <w:tcPr>
            <w:tcW w:w="1126" w:type="dxa"/>
            <w:tcBorders>
              <w:top w:val="single" w:sz="6" w:space="0" w:color="000000"/>
              <w:left w:val="nil"/>
              <w:bottom w:val="single" w:sz="4"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Criciúma</w:t>
            </w:r>
          </w:p>
        </w:tc>
        <w:tc>
          <w:tcPr>
            <w:tcW w:w="1245" w:type="dxa"/>
            <w:tcBorders>
              <w:top w:val="single" w:sz="6" w:space="0" w:color="000000"/>
              <w:left w:val="nil"/>
              <w:bottom w:val="single" w:sz="4"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Florianópolis</w:t>
            </w:r>
          </w:p>
        </w:tc>
        <w:tc>
          <w:tcPr>
            <w:tcW w:w="1005" w:type="dxa"/>
            <w:tcBorders>
              <w:top w:val="single" w:sz="6" w:space="0" w:color="000000"/>
              <w:left w:val="nil"/>
              <w:bottom w:val="single" w:sz="4"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Joinville</w:t>
            </w:r>
          </w:p>
        </w:tc>
        <w:tc>
          <w:tcPr>
            <w:tcW w:w="980" w:type="dxa"/>
            <w:tcBorders>
              <w:top w:val="single" w:sz="6" w:space="0" w:color="000000"/>
              <w:left w:val="nil"/>
              <w:bottom w:val="single" w:sz="4"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Lages</w:t>
            </w:r>
          </w:p>
        </w:tc>
      </w:tr>
      <w:tr w:rsidR="003B2FCD">
        <w:trPr>
          <w:trHeight w:val="280"/>
          <w:jc w:val="center"/>
        </w:trPr>
        <w:tc>
          <w:tcPr>
            <w:tcW w:w="2351" w:type="dxa"/>
            <w:tcBorders>
              <w:top w:val="single" w:sz="4"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rPr>
                <w:rFonts w:ascii="Arial" w:eastAsia="Arial" w:hAnsi="Arial" w:cs="Arial"/>
              </w:rPr>
            </w:pPr>
            <w:r>
              <w:rPr>
                <w:rFonts w:ascii="Arial" w:eastAsia="Arial" w:hAnsi="Arial" w:cs="Arial"/>
                <w:b/>
              </w:rPr>
              <w:t>Índice geral</w:t>
            </w:r>
          </w:p>
        </w:tc>
        <w:tc>
          <w:tcPr>
            <w:tcW w:w="1126" w:type="dxa"/>
            <w:tcBorders>
              <w:top w:val="single" w:sz="4"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b/>
              </w:rPr>
              <w:t>0,747</w:t>
            </w:r>
          </w:p>
        </w:tc>
        <w:tc>
          <w:tcPr>
            <w:tcW w:w="1126" w:type="dxa"/>
            <w:tcBorders>
              <w:top w:val="single" w:sz="4"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b/>
              </w:rPr>
              <w:t>0,651</w:t>
            </w:r>
          </w:p>
        </w:tc>
        <w:tc>
          <w:tcPr>
            <w:tcW w:w="1126" w:type="dxa"/>
            <w:tcBorders>
              <w:top w:val="single" w:sz="4"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b/>
              </w:rPr>
              <w:t>0,647</w:t>
            </w:r>
          </w:p>
        </w:tc>
        <w:tc>
          <w:tcPr>
            <w:tcW w:w="1245" w:type="dxa"/>
            <w:tcBorders>
              <w:top w:val="single" w:sz="4"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b/>
              </w:rPr>
              <w:t>0,724</w:t>
            </w:r>
          </w:p>
        </w:tc>
        <w:tc>
          <w:tcPr>
            <w:tcW w:w="1005" w:type="dxa"/>
            <w:tcBorders>
              <w:top w:val="single" w:sz="4"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b/>
              </w:rPr>
              <w:t>0,748</w:t>
            </w:r>
          </w:p>
        </w:tc>
        <w:tc>
          <w:tcPr>
            <w:tcW w:w="980" w:type="dxa"/>
            <w:tcBorders>
              <w:top w:val="single" w:sz="4"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b/>
              </w:rPr>
              <w:t>0,673</w:t>
            </w:r>
          </w:p>
        </w:tc>
      </w:tr>
      <w:tr w:rsidR="003B2FCD">
        <w:trPr>
          <w:trHeight w:val="280"/>
          <w:jc w:val="center"/>
        </w:trPr>
        <w:tc>
          <w:tcPr>
            <w:tcW w:w="2351"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ind w:left="105"/>
              <w:rPr>
                <w:rFonts w:ascii="Arial" w:eastAsia="Arial" w:hAnsi="Arial" w:cs="Arial"/>
              </w:rPr>
            </w:pPr>
            <w:r>
              <w:rPr>
                <w:rFonts w:ascii="Arial" w:eastAsia="Arial" w:hAnsi="Arial" w:cs="Arial"/>
              </w:rPr>
              <w:t>Sociocultural</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0,765</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0,768</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0,756</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0,755</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0,782</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0,754</w:t>
            </w:r>
          </w:p>
        </w:tc>
      </w:tr>
      <w:tr w:rsidR="003B2FCD">
        <w:trPr>
          <w:trHeight w:val="280"/>
          <w:jc w:val="center"/>
        </w:trPr>
        <w:tc>
          <w:tcPr>
            <w:tcW w:w="2351"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ind w:left="240"/>
              <w:rPr>
                <w:rFonts w:ascii="Arial" w:eastAsia="Arial" w:hAnsi="Arial" w:cs="Arial"/>
              </w:rPr>
            </w:pPr>
            <w:r>
              <w:rPr>
                <w:rFonts w:ascii="Arial" w:eastAsia="Arial" w:hAnsi="Arial" w:cs="Arial"/>
              </w:rPr>
              <w:t>Educação</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0,792</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0,830</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0,810</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0,782</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0,830</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0,737</w:t>
            </w:r>
          </w:p>
        </w:tc>
      </w:tr>
      <w:tr w:rsidR="003B2FCD">
        <w:trPr>
          <w:trHeight w:val="280"/>
          <w:jc w:val="center"/>
        </w:trPr>
        <w:tc>
          <w:tcPr>
            <w:tcW w:w="2351"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ind w:left="240"/>
              <w:rPr>
                <w:rFonts w:ascii="Arial" w:eastAsia="Arial" w:hAnsi="Arial" w:cs="Arial"/>
              </w:rPr>
            </w:pPr>
            <w:r>
              <w:rPr>
                <w:rFonts w:ascii="Arial" w:eastAsia="Arial" w:hAnsi="Arial" w:cs="Arial"/>
              </w:rPr>
              <w:t>Saúde</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0,723</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0,760</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0,729</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0,794</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0,658</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0,724</w:t>
            </w:r>
          </w:p>
        </w:tc>
      </w:tr>
      <w:tr w:rsidR="003B2FCD">
        <w:trPr>
          <w:trHeight w:val="280"/>
          <w:jc w:val="center"/>
        </w:trPr>
        <w:tc>
          <w:tcPr>
            <w:tcW w:w="2351"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ind w:left="240"/>
              <w:rPr>
                <w:rFonts w:ascii="Arial" w:eastAsia="Arial" w:hAnsi="Arial" w:cs="Arial"/>
              </w:rPr>
            </w:pPr>
            <w:r>
              <w:rPr>
                <w:rFonts w:ascii="Arial" w:eastAsia="Arial" w:hAnsi="Arial" w:cs="Arial"/>
              </w:rPr>
              <w:t>Cultura</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0,790</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0,712</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0,612</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0,713</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0,874</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0,792</w:t>
            </w:r>
          </w:p>
        </w:tc>
      </w:tr>
      <w:tr w:rsidR="003B2FCD">
        <w:trPr>
          <w:trHeight w:val="280"/>
          <w:jc w:val="center"/>
        </w:trPr>
        <w:tc>
          <w:tcPr>
            <w:tcW w:w="2351"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ind w:left="240"/>
              <w:rPr>
                <w:rFonts w:ascii="Arial" w:eastAsia="Arial" w:hAnsi="Arial" w:cs="Arial"/>
              </w:rPr>
            </w:pPr>
            <w:r>
              <w:rPr>
                <w:rFonts w:ascii="Arial" w:eastAsia="Arial" w:hAnsi="Arial" w:cs="Arial"/>
              </w:rPr>
              <w:t>Habitação</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0,765</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0,575</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0,747</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0,540</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0,911</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0,893</w:t>
            </w:r>
          </w:p>
        </w:tc>
      </w:tr>
      <w:tr w:rsidR="003B2FCD">
        <w:trPr>
          <w:trHeight w:val="280"/>
          <w:jc w:val="center"/>
        </w:trPr>
        <w:tc>
          <w:tcPr>
            <w:tcW w:w="2351"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ind w:left="105"/>
              <w:rPr>
                <w:rFonts w:ascii="Arial" w:eastAsia="Arial" w:hAnsi="Arial" w:cs="Arial"/>
              </w:rPr>
            </w:pPr>
            <w:r>
              <w:rPr>
                <w:rFonts w:ascii="Arial" w:eastAsia="Arial" w:hAnsi="Arial" w:cs="Arial"/>
              </w:rPr>
              <w:t>Econômica</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0,704</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0,638</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0,580</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0,729</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0,705</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0,524</w:t>
            </w:r>
          </w:p>
        </w:tc>
      </w:tr>
      <w:tr w:rsidR="003B2FCD">
        <w:trPr>
          <w:trHeight w:val="280"/>
          <w:jc w:val="center"/>
        </w:trPr>
        <w:tc>
          <w:tcPr>
            <w:tcW w:w="2351"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ind w:left="240"/>
              <w:rPr>
                <w:rFonts w:ascii="Arial" w:eastAsia="Arial" w:hAnsi="Arial" w:cs="Arial"/>
              </w:rPr>
            </w:pPr>
            <w:r>
              <w:rPr>
                <w:rFonts w:ascii="Arial" w:eastAsia="Arial" w:hAnsi="Arial" w:cs="Arial"/>
              </w:rPr>
              <w:t>Economia</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0,704</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0,638</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0,580</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0,729</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0,705</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0,524</w:t>
            </w:r>
          </w:p>
        </w:tc>
      </w:tr>
      <w:tr w:rsidR="003B2FCD">
        <w:trPr>
          <w:trHeight w:val="520"/>
          <w:jc w:val="center"/>
        </w:trPr>
        <w:tc>
          <w:tcPr>
            <w:tcW w:w="2351"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ind w:left="390"/>
              <w:rPr>
                <w:rFonts w:ascii="Arial" w:eastAsia="Arial" w:hAnsi="Arial" w:cs="Arial"/>
              </w:rPr>
            </w:pPr>
            <w:r>
              <w:rPr>
                <w:rFonts w:ascii="Arial" w:eastAsia="Arial" w:hAnsi="Arial" w:cs="Arial"/>
              </w:rPr>
              <w:t>Agregação de valor Econômico</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0,760</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0,656</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0,412</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0,624</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0,773</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0,440</w:t>
            </w:r>
          </w:p>
        </w:tc>
      </w:tr>
      <w:tr w:rsidR="003B2FCD">
        <w:trPr>
          <w:trHeight w:val="280"/>
          <w:jc w:val="center"/>
        </w:trPr>
        <w:tc>
          <w:tcPr>
            <w:tcW w:w="2351"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ind w:left="390"/>
              <w:rPr>
                <w:rFonts w:ascii="Arial" w:eastAsia="Arial" w:hAnsi="Arial" w:cs="Arial"/>
              </w:rPr>
            </w:pPr>
            <w:r>
              <w:rPr>
                <w:rFonts w:ascii="Arial" w:eastAsia="Arial" w:hAnsi="Arial" w:cs="Arial"/>
              </w:rPr>
              <w:t>Dinamismo econômico</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0,640</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0,636</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0,659</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0,640</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0,624</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0,623</w:t>
            </w:r>
          </w:p>
        </w:tc>
      </w:tr>
      <w:tr w:rsidR="003B2FCD">
        <w:trPr>
          <w:trHeight w:val="280"/>
          <w:jc w:val="center"/>
        </w:trPr>
        <w:tc>
          <w:tcPr>
            <w:tcW w:w="2351"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ind w:left="390"/>
              <w:rPr>
                <w:rFonts w:ascii="Arial" w:eastAsia="Arial" w:hAnsi="Arial" w:cs="Arial"/>
              </w:rPr>
            </w:pPr>
            <w:r>
              <w:rPr>
                <w:rFonts w:ascii="Arial" w:eastAsia="Arial" w:hAnsi="Arial" w:cs="Arial"/>
              </w:rPr>
              <w:t>Nível de renda</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0,713</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0,622</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0,668</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0,920</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0,717</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0,510</w:t>
            </w:r>
          </w:p>
        </w:tc>
      </w:tr>
      <w:tr w:rsidR="003B2FCD">
        <w:trPr>
          <w:trHeight w:val="280"/>
          <w:jc w:val="center"/>
        </w:trPr>
        <w:tc>
          <w:tcPr>
            <w:tcW w:w="2351"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ind w:left="105"/>
              <w:rPr>
                <w:rFonts w:ascii="Arial" w:eastAsia="Arial" w:hAnsi="Arial" w:cs="Arial"/>
              </w:rPr>
            </w:pPr>
            <w:r>
              <w:rPr>
                <w:rFonts w:ascii="Arial" w:eastAsia="Arial" w:hAnsi="Arial" w:cs="Arial"/>
              </w:rPr>
              <w:t>Ambiental</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0,889</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0,478</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0,624</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0,800</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0,862</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0,713</w:t>
            </w:r>
          </w:p>
        </w:tc>
      </w:tr>
      <w:tr w:rsidR="003B2FCD">
        <w:trPr>
          <w:trHeight w:val="280"/>
          <w:jc w:val="center"/>
        </w:trPr>
        <w:tc>
          <w:tcPr>
            <w:tcW w:w="2351"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ind w:left="240"/>
              <w:rPr>
                <w:rFonts w:ascii="Arial" w:eastAsia="Arial" w:hAnsi="Arial" w:cs="Arial"/>
              </w:rPr>
            </w:pPr>
            <w:r>
              <w:rPr>
                <w:rFonts w:ascii="Arial" w:eastAsia="Arial" w:hAnsi="Arial" w:cs="Arial"/>
              </w:rPr>
              <w:t>Meio ambiente</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0,889</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0,478</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0,624</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0,800</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0,862</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0,713</w:t>
            </w:r>
          </w:p>
        </w:tc>
      </w:tr>
      <w:tr w:rsidR="003B2FCD">
        <w:trPr>
          <w:trHeight w:val="560"/>
          <w:jc w:val="center"/>
        </w:trPr>
        <w:tc>
          <w:tcPr>
            <w:tcW w:w="2351"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ind w:left="390"/>
              <w:rPr>
                <w:rFonts w:ascii="Arial" w:eastAsia="Arial" w:hAnsi="Arial" w:cs="Arial"/>
              </w:rPr>
            </w:pPr>
            <w:r>
              <w:rPr>
                <w:rFonts w:ascii="Arial" w:eastAsia="Arial" w:hAnsi="Arial" w:cs="Arial"/>
              </w:rPr>
              <w:t>Cobertura de saneamento básico</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0,916</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0,659</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0,926</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0,899</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0,835</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0,888</w:t>
            </w:r>
          </w:p>
        </w:tc>
      </w:tr>
      <w:tr w:rsidR="003B2FCD">
        <w:trPr>
          <w:trHeight w:val="280"/>
          <w:jc w:val="center"/>
        </w:trPr>
        <w:tc>
          <w:tcPr>
            <w:tcW w:w="2351"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ind w:left="390"/>
              <w:rPr>
                <w:rFonts w:ascii="Arial" w:eastAsia="Arial" w:hAnsi="Arial" w:cs="Arial"/>
              </w:rPr>
            </w:pPr>
            <w:r>
              <w:rPr>
                <w:rFonts w:ascii="Arial" w:eastAsia="Arial" w:hAnsi="Arial" w:cs="Arial"/>
              </w:rPr>
              <w:t>Gestão ambiental</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0,750</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0,000</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0,500</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0,500</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0,750</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0,250</w:t>
            </w:r>
          </w:p>
        </w:tc>
      </w:tr>
      <w:tr w:rsidR="003B2FCD">
        <w:trPr>
          <w:trHeight w:val="460"/>
          <w:jc w:val="center"/>
        </w:trPr>
        <w:tc>
          <w:tcPr>
            <w:tcW w:w="2351"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ind w:left="390"/>
              <w:rPr>
                <w:rFonts w:ascii="Arial" w:eastAsia="Arial" w:hAnsi="Arial" w:cs="Arial"/>
              </w:rPr>
            </w:pPr>
            <w:r>
              <w:rPr>
                <w:rFonts w:ascii="Arial" w:eastAsia="Arial" w:hAnsi="Arial" w:cs="Arial"/>
              </w:rPr>
              <w:t>Preservação ambiental</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1,000</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0,776</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0,445</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1,000</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1,000</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1,000</w:t>
            </w:r>
          </w:p>
        </w:tc>
      </w:tr>
      <w:tr w:rsidR="003B2FCD">
        <w:trPr>
          <w:trHeight w:val="280"/>
          <w:jc w:val="center"/>
        </w:trPr>
        <w:tc>
          <w:tcPr>
            <w:tcW w:w="2351"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ind w:left="105"/>
              <w:rPr>
                <w:rFonts w:ascii="Arial" w:eastAsia="Arial" w:hAnsi="Arial" w:cs="Arial"/>
              </w:rPr>
            </w:pPr>
            <w:r>
              <w:rPr>
                <w:rFonts w:ascii="Arial" w:eastAsia="Arial" w:hAnsi="Arial" w:cs="Arial"/>
              </w:rPr>
              <w:t>Político-institucional</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0,630</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0,721</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0,628</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0,611</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0,643</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0,703</w:t>
            </w:r>
          </w:p>
        </w:tc>
      </w:tr>
      <w:tr w:rsidR="003B2FCD">
        <w:trPr>
          <w:trHeight w:val="280"/>
          <w:jc w:val="center"/>
        </w:trPr>
        <w:tc>
          <w:tcPr>
            <w:tcW w:w="2351"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ind w:left="240"/>
              <w:rPr>
                <w:rFonts w:ascii="Arial" w:eastAsia="Arial" w:hAnsi="Arial" w:cs="Arial"/>
              </w:rPr>
            </w:pPr>
            <w:r>
              <w:rPr>
                <w:rFonts w:ascii="Arial" w:eastAsia="Arial" w:hAnsi="Arial" w:cs="Arial"/>
              </w:rPr>
              <w:t>Finanças públicas</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0,715</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0,704</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0,684</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0,574</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0,578</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0,738</w:t>
            </w:r>
          </w:p>
        </w:tc>
      </w:tr>
      <w:tr w:rsidR="003B2FCD">
        <w:trPr>
          <w:trHeight w:val="280"/>
          <w:jc w:val="center"/>
        </w:trPr>
        <w:tc>
          <w:tcPr>
            <w:tcW w:w="2351"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ind w:left="240"/>
              <w:rPr>
                <w:rFonts w:ascii="Arial" w:eastAsia="Arial" w:hAnsi="Arial" w:cs="Arial"/>
              </w:rPr>
            </w:pPr>
            <w:r>
              <w:rPr>
                <w:rFonts w:ascii="Arial" w:eastAsia="Arial" w:hAnsi="Arial" w:cs="Arial"/>
              </w:rPr>
              <w:t>Gestão pública</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0,751</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0,949</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0,713</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0,951</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0,926</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0,934</w:t>
            </w:r>
          </w:p>
        </w:tc>
      </w:tr>
      <w:tr w:rsidR="003B2FCD">
        <w:trPr>
          <w:trHeight w:val="280"/>
          <w:jc w:val="center"/>
        </w:trPr>
        <w:tc>
          <w:tcPr>
            <w:tcW w:w="2351"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ind w:left="240"/>
              <w:rPr>
                <w:rFonts w:ascii="Arial" w:eastAsia="Arial" w:hAnsi="Arial" w:cs="Arial"/>
              </w:rPr>
            </w:pPr>
            <w:r>
              <w:rPr>
                <w:rFonts w:ascii="Arial" w:eastAsia="Arial" w:hAnsi="Arial" w:cs="Arial"/>
              </w:rPr>
              <w:t>Participação social</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0,394</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0,514</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0,467</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0,319</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0,446</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jc w:val="center"/>
              <w:rPr>
                <w:rFonts w:ascii="Arial" w:eastAsia="Arial" w:hAnsi="Arial" w:cs="Arial"/>
              </w:rPr>
            </w:pPr>
            <w:r>
              <w:rPr>
                <w:rFonts w:ascii="Arial" w:eastAsia="Arial" w:hAnsi="Arial" w:cs="Arial"/>
              </w:rPr>
              <w:t>0,425</w:t>
            </w:r>
          </w:p>
        </w:tc>
      </w:tr>
    </w:tbl>
    <w:p w:rsidR="003B2FCD" w:rsidRDefault="00B56796">
      <w:pPr>
        <w:rPr>
          <w:rFonts w:ascii="Arial" w:eastAsia="Arial" w:hAnsi="Arial" w:cs="Arial"/>
        </w:rPr>
      </w:pPr>
      <w:r>
        <w:rPr>
          <w:rFonts w:ascii="Arial" w:eastAsia="Arial" w:hAnsi="Arial" w:cs="Arial"/>
        </w:rPr>
        <w:t>Fonte: Elaborada pelos autores com base em Fecam (2016).</w:t>
      </w:r>
    </w:p>
    <w:p w:rsidR="003B2FCD" w:rsidRDefault="003B2FCD">
      <w:pPr>
        <w:pBdr>
          <w:top w:val="nil"/>
          <w:left w:val="nil"/>
          <w:bottom w:val="nil"/>
          <w:right w:val="nil"/>
          <w:between w:val="nil"/>
        </w:pBdr>
        <w:spacing w:line="360" w:lineRule="auto"/>
        <w:ind w:firstLine="720"/>
        <w:jc w:val="both"/>
        <w:rPr>
          <w:rFonts w:ascii="Arial" w:eastAsia="Arial" w:hAnsi="Arial" w:cs="Arial"/>
        </w:rPr>
      </w:pP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No ano de 2012</w:t>
      </w:r>
      <w:r w:rsidR="00B90740">
        <w:rPr>
          <w:rFonts w:ascii="Arial" w:eastAsia="Arial" w:hAnsi="Arial" w:cs="Arial"/>
          <w:sz w:val="24"/>
          <w:szCs w:val="24"/>
        </w:rPr>
        <w:t>,</w:t>
      </w:r>
      <w:r>
        <w:rPr>
          <w:rFonts w:ascii="Arial" w:eastAsia="Arial" w:hAnsi="Arial" w:cs="Arial"/>
          <w:sz w:val="24"/>
          <w:szCs w:val="24"/>
        </w:rPr>
        <w:t xml:space="preserve"> todos os municípios analisados tiveram o índice geral classificado dentro da faixa ‘Médio’, conforme Quadro 2, que compreende valores entre 0,625 e 0,750. A maior média geral deste ano foi de Joinville, chegando a 0,748, e a menor foi de Criciúma, alcançando 0,647. No município de Blumenau observa-se que o maior índice foi na dimensão ambiental, 0,889, com destaque para a preservação ambiental, onde obteve o índice ‘Alto’, atingindo o valor máximo da classificação de 1,000. Dentro desse dado é considerada a preservação de matas e florestas ambientais, de acordo com o Censo Agropecuário do IBGE (2006). O menor foi o da dimensão político-institucional, com 0,630, muito devido aos valores referentes à participação social com 0,394, visto que nesse valor </w:t>
      </w:r>
      <w:r w:rsidR="00B90740">
        <w:rPr>
          <w:rFonts w:ascii="Arial" w:eastAsia="Arial" w:hAnsi="Arial" w:cs="Arial"/>
          <w:sz w:val="24"/>
          <w:szCs w:val="24"/>
        </w:rPr>
        <w:t>consideram-se</w:t>
      </w:r>
      <w:r>
        <w:rPr>
          <w:rFonts w:ascii="Arial" w:eastAsia="Arial" w:hAnsi="Arial" w:cs="Arial"/>
          <w:sz w:val="24"/>
          <w:szCs w:val="24"/>
        </w:rPr>
        <w:t xml:space="preserve"> os dados do Trib</w:t>
      </w:r>
      <w:r w:rsidR="00B90740">
        <w:rPr>
          <w:rFonts w:ascii="Arial" w:eastAsia="Arial" w:hAnsi="Arial" w:cs="Arial"/>
          <w:sz w:val="24"/>
          <w:szCs w:val="24"/>
        </w:rPr>
        <w:t>unal Superior Eleitoral quanto à</w:t>
      </w:r>
      <w:r>
        <w:rPr>
          <w:rFonts w:ascii="Arial" w:eastAsia="Arial" w:hAnsi="Arial" w:cs="Arial"/>
          <w:sz w:val="24"/>
          <w:szCs w:val="24"/>
        </w:rPr>
        <w:t xml:space="preserve"> representatividade de gêneros entre candidatos a vereadores.</w:t>
      </w:r>
    </w:p>
    <w:p w:rsidR="00766D90"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 xml:space="preserve">Em Chapecó, o destaque foi o da dimensão sociocultural, 0,768, principalmente pelos valores da educação, que atingiu o índice ‘Médio Alto’ de 0,830. Nos dados, os valores são extraídos do Ministério da Educação, com base em alunos por turma nos anos iniciais e finais do ensino médio. O ponto com menor média neste ano foi na dimensão ambiental, 0,478, principalmente devido aos valores de gestão ambiental que não obteve pontuação, visto que, segundo dados do IBGE o município não atende a “agenda 21 local”, bem como o licenciamento do impacto local. </w:t>
      </w:r>
    </w:p>
    <w:p w:rsidR="00586A6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 xml:space="preserve">Na cidade de Criciúma, o destaque foi na dimensão sociocultural, 0,756, destacando-se a educação com índice ‘Médio Alto’ de 0,810. O que corrobora com esses valores são dados extraídos do IBGE, a média alta de média de alunos por turma e o baixo analfabetismo. O valor a ser melhorado foi na dimensão econômica, 0,580, com destaque para o índice ‘Baixo’ na agregação de valor econômico, 0,412. </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 xml:space="preserve">Para Florianópolis com o índice ‘Alto’, a dimensão ambiental, 0,800, foi destaque, em especial por sua preservação ambiental, que atingiu o valor máximo da classificação de 1,000, destacando-se a exemplo de Blumenau a preservação das áreas de matas e florestas naturais. O ponto que não ajudou </w:t>
      </w:r>
      <w:r w:rsidR="00460FD1">
        <w:rPr>
          <w:rFonts w:ascii="Arial" w:eastAsia="Arial" w:hAnsi="Arial" w:cs="Arial"/>
          <w:sz w:val="24"/>
          <w:szCs w:val="24"/>
        </w:rPr>
        <w:t>a elevar o valor geral</w:t>
      </w:r>
      <w:r>
        <w:rPr>
          <w:rFonts w:ascii="Arial" w:eastAsia="Arial" w:hAnsi="Arial" w:cs="Arial"/>
          <w:sz w:val="24"/>
          <w:szCs w:val="24"/>
        </w:rPr>
        <w:t xml:space="preserve"> foi </w:t>
      </w:r>
      <w:r w:rsidR="00460FD1">
        <w:rPr>
          <w:rFonts w:ascii="Arial" w:eastAsia="Arial" w:hAnsi="Arial" w:cs="Arial"/>
          <w:sz w:val="24"/>
          <w:szCs w:val="24"/>
        </w:rPr>
        <w:t>o da</w:t>
      </w:r>
      <w:r>
        <w:rPr>
          <w:rFonts w:ascii="Arial" w:eastAsia="Arial" w:hAnsi="Arial" w:cs="Arial"/>
          <w:sz w:val="24"/>
          <w:szCs w:val="24"/>
        </w:rPr>
        <w:t xml:space="preserve"> dimensão político-institucional</w:t>
      </w:r>
      <w:r w:rsidR="0006200D">
        <w:rPr>
          <w:rFonts w:ascii="Arial" w:eastAsia="Arial" w:hAnsi="Arial" w:cs="Arial"/>
          <w:sz w:val="24"/>
          <w:szCs w:val="24"/>
        </w:rPr>
        <w:t xml:space="preserve"> (</w:t>
      </w:r>
      <w:r>
        <w:rPr>
          <w:rFonts w:ascii="Arial" w:eastAsia="Arial" w:hAnsi="Arial" w:cs="Arial"/>
          <w:sz w:val="24"/>
          <w:szCs w:val="24"/>
        </w:rPr>
        <w:t>0,611</w:t>
      </w:r>
      <w:r w:rsidR="0006200D">
        <w:rPr>
          <w:rFonts w:ascii="Arial" w:eastAsia="Arial" w:hAnsi="Arial" w:cs="Arial"/>
          <w:sz w:val="24"/>
          <w:szCs w:val="24"/>
        </w:rPr>
        <w:t>)</w:t>
      </w:r>
      <w:r>
        <w:rPr>
          <w:rFonts w:ascii="Arial" w:eastAsia="Arial" w:hAnsi="Arial" w:cs="Arial"/>
          <w:sz w:val="24"/>
          <w:szCs w:val="24"/>
        </w:rPr>
        <w:t>, com destaque para o índice ‘Baixo’ na participação social, principalmente pela baixa representatividade de gêneros entre os candidatos a vereador, bem como em finanças públicas no baixo investimento público per capita.</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 xml:space="preserve">O município de Joinville obteve o maior índice geral do ano 2012. O ponto forte foi na dimensão ambiental, atingindo o valor de 0,862, com destaque para a preservação ambiental, índice ‘Alto’, que atingiu o valor máximo da classificação de 1,000, a exemplo de Blumenau e Florianópolis. O ponto que pode ser melhorado é a </w:t>
      </w:r>
      <w:r w:rsidR="0006200D">
        <w:rPr>
          <w:rFonts w:ascii="Arial" w:eastAsia="Arial" w:hAnsi="Arial" w:cs="Arial"/>
          <w:sz w:val="24"/>
          <w:szCs w:val="24"/>
        </w:rPr>
        <w:t>dimensão político-</w:t>
      </w:r>
      <w:r>
        <w:rPr>
          <w:rFonts w:ascii="Arial" w:eastAsia="Arial" w:hAnsi="Arial" w:cs="Arial"/>
          <w:sz w:val="24"/>
          <w:szCs w:val="24"/>
        </w:rPr>
        <w:t xml:space="preserve">institucional, em que o índice foi de 0,643, com destaque negativo para a participação social, índice ‘Baixo’ de </w:t>
      </w:r>
      <w:r w:rsidR="0006200D">
        <w:rPr>
          <w:rFonts w:ascii="Arial" w:eastAsia="Arial" w:hAnsi="Arial" w:cs="Arial"/>
          <w:sz w:val="24"/>
          <w:szCs w:val="24"/>
        </w:rPr>
        <w:t>0,446</w:t>
      </w:r>
      <w:r>
        <w:rPr>
          <w:rFonts w:ascii="Arial" w:eastAsia="Arial" w:hAnsi="Arial" w:cs="Arial"/>
          <w:sz w:val="24"/>
          <w:szCs w:val="24"/>
        </w:rPr>
        <w:t xml:space="preserve"> pelos mesmos motivos das cidades citadas nesse parágrafo.</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Em Lages, o ponto forte deste ano foi na dimensão ambiental, atingindo um índice de 0,713, com maiores valores obtidos na preservação ambiental, índice ‘Alto’, que atingiu o valor máximo da classificação de 1,000. O ponto com menores valores</w:t>
      </w:r>
      <w:r w:rsidR="0006200D">
        <w:rPr>
          <w:rFonts w:ascii="Arial" w:eastAsia="Arial" w:hAnsi="Arial" w:cs="Arial"/>
          <w:sz w:val="24"/>
          <w:szCs w:val="24"/>
        </w:rPr>
        <w:t xml:space="preserve"> foi</w:t>
      </w:r>
      <w:r>
        <w:rPr>
          <w:rFonts w:ascii="Arial" w:eastAsia="Arial" w:hAnsi="Arial" w:cs="Arial"/>
          <w:sz w:val="24"/>
          <w:szCs w:val="24"/>
        </w:rPr>
        <w:t xml:space="preserve"> na dimensão econômica, que atingiu o índice de 0,524, principalmente pelo valor do índice ‘Baixo’ na agregação de valor econômico, 0,440. Nesse item, os valores considerados baixos são os de ICMS e ISS per capita, crescimento do PIB, índice de Gini e baixa remuneração média dos trabalhadores. Os índices do ano de 2014 das cidades relacionadas neste estudo podem ser observados na Tabela 3. </w:t>
      </w:r>
    </w:p>
    <w:p w:rsidR="003B2FCD" w:rsidRDefault="003B2FCD">
      <w:pPr>
        <w:rPr>
          <w:rFonts w:ascii="Arial" w:eastAsia="Arial" w:hAnsi="Arial" w:cs="Arial"/>
          <w:sz w:val="24"/>
          <w:szCs w:val="24"/>
        </w:rPr>
      </w:pPr>
    </w:p>
    <w:p w:rsidR="003B2FCD" w:rsidRDefault="00B56796">
      <w:pPr>
        <w:jc w:val="center"/>
        <w:rPr>
          <w:rFonts w:ascii="Arial" w:eastAsia="Arial" w:hAnsi="Arial" w:cs="Arial"/>
        </w:rPr>
      </w:pPr>
      <w:r>
        <w:rPr>
          <w:rFonts w:ascii="Arial" w:eastAsia="Arial" w:hAnsi="Arial" w:cs="Arial"/>
        </w:rPr>
        <w:t>Tabela 3 - IDMS - ano 2014 - índice geral e subíndices</w:t>
      </w:r>
    </w:p>
    <w:tbl>
      <w:tblPr>
        <w:tblStyle w:val="a4"/>
        <w:tblW w:w="9012"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404"/>
        <w:gridCol w:w="1126"/>
        <w:gridCol w:w="1126"/>
        <w:gridCol w:w="1126"/>
        <w:gridCol w:w="1245"/>
        <w:gridCol w:w="1005"/>
        <w:gridCol w:w="980"/>
      </w:tblGrid>
      <w:tr w:rsidR="003B2FCD">
        <w:trPr>
          <w:trHeight w:val="280"/>
          <w:jc w:val="center"/>
        </w:trPr>
        <w:tc>
          <w:tcPr>
            <w:tcW w:w="2404" w:type="dxa"/>
            <w:tcBorders>
              <w:top w:val="single" w:sz="6" w:space="0" w:color="000000"/>
              <w:left w:val="nil"/>
              <w:bottom w:val="single" w:sz="4" w:space="0" w:color="000000"/>
              <w:right w:val="nil"/>
            </w:tcBorders>
            <w:shd w:val="clear" w:color="auto" w:fill="FFFFFF"/>
            <w:tcMar>
              <w:top w:w="40" w:type="dxa"/>
              <w:left w:w="40" w:type="dxa"/>
              <w:bottom w:w="40" w:type="dxa"/>
              <w:right w:w="40" w:type="dxa"/>
            </w:tcMar>
            <w:vAlign w:val="center"/>
          </w:tcPr>
          <w:p w:rsidR="003B2FCD" w:rsidRDefault="003B2FCD">
            <w:pPr>
              <w:widowControl w:val="0"/>
              <w:spacing w:line="276" w:lineRule="auto"/>
              <w:rPr>
                <w:rFonts w:ascii="Arial" w:eastAsia="Arial" w:hAnsi="Arial" w:cs="Arial"/>
              </w:rPr>
            </w:pPr>
          </w:p>
        </w:tc>
        <w:tc>
          <w:tcPr>
            <w:tcW w:w="1126" w:type="dxa"/>
            <w:tcBorders>
              <w:top w:val="single" w:sz="6" w:space="0" w:color="000000"/>
              <w:left w:val="nil"/>
              <w:bottom w:val="single" w:sz="4"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Blumenau</w:t>
            </w:r>
          </w:p>
        </w:tc>
        <w:tc>
          <w:tcPr>
            <w:tcW w:w="1126" w:type="dxa"/>
            <w:tcBorders>
              <w:top w:val="single" w:sz="6" w:space="0" w:color="000000"/>
              <w:left w:val="nil"/>
              <w:bottom w:val="single" w:sz="4"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Chapecó</w:t>
            </w:r>
          </w:p>
        </w:tc>
        <w:tc>
          <w:tcPr>
            <w:tcW w:w="1126" w:type="dxa"/>
            <w:tcBorders>
              <w:top w:val="single" w:sz="6" w:space="0" w:color="000000"/>
              <w:left w:val="nil"/>
              <w:bottom w:val="single" w:sz="4"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Criciúma</w:t>
            </w:r>
          </w:p>
        </w:tc>
        <w:tc>
          <w:tcPr>
            <w:tcW w:w="1245" w:type="dxa"/>
            <w:tcBorders>
              <w:top w:val="single" w:sz="6" w:space="0" w:color="000000"/>
              <w:left w:val="nil"/>
              <w:bottom w:val="single" w:sz="4"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Florianópolis</w:t>
            </w:r>
          </w:p>
        </w:tc>
        <w:tc>
          <w:tcPr>
            <w:tcW w:w="1005" w:type="dxa"/>
            <w:tcBorders>
              <w:top w:val="single" w:sz="6" w:space="0" w:color="000000"/>
              <w:left w:val="nil"/>
              <w:bottom w:val="single" w:sz="4"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Joinville</w:t>
            </w:r>
          </w:p>
        </w:tc>
        <w:tc>
          <w:tcPr>
            <w:tcW w:w="980" w:type="dxa"/>
            <w:tcBorders>
              <w:top w:val="single" w:sz="6" w:space="0" w:color="000000"/>
              <w:left w:val="nil"/>
              <w:bottom w:val="single" w:sz="4"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Lages</w:t>
            </w:r>
          </w:p>
        </w:tc>
      </w:tr>
      <w:tr w:rsidR="003B2FCD">
        <w:trPr>
          <w:trHeight w:val="280"/>
          <w:jc w:val="center"/>
        </w:trPr>
        <w:tc>
          <w:tcPr>
            <w:tcW w:w="2404" w:type="dxa"/>
            <w:tcBorders>
              <w:top w:val="single" w:sz="4"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E65A95">
            <w:pPr>
              <w:widowControl w:val="0"/>
              <w:spacing w:line="276" w:lineRule="auto"/>
              <w:rPr>
                <w:rFonts w:ascii="Arial" w:eastAsia="Arial" w:hAnsi="Arial" w:cs="Arial"/>
              </w:rPr>
            </w:pPr>
            <w:r>
              <w:rPr>
                <w:rFonts w:ascii="Arial" w:eastAsia="Arial" w:hAnsi="Arial" w:cs="Arial"/>
                <w:b/>
              </w:rPr>
              <w:t>Índice g</w:t>
            </w:r>
            <w:r w:rsidR="00B56796">
              <w:rPr>
                <w:rFonts w:ascii="Arial" w:eastAsia="Arial" w:hAnsi="Arial" w:cs="Arial"/>
                <w:b/>
              </w:rPr>
              <w:t>eral</w:t>
            </w:r>
          </w:p>
        </w:tc>
        <w:tc>
          <w:tcPr>
            <w:tcW w:w="1126" w:type="dxa"/>
            <w:tcBorders>
              <w:top w:val="single" w:sz="4"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b/>
              </w:rPr>
              <w:t>0,767</w:t>
            </w:r>
          </w:p>
        </w:tc>
        <w:tc>
          <w:tcPr>
            <w:tcW w:w="1126" w:type="dxa"/>
            <w:tcBorders>
              <w:top w:val="single" w:sz="4"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b/>
              </w:rPr>
              <w:t>0,628</w:t>
            </w:r>
          </w:p>
        </w:tc>
        <w:tc>
          <w:tcPr>
            <w:tcW w:w="1126" w:type="dxa"/>
            <w:tcBorders>
              <w:top w:val="single" w:sz="4"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b/>
              </w:rPr>
              <w:t>0,672</w:t>
            </w:r>
          </w:p>
        </w:tc>
        <w:tc>
          <w:tcPr>
            <w:tcW w:w="1245" w:type="dxa"/>
            <w:tcBorders>
              <w:top w:val="single" w:sz="4"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b/>
              </w:rPr>
              <w:t>0,721</w:t>
            </w:r>
          </w:p>
        </w:tc>
        <w:tc>
          <w:tcPr>
            <w:tcW w:w="1005" w:type="dxa"/>
            <w:tcBorders>
              <w:top w:val="single" w:sz="4"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b/>
              </w:rPr>
              <w:t>0,745</w:t>
            </w:r>
          </w:p>
        </w:tc>
        <w:tc>
          <w:tcPr>
            <w:tcW w:w="980" w:type="dxa"/>
            <w:tcBorders>
              <w:top w:val="single" w:sz="4"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b/>
              </w:rPr>
              <w:t>0,652</w:t>
            </w:r>
          </w:p>
        </w:tc>
      </w:tr>
      <w:tr w:rsidR="003B2FCD">
        <w:trPr>
          <w:trHeight w:val="280"/>
          <w:jc w:val="center"/>
        </w:trPr>
        <w:tc>
          <w:tcPr>
            <w:tcW w:w="2404"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105"/>
              <w:rPr>
                <w:rFonts w:ascii="Arial" w:eastAsia="Arial" w:hAnsi="Arial" w:cs="Arial"/>
              </w:rPr>
            </w:pPr>
            <w:r>
              <w:rPr>
                <w:rFonts w:ascii="Arial" w:eastAsia="Arial" w:hAnsi="Arial" w:cs="Arial"/>
              </w:rPr>
              <w:t>Sociocultural</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0,794</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0,750</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0,783</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0,797</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0,812</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0,747</w:t>
            </w:r>
          </w:p>
        </w:tc>
      </w:tr>
      <w:tr w:rsidR="003B2FCD">
        <w:trPr>
          <w:trHeight w:val="280"/>
          <w:jc w:val="center"/>
        </w:trPr>
        <w:tc>
          <w:tcPr>
            <w:tcW w:w="2404"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240"/>
              <w:rPr>
                <w:rFonts w:ascii="Arial" w:eastAsia="Arial" w:hAnsi="Arial" w:cs="Arial"/>
              </w:rPr>
            </w:pPr>
            <w:r>
              <w:rPr>
                <w:rFonts w:ascii="Arial" w:eastAsia="Arial" w:hAnsi="Arial" w:cs="Arial"/>
              </w:rPr>
              <w:t>Educação</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0,773</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0,788</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0,818</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0,775</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0,837</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0,716</w:t>
            </w:r>
          </w:p>
        </w:tc>
      </w:tr>
      <w:tr w:rsidR="003B2FCD">
        <w:trPr>
          <w:trHeight w:val="280"/>
          <w:jc w:val="center"/>
        </w:trPr>
        <w:tc>
          <w:tcPr>
            <w:tcW w:w="2404"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240"/>
              <w:rPr>
                <w:rFonts w:ascii="Arial" w:eastAsia="Arial" w:hAnsi="Arial" w:cs="Arial"/>
              </w:rPr>
            </w:pPr>
            <w:r>
              <w:rPr>
                <w:rFonts w:ascii="Arial" w:eastAsia="Arial" w:hAnsi="Arial" w:cs="Arial"/>
              </w:rPr>
              <w:t>Saúde</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0,771</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0,773</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0,740</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0,791</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0,742</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0,731</w:t>
            </w:r>
          </w:p>
        </w:tc>
      </w:tr>
      <w:tr w:rsidR="003B2FCD">
        <w:trPr>
          <w:trHeight w:val="280"/>
          <w:jc w:val="center"/>
        </w:trPr>
        <w:tc>
          <w:tcPr>
            <w:tcW w:w="2404"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240"/>
              <w:rPr>
                <w:rFonts w:ascii="Arial" w:eastAsia="Arial" w:hAnsi="Arial" w:cs="Arial"/>
              </w:rPr>
            </w:pPr>
            <w:r>
              <w:rPr>
                <w:rFonts w:ascii="Arial" w:eastAsia="Arial" w:hAnsi="Arial" w:cs="Arial"/>
              </w:rPr>
              <w:t>Cultura</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0,829</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0,678</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0,647</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0,840</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0,847</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0,800</w:t>
            </w:r>
          </w:p>
        </w:tc>
      </w:tr>
      <w:tr w:rsidR="003B2FCD">
        <w:trPr>
          <w:trHeight w:val="280"/>
          <w:jc w:val="center"/>
        </w:trPr>
        <w:tc>
          <w:tcPr>
            <w:tcW w:w="2404"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240"/>
              <w:rPr>
                <w:rFonts w:ascii="Arial" w:eastAsia="Arial" w:hAnsi="Arial" w:cs="Arial"/>
              </w:rPr>
            </w:pPr>
            <w:r>
              <w:rPr>
                <w:rFonts w:ascii="Arial" w:eastAsia="Arial" w:hAnsi="Arial" w:cs="Arial"/>
              </w:rPr>
              <w:t>Habitação</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0,931</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0,575</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0,913</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0,874</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0,911</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0,893</w:t>
            </w:r>
          </w:p>
        </w:tc>
      </w:tr>
      <w:tr w:rsidR="003B2FCD">
        <w:trPr>
          <w:trHeight w:val="280"/>
          <w:jc w:val="center"/>
        </w:trPr>
        <w:tc>
          <w:tcPr>
            <w:tcW w:w="2404"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105"/>
              <w:rPr>
                <w:rFonts w:ascii="Arial" w:eastAsia="Arial" w:hAnsi="Arial" w:cs="Arial"/>
              </w:rPr>
            </w:pPr>
            <w:r>
              <w:rPr>
                <w:rFonts w:ascii="Arial" w:eastAsia="Arial" w:hAnsi="Arial" w:cs="Arial"/>
              </w:rPr>
              <w:t>Econômica</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0,712</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0,666</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0,618</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0,725</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0,723</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0,577</w:t>
            </w:r>
          </w:p>
        </w:tc>
      </w:tr>
      <w:tr w:rsidR="003B2FCD">
        <w:trPr>
          <w:trHeight w:val="280"/>
          <w:jc w:val="center"/>
        </w:trPr>
        <w:tc>
          <w:tcPr>
            <w:tcW w:w="2404"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240"/>
              <w:rPr>
                <w:rFonts w:ascii="Arial" w:eastAsia="Arial" w:hAnsi="Arial" w:cs="Arial"/>
              </w:rPr>
            </w:pPr>
            <w:r>
              <w:rPr>
                <w:rFonts w:ascii="Arial" w:eastAsia="Arial" w:hAnsi="Arial" w:cs="Arial"/>
              </w:rPr>
              <w:t>Economia</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0,712</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0,666</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0,618</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0,725</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0,723</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0,577</w:t>
            </w:r>
          </w:p>
        </w:tc>
      </w:tr>
      <w:tr w:rsidR="003B2FCD">
        <w:trPr>
          <w:trHeight w:val="580"/>
          <w:jc w:val="center"/>
        </w:trPr>
        <w:tc>
          <w:tcPr>
            <w:tcW w:w="2404"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ind w:left="390"/>
              <w:rPr>
                <w:rFonts w:ascii="Arial" w:eastAsia="Arial" w:hAnsi="Arial" w:cs="Arial"/>
              </w:rPr>
            </w:pPr>
            <w:r>
              <w:rPr>
                <w:rFonts w:ascii="Arial" w:eastAsia="Arial" w:hAnsi="Arial" w:cs="Arial"/>
              </w:rPr>
              <w:t>Agregação de valor econômico</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0,770</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0,690</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0,535</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0,624</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0,800</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0,500</w:t>
            </w:r>
          </w:p>
        </w:tc>
      </w:tr>
      <w:tr w:rsidR="003B2FCD">
        <w:trPr>
          <w:trHeight w:val="520"/>
          <w:jc w:val="center"/>
        </w:trPr>
        <w:tc>
          <w:tcPr>
            <w:tcW w:w="2404"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ind w:left="390"/>
              <w:rPr>
                <w:rFonts w:ascii="Arial" w:eastAsia="Arial" w:hAnsi="Arial" w:cs="Arial"/>
              </w:rPr>
            </w:pPr>
            <w:r>
              <w:rPr>
                <w:rFonts w:ascii="Arial" w:eastAsia="Arial" w:hAnsi="Arial" w:cs="Arial"/>
              </w:rPr>
              <w:t>Dinamismo econômico</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0,642</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0,664</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0,647</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0,630</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0,654</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0,714</w:t>
            </w:r>
          </w:p>
        </w:tc>
      </w:tr>
      <w:tr w:rsidR="003B2FCD">
        <w:trPr>
          <w:trHeight w:val="280"/>
          <w:jc w:val="center"/>
        </w:trPr>
        <w:tc>
          <w:tcPr>
            <w:tcW w:w="2404"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390"/>
              <w:rPr>
                <w:rFonts w:ascii="Arial" w:eastAsia="Arial" w:hAnsi="Arial" w:cs="Arial"/>
              </w:rPr>
            </w:pPr>
            <w:r>
              <w:rPr>
                <w:rFonts w:ascii="Arial" w:eastAsia="Arial" w:hAnsi="Arial" w:cs="Arial"/>
              </w:rPr>
              <w:t>Nível de renda</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0,723</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0,643</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0,673</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0,922</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0,715</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0,518</w:t>
            </w:r>
          </w:p>
        </w:tc>
      </w:tr>
      <w:tr w:rsidR="003B2FCD">
        <w:trPr>
          <w:trHeight w:val="280"/>
          <w:jc w:val="center"/>
        </w:trPr>
        <w:tc>
          <w:tcPr>
            <w:tcW w:w="2404"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105"/>
              <w:rPr>
                <w:rFonts w:ascii="Arial" w:eastAsia="Arial" w:hAnsi="Arial" w:cs="Arial"/>
              </w:rPr>
            </w:pPr>
            <w:r>
              <w:rPr>
                <w:rFonts w:ascii="Arial" w:eastAsia="Arial" w:hAnsi="Arial" w:cs="Arial"/>
              </w:rPr>
              <w:t>Ambiental</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0,889</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0,478</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0,624</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0,800</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0,778</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0,629</w:t>
            </w:r>
          </w:p>
        </w:tc>
      </w:tr>
      <w:tr w:rsidR="003B2FCD">
        <w:trPr>
          <w:trHeight w:val="280"/>
          <w:jc w:val="center"/>
        </w:trPr>
        <w:tc>
          <w:tcPr>
            <w:tcW w:w="2404"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240"/>
              <w:rPr>
                <w:rFonts w:ascii="Arial" w:eastAsia="Arial" w:hAnsi="Arial" w:cs="Arial"/>
              </w:rPr>
            </w:pPr>
            <w:r>
              <w:rPr>
                <w:rFonts w:ascii="Arial" w:eastAsia="Arial" w:hAnsi="Arial" w:cs="Arial"/>
              </w:rPr>
              <w:t>Meio ambiente</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0,889</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0,478</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0,624</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0,800</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0,778</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0,629</w:t>
            </w:r>
          </w:p>
        </w:tc>
      </w:tr>
      <w:tr w:rsidR="003B2FCD">
        <w:trPr>
          <w:trHeight w:val="280"/>
          <w:jc w:val="center"/>
        </w:trPr>
        <w:tc>
          <w:tcPr>
            <w:tcW w:w="2404"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ind w:left="390"/>
              <w:rPr>
                <w:rFonts w:ascii="Arial" w:eastAsia="Arial" w:hAnsi="Arial" w:cs="Arial"/>
              </w:rPr>
            </w:pPr>
            <w:r>
              <w:rPr>
                <w:rFonts w:ascii="Arial" w:eastAsia="Arial" w:hAnsi="Arial" w:cs="Arial"/>
              </w:rPr>
              <w:t>Cobertura de saneamento básico</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0,916</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0,659</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0,926</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0,899</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0,835</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0,888</w:t>
            </w:r>
          </w:p>
        </w:tc>
      </w:tr>
      <w:tr w:rsidR="003B2FCD">
        <w:trPr>
          <w:trHeight w:val="280"/>
          <w:jc w:val="center"/>
        </w:trPr>
        <w:tc>
          <w:tcPr>
            <w:tcW w:w="2404"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390"/>
              <w:rPr>
                <w:rFonts w:ascii="Arial" w:eastAsia="Arial" w:hAnsi="Arial" w:cs="Arial"/>
              </w:rPr>
            </w:pPr>
            <w:r>
              <w:rPr>
                <w:rFonts w:ascii="Arial" w:eastAsia="Arial" w:hAnsi="Arial" w:cs="Arial"/>
              </w:rPr>
              <w:t>Gestão ambiental</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0,750</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0,000</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0,500</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0,500</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0,500</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0,000</w:t>
            </w:r>
          </w:p>
        </w:tc>
      </w:tr>
      <w:tr w:rsidR="003B2FCD">
        <w:trPr>
          <w:trHeight w:val="280"/>
          <w:jc w:val="center"/>
        </w:trPr>
        <w:tc>
          <w:tcPr>
            <w:tcW w:w="2404"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ind w:left="390"/>
              <w:rPr>
                <w:rFonts w:ascii="Arial" w:eastAsia="Arial" w:hAnsi="Arial" w:cs="Arial"/>
              </w:rPr>
            </w:pPr>
            <w:r>
              <w:rPr>
                <w:rFonts w:ascii="Arial" w:eastAsia="Arial" w:hAnsi="Arial" w:cs="Arial"/>
              </w:rPr>
              <w:t>Preservação ambiental</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1,000</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0,776</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0,445</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1,000</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1,000</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1,000</w:t>
            </w:r>
          </w:p>
        </w:tc>
      </w:tr>
      <w:tr w:rsidR="003B2FCD">
        <w:trPr>
          <w:trHeight w:val="280"/>
          <w:jc w:val="center"/>
        </w:trPr>
        <w:tc>
          <w:tcPr>
            <w:tcW w:w="2404"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105"/>
              <w:rPr>
                <w:rFonts w:ascii="Arial" w:eastAsia="Arial" w:hAnsi="Arial" w:cs="Arial"/>
              </w:rPr>
            </w:pPr>
            <w:r>
              <w:rPr>
                <w:rFonts w:ascii="Arial" w:eastAsia="Arial" w:hAnsi="Arial" w:cs="Arial"/>
              </w:rPr>
              <w:t>Político-institucional</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0,672</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0,618</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0,663</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0,561</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0,666</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0,653</w:t>
            </w:r>
          </w:p>
        </w:tc>
      </w:tr>
      <w:tr w:rsidR="003B2FCD">
        <w:trPr>
          <w:trHeight w:val="280"/>
          <w:jc w:val="center"/>
        </w:trPr>
        <w:tc>
          <w:tcPr>
            <w:tcW w:w="2404"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240"/>
              <w:rPr>
                <w:rFonts w:ascii="Arial" w:eastAsia="Arial" w:hAnsi="Arial" w:cs="Arial"/>
              </w:rPr>
            </w:pPr>
            <w:r>
              <w:rPr>
                <w:rFonts w:ascii="Arial" w:eastAsia="Arial" w:hAnsi="Arial" w:cs="Arial"/>
              </w:rPr>
              <w:t>Finanças públicas</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0,689</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0,555</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0,610</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0,538</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0,607</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0,652</w:t>
            </w:r>
          </w:p>
        </w:tc>
      </w:tr>
      <w:tr w:rsidR="003B2FCD">
        <w:trPr>
          <w:trHeight w:val="280"/>
          <w:jc w:val="center"/>
        </w:trPr>
        <w:tc>
          <w:tcPr>
            <w:tcW w:w="2404"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240"/>
              <w:rPr>
                <w:rFonts w:ascii="Arial" w:eastAsia="Arial" w:hAnsi="Arial" w:cs="Arial"/>
              </w:rPr>
            </w:pPr>
            <w:r>
              <w:rPr>
                <w:rFonts w:ascii="Arial" w:eastAsia="Arial" w:hAnsi="Arial" w:cs="Arial"/>
              </w:rPr>
              <w:t>Gestão pública</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0,896</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0,861</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0,946</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0,794</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0,967</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0,928</w:t>
            </w:r>
          </w:p>
        </w:tc>
      </w:tr>
      <w:tr w:rsidR="003B2FCD">
        <w:trPr>
          <w:trHeight w:val="280"/>
          <w:jc w:val="center"/>
        </w:trPr>
        <w:tc>
          <w:tcPr>
            <w:tcW w:w="2404"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240"/>
              <w:rPr>
                <w:rFonts w:ascii="Arial" w:eastAsia="Arial" w:hAnsi="Arial" w:cs="Arial"/>
              </w:rPr>
            </w:pPr>
            <w:r>
              <w:rPr>
                <w:rFonts w:ascii="Arial" w:eastAsia="Arial" w:hAnsi="Arial" w:cs="Arial"/>
              </w:rPr>
              <w:t>Participação social</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0,426</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0,458</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0,452</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0,359</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0,443</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0,380</w:t>
            </w:r>
          </w:p>
        </w:tc>
      </w:tr>
    </w:tbl>
    <w:p w:rsidR="003B2FCD" w:rsidRDefault="00B56796">
      <w:pPr>
        <w:rPr>
          <w:rFonts w:ascii="Arial" w:eastAsia="Arial" w:hAnsi="Arial" w:cs="Arial"/>
        </w:rPr>
      </w:pPr>
      <w:r>
        <w:rPr>
          <w:rFonts w:ascii="Arial" w:eastAsia="Arial" w:hAnsi="Arial" w:cs="Arial"/>
        </w:rPr>
        <w:t>Fonte: Elaborada pelos autores com base em Fecam (2016).</w:t>
      </w: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 xml:space="preserve">Os índices de 2014, de forma geral, obtiveram resultados inferiores a 2012. Se for considerada a média simples dos seis municípios, em 2012, chega-se a 0,6983, o que garante a 20ª posição do </w:t>
      </w:r>
      <w:r>
        <w:rPr>
          <w:rFonts w:ascii="Arial" w:eastAsia="Arial" w:hAnsi="Arial" w:cs="Arial"/>
          <w:i/>
          <w:sz w:val="24"/>
          <w:szCs w:val="24"/>
        </w:rPr>
        <w:t>ranking</w:t>
      </w:r>
      <w:r>
        <w:rPr>
          <w:rFonts w:ascii="Arial" w:eastAsia="Arial" w:hAnsi="Arial" w:cs="Arial"/>
          <w:sz w:val="24"/>
          <w:szCs w:val="24"/>
        </w:rPr>
        <w:t>. Já em 2014 a média caiu para 0,6975, ficando em 41º lugar. O que chama atenção é a queda de Chapecó, saindo de 43º para 121º, ocupando o último lugar entre os seis. O que impulsionou este declínio foi a pontuação na dimensão político-institucional. Isso pode ser visto principalmente nos seguintes dados: investimento público per capita de R$ 376,75 em 2012 para R$ 173,64 em 2014, redução no investimento público sobre a receita corrente líquida, suficiência de caixa, redução de serviços em seu portal e diminuição de servidores com curso superior.</w:t>
      </w: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O município melhor colocado em 2014 foi Blumenau, com 0,767 e 2º lugar no estado. Obteve melhorias nas dimensões sociocultural, econômica e político-institucional. Houve destaque na habitação, que cresceu 21,7%, e gestão pública, com aumento de 19,31%. Nesses dados, destacaram-se: plano de habitação, segundo dados do Ministério das Cidades e participação em consórcios públicos intermunicipais com dados do IBGE.</w:t>
      </w: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Em Criciúma, apesar do índice geral não alterar significativamente, os valores de habitação, agregação de valor econômico e gestão pública tiveram aumento acima da média, com 22,22%, 29,85% e 32,68% respectivamente. Os dados são referentes à criação do Conselho Municipal de Habitação, aumento do ICMS per capita e participação em consórcios intermunicipais.</w:t>
      </w: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 xml:space="preserve">Para Florianópolis o ponto forte de 2012 foi a dimensão sociocultural, com 0,797, e o aumento de 61,85% no índice de habitação. Já a dimensão político-institucional recuou 8,18%, com destaque para gestão pública que reduziu 16,51%, fazendo com que a capital catarinense não figurasse entre os dez melhores municípios do estado. </w:t>
      </w: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O município de Joinville somou no índice geral 0,745. Assim como em 2012, destaca-se positivamente a dimensão sociocultural, tendo o melhor índice entre os municípios analisados, melhorando ainda mais em 2014. Ressalta-se a saúde, que melhorou 12,77%. Já na dimensão ambiental o índice regrediu 9,74%, obtendo o valor de 33,33% na gestão ambiental.</w:t>
      </w: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Assim como Chapecó, Lages também sofreu um revés em 2012. A dimensão ambiental reduziu 11,78% principalmente pela queda em valores como Agenda 21 local e licenciamento do impacto local e, a político-institucional 7,11%, visto a queda na participação nos pleitos eleitorais. A única dimensão que teve melhoria foi a econômica, destacando-se agregação de valor, dinamismo econômico, e aumento no nível de renda e remuneração média dos trabalhadores.</w:t>
      </w: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A variação nas dimensões do IDMS entre os anos mostra o resultado de ações ou o descaso dos municípios. Também podem ser influenciados por questões naturais (fenômenos meteorológicos), globais (crises internacionais), eventuais (eleições ou evento</w:t>
      </w:r>
      <w:r w:rsidR="00D5339F">
        <w:rPr>
          <w:rFonts w:ascii="Arial" w:eastAsia="Arial" w:hAnsi="Arial" w:cs="Arial"/>
          <w:sz w:val="24"/>
          <w:szCs w:val="24"/>
        </w:rPr>
        <w:t>s</w:t>
      </w:r>
      <w:r>
        <w:rPr>
          <w:rFonts w:ascii="Arial" w:eastAsia="Arial" w:hAnsi="Arial" w:cs="Arial"/>
          <w:sz w:val="24"/>
          <w:szCs w:val="24"/>
        </w:rPr>
        <w:t xml:space="preserve"> de grandes proporções), ou por ações e empreendimentos patrocinadas pelos governos estadual ou federal. </w:t>
      </w: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A Tabela 4 demonstra os dados do ano de 2016, o último publicado até a data deste estudo.</w:t>
      </w:r>
    </w:p>
    <w:p w:rsidR="003B2FCD" w:rsidRDefault="003B2FCD">
      <w:pPr>
        <w:spacing w:line="360" w:lineRule="auto"/>
        <w:ind w:firstLine="720"/>
        <w:jc w:val="both"/>
        <w:rPr>
          <w:rFonts w:ascii="Arial" w:eastAsia="Arial" w:hAnsi="Arial" w:cs="Arial"/>
          <w:sz w:val="24"/>
          <w:szCs w:val="24"/>
        </w:rPr>
      </w:pPr>
    </w:p>
    <w:p w:rsidR="003B2FCD" w:rsidRDefault="00B56796">
      <w:pPr>
        <w:jc w:val="center"/>
        <w:rPr>
          <w:rFonts w:ascii="Arial" w:eastAsia="Arial" w:hAnsi="Arial" w:cs="Arial"/>
        </w:rPr>
      </w:pPr>
      <w:r>
        <w:rPr>
          <w:rFonts w:ascii="Arial" w:eastAsia="Arial" w:hAnsi="Arial" w:cs="Arial"/>
        </w:rPr>
        <w:t>Tabela 4 - IDMS - ano 2016 - índice geral e subíndices</w:t>
      </w:r>
    </w:p>
    <w:tbl>
      <w:tblPr>
        <w:tblStyle w:val="a5"/>
        <w:tblW w:w="9073"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465"/>
        <w:gridCol w:w="1126"/>
        <w:gridCol w:w="1126"/>
        <w:gridCol w:w="1126"/>
        <w:gridCol w:w="1245"/>
        <w:gridCol w:w="1005"/>
        <w:gridCol w:w="980"/>
      </w:tblGrid>
      <w:tr w:rsidR="003B2FCD">
        <w:trPr>
          <w:trHeight w:val="280"/>
          <w:jc w:val="center"/>
        </w:trPr>
        <w:tc>
          <w:tcPr>
            <w:tcW w:w="2465" w:type="dxa"/>
            <w:tcBorders>
              <w:top w:val="single" w:sz="6"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3B2FCD">
            <w:pPr>
              <w:widowControl w:val="0"/>
              <w:spacing w:line="276" w:lineRule="auto"/>
              <w:rPr>
                <w:rFonts w:ascii="Arial" w:eastAsia="Arial" w:hAnsi="Arial" w:cs="Arial"/>
              </w:rPr>
            </w:pPr>
          </w:p>
        </w:tc>
        <w:tc>
          <w:tcPr>
            <w:tcW w:w="1126" w:type="dxa"/>
            <w:tcBorders>
              <w:top w:val="single" w:sz="6"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Blumenau</w:t>
            </w:r>
          </w:p>
        </w:tc>
        <w:tc>
          <w:tcPr>
            <w:tcW w:w="1126" w:type="dxa"/>
            <w:tcBorders>
              <w:top w:val="single" w:sz="6"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Chapecó</w:t>
            </w:r>
          </w:p>
        </w:tc>
        <w:tc>
          <w:tcPr>
            <w:tcW w:w="1126" w:type="dxa"/>
            <w:tcBorders>
              <w:top w:val="single" w:sz="6"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Criciúma</w:t>
            </w:r>
          </w:p>
        </w:tc>
        <w:tc>
          <w:tcPr>
            <w:tcW w:w="1245" w:type="dxa"/>
            <w:tcBorders>
              <w:top w:val="single" w:sz="6"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Florianópolis</w:t>
            </w:r>
          </w:p>
        </w:tc>
        <w:tc>
          <w:tcPr>
            <w:tcW w:w="1005" w:type="dxa"/>
            <w:tcBorders>
              <w:top w:val="single" w:sz="6"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Joinville</w:t>
            </w:r>
          </w:p>
        </w:tc>
        <w:tc>
          <w:tcPr>
            <w:tcW w:w="980" w:type="dxa"/>
            <w:tcBorders>
              <w:top w:val="single" w:sz="6"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Lages</w:t>
            </w:r>
          </w:p>
        </w:tc>
      </w:tr>
      <w:tr w:rsidR="003B2FCD">
        <w:trPr>
          <w:trHeight w:val="280"/>
          <w:jc w:val="center"/>
        </w:trPr>
        <w:tc>
          <w:tcPr>
            <w:tcW w:w="2465" w:type="dxa"/>
            <w:tcBorders>
              <w:top w:val="single" w:sz="6"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E65A95">
            <w:pPr>
              <w:widowControl w:val="0"/>
              <w:spacing w:line="276" w:lineRule="auto"/>
              <w:rPr>
                <w:rFonts w:ascii="Arial" w:eastAsia="Arial" w:hAnsi="Arial" w:cs="Arial"/>
              </w:rPr>
            </w:pPr>
            <w:r>
              <w:rPr>
                <w:rFonts w:ascii="Arial" w:eastAsia="Arial" w:hAnsi="Arial" w:cs="Arial"/>
                <w:b/>
              </w:rPr>
              <w:t>Índice g</w:t>
            </w:r>
            <w:r w:rsidR="00B56796">
              <w:rPr>
                <w:rFonts w:ascii="Arial" w:eastAsia="Arial" w:hAnsi="Arial" w:cs="Arial"/>
                <w:b/>
              </w:rPr>
              <w:t>eral</w:t>
            </w:r>
          </w:p>
        </w:tc>
        <w:tc>
          <w:tcPr>
            <w:tcW w:w="1126" w:type="dxa"/>
            <w:tcBorders>
              <w:top w:val="single" w:sz="6"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b/>
              </w:rPr>
              <w:t>0,754</w:t>
            </w:r>
          </w:p>
        </w:tc>
        <w:tc>
          <w:tcPr>
            <w:tcW w:w="1126" w:type="dxa"/>
            <w:tcBorders>
              <w:top w:val="single" w:sz="6"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b/>
              </w:rPr>
              <w:t>0,701</w:t>
            </w:r>
          </w:p>
        </w:tc>
        <w:tc>
          <w:tcPr>
            <w:tcW w:w="1126" w:type="dxa"/>
            <w:tcBorders>
              <w:top w:val="single" w:sz="6"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b/>
              </w:rPr>
              <w:t>0,657</w:t>
            </w:r>
          </w:p>
        </w:tc>
        <w:tc>
          <w:tcPr>
            <w:tcW w:w="1245" w:type="dxa"/>
            <w:tcBorders>
              <w:top w:val="single" w:sz="6"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b/>
              </w:rPr>
              <w:t>0,717</w:t>
            </w:r>
          </w:p>
        </w:tc>
        <w:tc>
          <w:tcPr>
            <w:tcW w:w="1005" w:type="dxa"/>
            <w:tcBorders>
              <w:top w:val="single" w:sz="6"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b/>
              </w:rPr>
              <w:t>0,768</w:t>
            </w:r>
          </w:p>
        </w:tc>
        <w:tc>
          <w:tcPr>
            <w:tcW w:w="980" w:type="dxa"/>
            <w:tcBorders>
              <w:top w:val="single" w:sz="6" w:space="0" w:color="000000"/>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b/>
              </w:rPr>
              <w:t>0,651</w:t>
            </w:r>
          </w:p>
        </w:tc>
      </w:tr>
      <w:tr w:rsidR="003B2FCD">
        <w:trPr>
          <w:trHeight w:val="280"/>
          <w:jc w:val="center"/>
        </w:trPr>
        <w:tc>
          <w:tcPr>
            <w:tcW w:w="246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105"/>
              <w:rPr>
                <w:rFonts w:ascii="Arial" w:eastAsia="Arial" w:hAnsi="Arial" w:cs="Arial"/>
              </w:rPr>
            </w:pPr>
            <w:r>
              <w:rPr>
                <w:rFonts w:ascii="Arial" w:eastAsia="Arial" w:hAnsi="Arial" w:cs="Arial"/>
              </w:rPr>
              <w:t>Sociocultural</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0,785</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0,818</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0,787</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0,797</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0,821</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0,719</w:t>
            </w:r>
          </w:p>
        </w:tc>
      </w:tr>
      <w:tr w:rsidR="003B2FCD">
        <w:trPr>
          <w:trHeight w:val="280"/>
          <w:jc w:val="center"/>
        </w:trPr>
        <w:tc>
          <w:tcPr>
            <w:tcW w:w="246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240"/>
              <w:rPr>
                <w:rFonts w:ascii="Arial" w:eastAsia="Arial" w:hAnsi="Arial" w:cs="Arial"/>
              </w:rPr>
            </w:pPr>
            <w:r>
              <w:rPr>
                <w:rFonts w:ascii="Arial" w:eastAsia="Arial" w:hAnsi="Arial" w:cs="Arial"/>
              </w:rPr>
              <w:t>Educação</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0,776</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0,820</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0,804</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0,762</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0,836</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0,657</w:t>
            </w:r>
          </w:p>
        </w:tc>
      </w:tr>
      <w:tr w:rsidR="003B2FCD">
        <w:trPr>
          <w:trHeight w:val="280"/>
          <w:jc w:val="center"/>
        </w:trPr>
        <w:tc>
          <w:tcPr>
            <w:tcW w:w="246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240"/>
              <w:rPr>
                <w:rFonts w:ascii="Arial" w:eastAsia="Arial" w:hAnsi="Arial" w:cs="Arial"/>
              </w:rPr>
            </w:pPr>
            <w:r>
              <w:rPr>
                <w:rFonts w:ascii="Arial" w:eastAsia="Arial" w:hAnsi="Arial" w:cs="Arial"/>
              </w:rPr>
              <w:t>Saúde</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0,768</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0,783</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0,726</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0,799</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0,754</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0,730</w:t>
            </w:r>
          </w:p>
        </w:tc>
      </w:tr>
      <w:tr w:rsidR="003B2FCD">
        <w:trPr>
          <w:trHeight w:val="280"/>
          <w:jc w:val="center"/>
        </w:trPr>
        <w:tc>
          <w:tcPr>
            <w:tcW w:w="246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240"/>
              <w:rPr>
                <w:rFonts w:ascii="Arial" w:eastAsia="Arial" w:hAnsi="Arial" w:cs="Arial"/>
              </w:rPr>
            </w:pPr>
            <w:r>
              <w:rPr>
                <w:rFonts w:ascii="Arial" w:eastAsia="Arial" w:hAnsi="Arial" w:cs="Arial"/>
              </w:rPr>
              <w:t>Cultura</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0,738</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0,844</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0,794</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0,869</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0,900</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0,788</w:t>
            </w:r>
          </w:p>
        </w:tc>
      </w:tr>
      <w:tr w:rsidR="003B2FCD">
        <w:trPr>
          <w:trHeight w:val="280"/>
          <w:jc w:val="center"/>
        </w:trPr>
        <w:tc>
          <w:tcPr>
            <w:tcW w:w="246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240"/>
              <w:rPr>
                <w:rFonts w:ascii="Arial" w:eastAsia="Arial" w:hAnsi="Arial" w:cs="Arial"/>
              </w:rPr>
            </w:pPr>
            <w:r>
              <w:rPr>
                <w:rFonts w:ascii="Arial" w:eastAsia="Arial" w:hAnsi="Arial" w:cs="Arial"/>
              </w:rPr>
              <w:t>Habitação</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0,931</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0,909</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0,913</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0,874</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0,911</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0,893</w:t>
            </w:r>
          </w:p>
        </w:tc>
      </w:tr>
      <w:tr w:rsidR="003B2FCD">
        <w:trPr>
          <w:trHeight w:val="280"/>
          <w:jc w:val="center"/>
        </w:trPr>
        <w:tc>
          <w:tcPr>
            <w:tcW w:w="246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105"/>
              <w:rPr>
                <w:rFonts w:ascii="Arial" w:eastAsia="Arial" w:hAnsi="Arial" w:cs="Arial"/>
              </w:rPr>
            </w:pPr>
            <w:r>
              <w:rPr>
                <w:rFonts w:ascii="Arial" w:eastAsia="Arial" w:hAnsi="Arial" w:cs="Arial"/>
              </w:rPr>
              <w:t>Econômica</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0,699</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0,655</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0,595</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0,712</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0,703</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0,537</w:t>
            </w:r>
          </w:p>
        </w:tc>
      </w:tr>
      <w:tr w:rsidR="003B2FCD">
        <w:trPr>
          <w:trHeight w:val="280"/>
          <w:jc w:val="center"/>
        </w:trPr>
        <w:tc>
          <w:tcPr>
            <w:tcW w:w="246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240"/>
              <w:rPr>
                <w:rFonts w:ascii="Arial" w:eastAsia="Arial" w:hAnsi="Arial" w:cs="Arial"/>
              </w:rPr>
            </w:pPr>
            <w:r>
              <w:rPr>
                <w:rFonts w:ascii="Arial" w:eastAsia="Arial" w:hAnsi="Arial" w:cs="Arial"/>
              </w:rPr>
              <w:t>Economia</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0,699</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0,655</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0,595</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0,712</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0,703</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0,537</w:t>
            </w:r>
          </w:p>
        </w:tc>
      </w:tr>
      <w:tr w:rsidR="003B2FCD">
        <w:trPr>
          <w:trHeight w:val="500"/>
          <w:jc w:val="center"/>
        </w:trPr>
        <w:tc>
          <w:tcPr>
            <w:tcW w:w="246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rsidP="00E65A95">
            <w:pPr>
              <w:widowControl w:val="0"/>
              <w:ind w:left="390"/>
              <w:rPr>
                <w:rFonts w:ascii="Arial" w:eastAsia="Arial" w:hAnsi="Arial" w:cs="Arial"/>
              </w:rPr>
            </w:pPr>
            <w:r>
              <w:rPr>
                <w:rFonts w:ascii="Arial" w:eastAsia="Arial" w:hAnsi="Arial" w:cs="Arial"/>
              </w:rPr>
              <w:t xml:space="preserve">Agregação de </w:t>
            </w:r>
            <w:r w:rsidR="00E65A95">
              <w:rPr>
                <w:rFonts w:ascii="Arial" w:eastAsia="Arial" w:hAnsi="Arial" w:cs="Arial"/>
              </w:rPr>
              <w:t>v</w:t>
            </w:r>
            <w:r>
              <w:rPr>
                <w:rFonts w:ascii="Arial" w:eastAsia="Arial" w:hAnsi="Arial" w:cs="Arial"/>
              </w:rPr>
              <w:t xml:space="preserve">alor </w:t>
            </w:r>
            <w:r w:rsidR="00E65A95">
              <w:rPr>
                <w:rFonts w:ascii="Arial" w:eastAsia="Arial" w:hAnsi="Arial" w:cs="Arial"/>
              </w:rPr>
              <w:t>e</w:t>
            </w:r>
            <w:r>
              <w:rPr>
                <w:rFonts w:ascii="Arial" w:eastAsia="Arial" w:hAnsi="Arial" w:cs="Arial"/>
              </w:rPr>
              <w:t>conômico</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0,755</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0,680</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0,487</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0,607</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0,774</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0,538</w:t>
            </w:r>
          </w:p>
        </w:tc>
      </w:tr>
      <w:tr w:rsidR="003B2FCD">
        <w:trPr>
          <w:trHeight w:val="520"/>
          <w:jc w:val="center"/>
        </w:trPr>
        <w:tc>
          <w:tcPr>
            <w:tcW w:w="246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rsidP="00E65A95">
            <w:pPr>
              <w:widowControl w:val="0"/>
              <w:ind w:left="390"/>
              <w:rPr>
                <w:rFonts w:ascii="Arial" w:eastAsia="Arial" w:hAnsi="Arial" w:cs="Arial"/>
              </w:rPr>
            </w:pPr>
            <w:r>
              <w:rPr>
                <w:rFonts w:ascii="Arial" w:eastAsia="Arial" w:hAnsi="Arial" w:cs="Arial"/>
              </w:rPr>
              <w:t xml:space="preserve">Dinamismo </w:t>
            </w:r>
            <w:r w:rsidR="00E65A95">
              <w:rPr>
                <w:rFonts w:ascii="Arial" w:eastAsia="Arial" w:hAnsi="Arial" w:cs="Arial"/>
              </w:rPr>
              <w:t>e</w:t>
            </w:r>
            <w:r>
              <w:rPr>
                <w:rFonts w:ascii="Arial" w:eastAsia="Arial" w:hAnsi="Arial" w:cs="Arial"/>
              </w:rPr>
              <w:t>conômico</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0,622</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0,645</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0,632</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0,606</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0,633</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0,564</w:t>
            </w:r>
          </w:p>
        </w:tc>
      </w:tr>
      <w:tr w:rsidR="003B2FCD">
        <w:trPr>
          <w:trHeight w:val="280"/>
          <w:jc w:val="center"/>
        </w:trPr>
        <w:tc>
          <w:tcPr>
            <w:tcW w:w="246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rsidP="00E65A95">
            <w:pPr>
              <w:widowControl w:val="0"/>
              <w:spacing w:line="276" w:lineRule="auto"/>
              <w:ind w:left="390"/>
              <w:rPr>
                <w:rFonts w:ascii="Arial" w:eastAsia="Arial" w:hAnsi="Arial" w:cs="Arial"/>
              </w:rPr>
            </w:pPr>
            <w:r>
              <w:rPr>
                <w:rFonts w:ascii="Arial" w:eastAsia="Arial" w:hAnsi="Arial" w:cs="Arial"/>
              </w:rPr>
              <w:t xml:space="preserve">Nível de </w:t>
            </w:r>
            <w:r w:rsidR="00E65A95">
              <w:rPr>
                <w:rFonts w:ascii="Arial" w:eastAsia="Arial" w:hAnsi="Arial" w:cs="Arial"/>
              </w:rPr>
              <w:t>r</w:t>
            </w:r>
            <w:r>
              <w:rPr>
                <w:rFonts w:ascii="Arial" w:eastAsia="Arial" w:hAnsi="Arial" w:cs="Arial"/>
              </w:rPr>
              <w:t>enda</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0,719</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0,641</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0,667</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0,922</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0,702</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0,508</w:t>
            </w:r>
          </w:p>
        </w:tc>
      </w:tr>
      <w:tr w:rsidR="003B2FCD">
        <w:trPr>
          <w:trHeight w:val="280"/>
          <w:jc w:val="center"/>
        </w:trPr>
        <w:tc>
          <w:tcPr>
            <w:tcW w:w="246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ind w:left="105"/>
              <w:rPr>
                <w:rFonts w:ascii="Arial" w:eastAsia="Arial" w:hAnsi="Arial" w:cs="Arial"/>
              </w:rPr>
            </w:pPr>
            <w:r>
              <w:rPr>
                <w:rFonts w:ascii="Arial" w:eastAsia="Arial" w:hAnsi="Arial" w:cs="Arial"/>
              </w:rPr>
              <w:t>Ambiental</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0,805</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0,645</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0,624</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0,800</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0,862</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0,713</w:t>
            </w:r>
          </w:p>
        </w:tc>
      </w:tr>
      <w:tr w:rsidR="003B2FCD">
        <w:trPr>
          <w:trHeight w:val="280"/>
          <w:jc w:val="center"/>
        </w:trPr>
        <w:tc>
          <w:tcPr>
            <w:tcW w:w="246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rsidP="00E65A95">
            <w:pPr>
              <w:widowControl w:val="0"/>
              <w:spacing w:line="276" w:lineRule="auto"/>
              <w:ind w:left="240"/>
              <w:rPr>
                <w:rFonts w:ascii="Arial" w:eastAsia="Arial" w:hAnsi="Arial" w:cs="Arial"/>
              </w:rPr>
            </w:pPr>
            <w:r>
              <w:rPr>
                <w:rFonts w:ascii="Arial" w:eastAsia="Arial" w:hAnsi="Arial" w:cs="Arial"/>
              </w:rPr>
              <w:t xml:space="preserve">Meio </w:t>
            </w:r>
            <w:r w:rsidR="00E65A95">
              <w:rPr>
                <w:rFonts w:ascii="Arial" w:eastAsia="Arial" w:hAnsi="Arial" w:cs="Arial"/>
              </w:rPr>
              <w:t>a</w:t>
            </w:r>
            <w:r>
              <w:rPr>
                <w:rFonts w:ascii="Arial" w:eastAsia="Arial" w:hAnsi="Arial" w:cs="Arial"/>
              </w:rPr>
              <w:t>mbiente</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0,805</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0,645</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0,624</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0,800</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0,862</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0,713</w:t>
            </w:r>
          </w:p>
        </w:tc>
      </w:tr>
      <w:tr w:rsidR="003B2FCD">
        <w:trPr>
          <w:trHeight w:val="540"/>
          <w:jc w:val="center"/>
        </w:trPr>
        <w:tc>
          <w:tcPr>
            <w:tcW w:w="246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E65A95" w:rsidP="00E65A95">
            <w:pPr>
              <w:widowControl w:val="0"/>
              <w:ind w:left="390"/>
              <w:rPr>
                <w:rFonts w:ascii="Arial" w:eastAsia="Arial" w:hAnsi="Arial" w:cs="Arial"/>
              </w:rPr>
            </w:pPr>
            <w:r>
              <w:rPr>
                <w:rFonts w:ascii="Arial" w:eastAsia="Arial" w:hAnsi="Arial" w:cs="Arial"/>
              </w:rPr>
              <w:t>Cobertura de s</w:t>
            </w:r>
            <w:r w:rsidR="00B56796">
              <w:rPr>
                <w:rFonts w:ascii="Arial" w:eastAsia="Arial" w:hAnsi="Arial" w:cs="Arial"/>
              </w:rPr>
              <w:t xml:space="preserve">aneamento </w:t>
            </w:r>
            <w:r>
              <w:rPr>
                <w:rFonts w:ascii="Arial" w:eastAsia="Arial" w:hAnsi="Arial" w:cs="Arial"/>
              </w:rPr>
              <w:t>b</w:t>
            </w:r>
            <w:r w:rsidR="00B56796">
              <w:rPr>
                <w:rFonts w:ascii="Arial" w:eastAsia="Arial" w:hAnsi="Arial" w:cs="Arial"/>
              </w:rPr>
              <w:t>ásico</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0,916</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0,659</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0,926</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0,899</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0,835</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0,888</w:t>
            </w:r>
          </w:p>
        </w:tc>
      </w:tr>
      <w:tr w:rsidR="003B2FCD">
        <w:trPr>
          <w:trHeight w:val="280"/>
          <w:jc w:val="center"/>
        </w:trPr>
        <w:tc>
          <w:tcPr>
            <w:tcW w:w="246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rsidP="00E65A95">
            <w:pPr>
              <w:widowControl w:val="0"/>
              <w:spacing w:line="276" w:lineRule="auto"/>
              <w:ind w:left="390"/>
              <w:rPr>
                <w:rFonts w:ascii="Arial" w:eastAsia="Arial" w:hAnsi="Arial" w:cs="Arial"/>
              </w:rPr>
            </w:pPr>
            <w:r>
              <w:rPr>
                <w:rFonts w:ascii="Arial" w:eastAsia="Arial" w:hAnsi="Arial" w:cs="Arial"/>
              </w:rPr>
              <w:t xml:space="preserve">Gestão </w:t>
            </w:r>
            <w:r w:rsidR="00E65A95">
              <w:rPr>
                <w:rFonts w:ascii="Arial" w:eastAsia="Arial" w:hAnsi="Arial" w:cs="Arial"/>
              </w:rPr>
              <w:t>a</w:t>
            </w:r>
            <w:r>
              <w:rPr>
                <w:rFonts w:ascii="Arial" w:eastAsia="Arial" w:hAnsi="Arial" w:cs="Arial"/>
              </w:rPr>
              <w:t>mbiental</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0,500</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0,500</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0,500</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0,500</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0,750</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0,250</w:t>
            </w:r>
          </w:p>
        </w:tc>
      </w:tr>
      <w:tr w:rsidR="003B2FCD">
        <w:trPr>
          <w:trHeight w:val="460"/>
          <w:jc w:val="center"/>
        </w:trPr>
        <w:tc>
          <w:tcPr>
            <w:tcW w:w="246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rsidP="00E65A95">
            <w:pPr>
              <w:widowControl w:val="0"/>
              <w:ind w:left="390"/>
              <w:rPr>
                <w:rFonts w:ascii="Arial" w:eastAsia="Arial" w:hAnsi="Arial" w:cs="Arial"/>
              </w:rPr>
            </w:pPr>
            <w:r>
              <w:rPr>
                <w:rFonts w:ascii="Arial" w:eastAsia="Arial" w:hAnsi="Arial" w:cs="Arial"/>
              </w:rPr>
              <w:t xml:space="preserve">Preservação </w:t>
            </w:r>
            <w:r w:rsidR="00E65A95">
              <w:rPr>
                <w:rFonts w:ascii="Arial" w:eastAsia="Arial" w:hAnsi="Arial" w:cs="Arial"/>
              </w:rPr>
              <w:t>a</w:t>
            </w:r>
            <w:r>
              <w:rPr>
                <w:rFonts w:ascii="Arial" w:eastAsia="Arial" w:hAnsi="Arial" w:cs="Arial"/>
              </w:rPr>
              <w:t>mbiental</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1,000</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0,776</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0,445</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1,000</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1,000</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1,000</w:t>
            </w:r>
          </w:p>
        </w:tc>
      </w:tr>
      <w:tr w:rsidR="003B2FCD">
        <w:trPr>
          <w:trHeight w:val="280"/>
          <w:jc w:val="center"/>
        </w:trPr>
        <w:tc>
          <w:tcPr>
            <w:tcW w:w="246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E65A95">
            <w:pPr>
              <w:widowControl w:val="0"/>
              <w:spacing w:line="276" w:lineRule="auto"/>
              <w:ind w:left="105"/>
              <w:rPr>
                <w:rFonts w:ascii="Arial" w:eastAsia="Arial" w:hAnsi="Arial" w:cs="Arial"/>
              </w:rPr>
            </w:pPr>
            <w:r>
              <w:rPr>
                <w:rFonts w:ascii="Arial" w:eastAsia="Arial" w:hAnsi="Arial" w:cs="Arial"/>
              </w:rPr>
              <w:t>Político-i</w:t>
            </w:r>
            <w:r w:rsidR="00B56796">
              <w:rPr>
                <w:rFonts w:ascii="Arial" w:eastAsia="Arial" w:hAnsi="Arial" w:cs="Arial"/>
              </w:rPr>
              <w:t>nstitucional</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0,726</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0,685</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0,622</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0,558</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0,684</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0,636</w:t>
            </w:r>
          </w:p>
        </w:tc>
      </w:tr>
      <w:tr w:rsidR="003B2FCD">
        <w:trPr>
          <w:trHeight w:val="280"/>
          <w:jc w:val="center"/>
        </w:trPr>
        <w:tc>
          <w:tcPr>
            <w:tcW w:w="246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rsidP="00E65A95">
            <w:pPr>
              <w:widowControl w:val="0"/>
              <w:spacing w:line="276" w:lineRule="auto"/>
              <w:ind w:left="240"/>
              <w:rPr>
                <w:rFonts w:ascii="Arial" w:eastAsia="Arial" w:hAnsi="Arial" w:cs="Arial"/>
              </w:rPr>
            </w:pPr>
            <w:r>
              <w:rPr>
                <w:rFonts w:ascii="Arial" w:eastAsia="Arial" w:hAnsi="Arial" w:cs="Arial"/>
              </w:rPr>
              <w:t xml:space="preserve">Finanças </w:t>
            </w:r>
            <w:r w:rsidR="00E65A95">
              <w:rPr>
                <w:rFonts w:ascii="Arial" w:eastAsia="Arial" w:hAnsi="Arial" w:cs="Arial"/>
              </w:rPr>
              <w:t>p</w:t>
            </w:r>
            <w:r>
              <w:rPr>
                <w:rFonts w:ascii="Arial" w:eastAsia="Arial" w:hAnsi="Arial" w:cs="Arial"/>
              </w:rPr>
              <w:t>úblicas</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0,730</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0,661</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0,640</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0,515</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0,612</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0,631</w:t>
            </w:r>
          </w:p>
        </w:tc>
      </w:tr>
      <w:tr w:rsidR="003B2FCD">
        <w:trPr>
          <w:trHeight w:val="280"/>
          <w:jc w:val="center"/>
        </w:trPr>
        <w:tc>
          <w:tcPr>
            <w:tcW w:w="246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E65A95">
            <w:pPr>
              <w:widowControl w:val="0"/>
              <w:spacing w:line="276" w:lineRule="auto"/>
              <w:ind w:left="240"/>
              <w:rPr>
                <w:rFonts w:ascii="Arial" w:eastAsia="Arial" w:hAnsi="Arial" w:cs="Arial"/>
              </w:rPr>
            </w:pPr>
            <w:r>
              <w:rPr>
                <w:rFonts w:ascii="Arial" w:eastAsia="Arial" w:hAnsi="Arial" w:cs="Arial"/>
              </w:rPr>
              <w:t>Gestão p</w:t>
            </w:r>
            <w:r w:rsidR="00B56796">
              <w:rPr>
                <w:rFonts w:ascii="Arial" w:eastAsia="Arial" w:hAnsi="Arial" w:cs="Arial"/>
              </w:rPr>
              <w:t>ública</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0,956</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0,891</w:t>
            </w:r>
          </w:p>
        </w:tc>
        <w:tc>
          <w:tcPr>
            <w:tcW w:w="1126"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0,723</w:t>
            </w:r>
          </w:p>
        </w:tc>
        <w:tc>
          <w:tcPr>
            <w:tcW w:w="124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0,733</w:t>
            </w:r>
          </w:p>
        </w:tc>
        <w:tc>
          <w:tcPr>
            <w:tcW w:w="1005"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0,956</w:t>
            </w:r>
          </w:p>
        </w:tc>
        <w:tc>
          <w:tcPr>
            <w:tcW w:w="980" w:type="dxa"/>
            <w:tcBorders>
              <w:top w:val="nil"/>
              <w:left w:val="nil"/>
              <w:bottom w:val="nil"/>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0,819</w:t>
            </w:r>
          </w:p>
        </w:tc>
      </w:tr>
      <w:tr w:rsidR="003B2FCD">
        <w:trPr>
          <w:trHeight w:val="280"/>
          <w:jc w:val="center"/>
        </w:trPr>
        <w:tc>
          <w:tcPr>
            <w:tcW w:w="246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rsidP="00E65A95">
            <w:pPr>
              <w:widowControl w:val="0"/>
              <w:spacing w:line="276" w:lineRule="auto"/>
              <w:ind w:left="240"/>
              <w:rPr>
                <w:rFonts w:ascii="Arial" w:eastAsia="Arial" w:hAnsi="Arial" w:cs="Arial"/>
              </w:rPr>
            </w:pPr>
            <w:r>
              <w:rPr>
                <w:rFonts w:ascii="Arial" w:eastAsia="Arial" w:hAnsi="Arial" w:cs="Arial"/>
              </w:rPr>
              <w:t xml:space="preserve">Participação </w:t>
            </w:r>
            <w:r w:rsidR="00E65A95">
              <w:rPr>
                <w:rFonts w:ascii="Arial" w:eastAsia="Arial" w:hAnsi="Arial" w:cs="Arial"/>
              </w:rPr>
              <w:t>s</w:t>
            </w:r>
            <w:r>
              <w:rPr>
                <w:rFonts w:ascii="Arial" w:eastAsia="Arial" w:hAnsi="Arial" w:cs="Arial"/>
              </w:rPr>
              <w:t>ocial</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0,489</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0,512</w:t>
            </w:r>
          </w:p>
        </w:tc>
        <w:tc>
          <w:tcPr>
            <w:tcW w:w="1126"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0,497</w:t>
            </w:r>
          </w:p>
        </w:tc>
        <w:tc>
          <w:tcPr>
            <w:tcW w:w="124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0,439</w:t>
            </w:r>
          </w:p>
        </w:tc>
        <w:tc>
          <w:tcPr>
            <w:tcW w:w="1005"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0,508</w:t>
            </w:r>
          </w:p>
        </w:tc>
        <w:tc>
          <w:tcPr>
            <w:tcW w:w="980" w:type="dxa"/>
            <w:tcBorders>
              <w:top w:val="nil"/>
              <w:left w:val="nil"/>
              <w:bottom w:val="single" w:sz="6" w:space="0" w:color="000000"/>
              <w:right w:val="nil"/>
            </w:tcBorders>
            <w:shd w:val="clear" w:color="auto" w:fill="FFFFFF"/>
            <w:tcMar>
              <w:top w:w="40" w:type="dxa"/>
              <w:left w:w="40" w:type="dxa"/>
              <w:bottom w:w="40" w:type="dxa"/>
              <w:right w:w="40" w:type="dxa"/>
            </w:tcMar>
            <w:vAlign w:val="center"/>
          </w:tcPr>
          <w:p w:rsidR="003B2FCD" w:rsidRDefault="00B56796">
            <w:pPr>
              <w:widowControl w:val="0"/>
              <w:spacing w:line="276" w:lineRule="auto"/>
              <w:jc w:val="center"/>
              <w:rPr>
                <w:rFonts w:ascii="Arial" w:eastAsia="Arial" w:hAnsi="Arial" w:cs="Arial"/>
              </w:rPr>
            </w:pPr>
            <w:r>
              <w:rPr>
                <w:rFonts w:ascii="Arial" w:eastAsia="Arial" w:hAnsi="Arial" w:cs="Arial"/>
              </w:rPr>
              <w:t>0,458</w:t>
            </w:r>
          </w:p>
        </w:tc>
      </w:tr>
    </w:tbl>
    <w:p w:rsidR="003B2FCD" w:rsidRDefault="00E65A95">
      <w:pPr>
        <w:rPr>
          <w:rFonts w:ascii="Arial" w:eastAsia="Arial" w:hAnsi="Arial" w:cs="Arial"/>
        </w:rPr>
      </w:pPr>
      <w:r>
        <w:rPr>
          <w:rFonts w:ascii="Arial" w:eastAsia="Arial" w:hAnsi="Arial" w:cs="Arial"/>
        </w:rPr>
        <w:t>Fonte: Elaborada</w:t>
      </w:r>
      <w:r w:rsidR="00B56796">
        <w:rPr>
          <w:rFonts w:ascii="Arial" w:eastAsia="Arial" w:hAnsi="Arial" w:cs="Arial"/>
        </w:rPr>
        <w:t xml:space="preserve"> pelos autores com base em Fecam (2016).</w:t>
      </w:r>
    </w:p>
    <w:p w:rsidR="003B2FCD" w:rsidRDefault="003B2FCD">
      <w:pPr>
        <w:pBdr>
          <w:top w:val="nil"/>
          <w:left w:val="nil"/>
          <w:bottom w:val="nil"/>
          <w:right w:val="nil"/>
          <w:between w:val="nil"/>
        </w:pBdr>
        <w:ind w:firstLine="720"/>
        <w:jc w:val="both"/>
        <w:rPr>
          <w:rFonts w:ascii="Arial" w:eastAsia="Arial" w:hAnsi="Arial" w:cs="Arial"/>
        </w:rPr>
      </w:pP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Em 2016 a média do IDMS desses seis municípios se recupera e fica em 0,7080, retomando a 20º posição no estado e alcançando o melhor índice nos anos analisados. O destaque para essa evolução foi o município de Chapecó, que saltou da 121ª posição, em 2014, para 21ª em 2016, como pode ser observado na Tabela 1.</w:t>
      </w: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 xml:space="preserve">Blumenau, apesar de apresentar uma leve queda entre os índices de 2014 e 2016, manteve-se na faixa ‘Médio Alto’, com o índice de 0,754, mas passou da 2ª para a 6ª posição do </w:t>
      </w:r>
      <w:r>
        <w:rPr>
          <w:rFonts w:ascii="Arial" w:eastAsia="Arial" w:hAnsi="Arial" w:cs="Arial"/>
          <w:i/>
          <w:sz w:val="24"/>
          <w:szCs w:val="24"/>
        </w:rPr>
        <w:t xml:space="preserve">ranking </w:t>
      </w:r>
      <w:r>
        <w:rPr>
          <w:rFonts w:ascii="Arial" w:eastAsia="Arial" w:hAnsi="Arial" w:cs="Arial"/>
          <w:sz w:val="24"/>
          <w:szCs w:val="24"/>
        </w:rPr>
        <w:t xml:space="preserve">em 2016. Esse declínio foi influenciado principalmente pela queda do índice ambiental, passando de 0,8889, ‘Alto’, para 0,805, ‘Médio Alto’, destacando-se a gestão ambiental como o único índice alterado entre os anos, passando de 0,750, ‘Médio Alto’, para 0,500, ‘Médio Baixo’. </w:t>
      </w:r>
    </w:p>
    <w:p w:rsidR="003B2FCD" w:rsidRDefault="00B56796">
      <w:pPr>
        <w:spacing w:line="360" w:lineRule="auto"/>
        <w:ind w:firstLine="720"/>
        <w:jc w:val="both"/>
        <w:rPr>
          <w:rFonts w:ascii="Arial" w:eastAsia="Arial" w:hAnsi="Arial" w:cs="Arial"/>
          <w:sz w:val="24"/>
          <w:szCs w:val="24"/>
        </w:rPr>
      </w:pPr>
      <w:r>
        <w:rPr>
          <w:rFonts w:ascii="Arial" w:eastAsia="Arial" w:hAnsi="Arial" w:cs="Arial"/>
          <w:sz w:val="24"/>
          <w:szCs w:val="24"/>
        </w:rPr>
        <w:t>O motivo de Chapecó ser o destaque do ano de 2016 foi pela melhora na dimensão sociocultural, passando do índice ‘Médio Alto’, de 0,750, para ‘Alto’, de 0,818, isso influenciado pela melhora em: habitação, que passou do índice ‘Médio Baixo’, de 0,575, para ‘Alto’, de 0,909; ambiental, que passou de ‘Baixo’, 0,478, para ‘Médio’, 0,645, influenciado pela gestão ambiental que no ano de 2014 apresentou índice zero e em 2016 apresentou índice de 0,500, sendo classificado na faixa ‘Médio Baixo’; e pela dimensão político-institucional, que subiu do índice ‘Médio Baixo’, de 0,618, para ‘Médio’, de 0,685, influenciado pelas três subdimensões, com destaque nas finanças públicas, que passou do índice ‘Médio Baixo’, de 0,555, para ‘Médio’, de 0,661.</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O município de Criciúma manteve-se com índice ‘Médio’ entre os anos de 2014 e 2016, apesar da queda do IDMS de 0,672 para 0,657. A referida queda foi influenciada pelo declínio da dimensão econômica, passando de 0,618 para 0,595, especialmente pela redução da agregação de valor econômico, que recuou de 0,535, ‘Médio Baixo’, para 0,487, ‘Baixo’, e, principalmente, pela queda na dimensão político-institucional, sobretudo do índice de gestão pública, que passou de 0,946, ‘Alto’, para 0,723, ‘Médio’.</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 xml:space="preserve">Em Florianópolis o índice decaiu de 0,721 para 0,717, passando da 12ª posição para a 14ª posição do </w:t>
      </w:r>
      <w:r>
        <w:rPr>
          <w:rFonts w:ascii="Arial" w:eastAsia="Arial" w:hAnsi="Arial" w:cs="Arial"/>
          <w:i/>
          <w:sz w:val="24"/>
          <w:szCs w:val="24"/>
        </w:rPr>
        <w:t>ranking</w:t>
      </w:r>
      <w:r>
        <w:rPr>
          <w:rFonts w:ascii="Arial" w:eastAsia="Arial" w:hAnsi="Arial" w:cs="Arial"/>
          <w:sz w:val="24"/>
          <w:szCs w:val="24"/>
        </w:rPr>
        <w:t>, mas se mantendo na faixa ‘Médio’. Essa queda foi influenciada pela dimensão econômica, onde o índice recuou de 0,725 para 0,712, ambos da faixa ‘Médio’, e pela dimensão político-institucional, na qual o índice baixou de 0,561 para 0,558, ambos da faixa ‘Médio Baixo’.</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 xml:space="preserve">Joinville teve um aumento do IDMS de 2014 para 2016, passando de 0,745, ‘Médio’, para 0,768, ‘Médio Alto’, e subindo da 6ª para a 2ª posição do </w:t>
      </w:r>
      <w:r>
        <w:rPr>
          <w:rFonts w:ascii="Arial" w:eastAsia="Arial" w:hAnsi="Arial" w:cs="Arial"/>
          <w:i/>
          <w:sz w:val="24"/>
          <w:szCs w:val="24"/>
        </w:rPr>
        <w:t>ranking</w:t>
      </w:r>
      <w:r>
        <w:rPr>
          <w:rFonts w:ascii="Arial" w:eastAsia="Arial" w:hAnsi="Arial" w:cs="Arial"/>
          <w:sz w:val="24"/>
          <w:szCs w:val="24"/>
        </w:rPr>
        <w:t>. Conforme se observa na Tabela 1, é a melhor colocação entre os municípios analisados. Essa melhora foi influenciada pela dimensão ambiental, onde o índice aumentou de 0,778 para 0,862, com destaque para a gestão ambiental, que passou da faixa ‘Médio Baixo’, com índice de 0,500, para a faixa ‘Médio Alto’, com índice de 0,750. A ascensão se deve ainda aos aumentos das dimensões sociocultural e político-institucional.</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 xml:space="preserve">Lages, que teve uma queda no índice de 2012 para 2014, continuou caindo em 2016, chegando a 0,651, mantendo-se na faixa ‘Médio’, porém ganhou </w:t>
      </w:r>
      <w:r w:rsidR="00D5339F">
        <w:rPr>
          <w:rFonts w:ascii="Arial" w:eastAsia="Arial" w:hAnsi="Arial" w:cs="Arial"/>
          <w:sz w:val="24"/>
          <w:szCs w:val="24"/>
        </w:rPr>
        <w:t>sete</w:t>
      </w:r>
      <w:r>
        <w:rPr>
          <w:rFonts w:ascii="Arial" w:eastAsia="Arial" w:hAnsi="Arial" w:cs="Arial"/>
          <w:sz w:val="24"/>
          <w:szCs w:val="24"/>
        </w:rPr>
        <w:t xml:space="preserve"> posições no </w:t>
      </w:r>
      <w:r>
        <w:rPr>
          <w:rFonts w:ascii="Arial" w:eastAsia="Arial" w:hAnsi="Arial" w:cs="Arial"/>
          <w:i/>
          <w:sz w:val="24"/>
          <w:szCs w:val="24"/>
        </w:rPr>
        <w:t>ranking</w:t>
      </w:r>
      <w:r>
        <w:rPr>
          <w:rFonts w:ascii="Arial" w:eastAsia="Arial" w:hAnsi="Arial" w:cs="Arial"/>
          <w:sz w:val="24"/>
          <w:szCs w:val="24"/>
        </w:rPr>
        <w:t>, passando da 80ª para a 73ª posição. Com exceção da dimensão ambiental, em que o índice melhorou, as outras tiveram uma redução. A sociocultural passou de 0,747 para 0,719, ambas da faixa ‘Médio’. A econômica foi a dimensão que apresentou a queda mais significativa, passando de 0,577 para 0,537, ambos os índices da faixa ‘Médio Baixo’, influenciado pela queda do dinamismo econômico, de 0,714, índice ‘Médio’, para 0,564, índice ‘Médio Baixo’. A dimensão político-institucional, apesar de também apresentar queda, não foi tão significativa, passando de 0,653 para 0,636, ambos os índices ‘Médios’.</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sidRPr="00324D3E">
        <w:rPr>
          <w:rFonts w:ascii="Arial" w:eastAsia="Arial" w:hAnsi="Arial" w:cs="Arial"/>
          <w:sz w:val="24"/>
          <w:szCs w:val="24"/>
        </w:rPr>
        <w:t xml:space="preserve">Corroborando com a </w:t>
      </w:r>
      <w:r w:rsidR="00324D3E">
        <w:rPr>
          <w:rFonts w:ascii="Arial" w:eastAsia="Arial" w:hAnsi="Arial" w:cs="Arial"/>
          <w:sz w:val="24"/>
          <w:szCs w:val="24"/>
        </w:rPr>
        <w:t>discussão</w:t>
      </w:r>
      <w:r w:rsidRPr="00324D3E">
        <w:rPr>
          <w:rFonts w:ascii="Arial" w:eastAsia="Arial" w:hAnsi="Arial" w:cs="Arial"/>
          <w:sz w:val="24"/>
          <w:szCs w:val="24"/>
        </w:rPr>
        <w:t xml:space="preserve">, o estudo de Ferreira, </w:t>
      </w:r>
      <w:r w:rsidR="00324D3E" w:rsidRPr="00324D3E">
        <w:rPr>
          <w:rFonts w:ascii="Arial" w:eastAsia="Arial" w:hAnsi="Arial" w:cs="Arial"/>
          <w:sz w:val="24"/>
          <w:szCs w:val="24"/>
        </w:rPr>
        <w:t>Sehnem e Bernardy (2015) aponta</w:t>
      </w:r>
      <w:r w:rsidRPr="00324D3E">
        <w:rPr>
          <w:rFonts w:ascii="Arial" w:eastAsia="Arial" w:hAnsi="Arial" w:cs="Arial"/>
          <w:sz w:val="24"/>
          <w:szCs w:val="24"/>
        </w:rPr>
        <w:t xml:space="preserve"> a importância de investimentos e ações estratégicas na área sociocultural, principalmente a de educação, salientando que c</w:t>
      </w:r>
      <w:r w:rsidR="00324D3E">
        <w:rPr>
          <w:rFonts w:ascii="Arial" w:eastAsia="Arial" w:hAnsi="Arial" w:cs="Arial"/>
          <w:sz w:val="24"/>
          <w:szCs w:val="24"/>
        </w:rPr>
        <w:t>om isso poderá haver mudança</w:t>
      </w:r>
      <w:r w:rsidRPr="00324D3E">
        <w:rPr>
          <w:rFonts w:ascii="Arial" w:eastAsia="Arial" w:hAnsi="Arial" w:cs="Arial"/>
          <w:sz w:val="24"/>
          <w:szCs w:val="24"/>
        </w:rPr>
        <w:t xml:space="preserve"> em outras dimensões, como a econômica, social, política e ambiental.</w:t>
      </w:r>
      <w:r w:rsidR="00076593" w:rsidRPr="00324D3E">
        <w:rPr>
          <w:rFonts w:ascii="Arial" w:eastAsia="Arial" w:hAnsi="Arial" w:cs="Arial"/>
          <w:sz w:val="24"/>
          <w:szCs w:val="24"/>
        </w:rPr>
        <w:t xml:space="preserve"> </w:t>
      </w:r>
      <w:r w:rsidRPr="00324D3E">
        <w:rPr>
          <w:rFonts w:ascii="Arial" w:eastAsia="Arial" w:hAnsi="Arial" w:cs="Arial"/>
          <w:sz w:val="24"/>
          <w:szCs w:val="24"/>
        </w:rPr>
        <w:t xml:space="preserve">Réus e Andion (2018) </w:t>
      </w:r>
      <w:r w:rsidR="00324D3E">
        <w:rPr>
          <w:rFonts w:ascii="Arial" w:eastAsia="Arial" w:hAnsi="Arial" w:cs="Arial"/>
          <w:sz w:val="24"/>
          <w:szCs w:val="24"/>
        </w:rPr>
        <w:t>reforçam</w:t>
      </w:r>
      <w:r w:rsidRPr="00324D3E">
        <w:rPr>
          <w:rFonts w:ascii="Arial" w:eastAsia="Arial" w:hAnsi="Arial" w:cs="Arial"/>
          <w:sz w:val="24"/>
          <w:szCs w:val="24"/>
        </w:rPr>
        <w:t xml:space="preserve"> a importância do IDMS como ferramenta para tomada de decisões por parte dos gestores públicos, </w:t>
      </w:r>
      <w:r w:rsidR="00324D3E">
        <w:rPr>
          <w:rFonts w:ascii="Arial" w:eastAsia="Arial" w:hAnsi="Arial" w:cs="Arial"/>
          <w:sz w:val="24"/>
          <w:szCs w:val="24"/>
        </w:rPr>
        <w:t>no entanto, ressaltam a</w:t>
      </w:r>
      <w:r w:rsidRPr="00324D3E">
        <w:rPr>
          <w:rFonts w:ascii="Arial" w:eastAsia="Arial" w:hAnsi="Arial" w:cs="Arial"/>
          <w:sz w:val="24"/>
          <w:szCs w:val="24"/>
        </w:rPr>
        <w:t xml:space="preserve"> falta de reação em processos, principalmente nas áreas ambientais</w:t>
      </w:r>
      <w:r w:rsidR="00643B81">
        <w:rPr>
          <w:rFonts w:ascii="Arial" w:eastAsia="Arial" w:hAnsi="Arial" w:cs="Arial"/>
          <w:sz w:val="24"/>
          <w:szCs w:val="24"/>
        </w:rPr>
        <w:t>,</w:t>
      </w:r>
      <w:r w:rsidRPr="00324D3E">
        <w:rPr>
          <w:rFonts w:ascii="Arial" w:eastAsia="Arial" w:hAnsi="Arial" w:cs="Arial"/>
          <w:sz w:val="24"/>
          <w:szCs w:val="24"/>
        </w:rPr>
        <w:t xml:space="preserve"> como saneamento básico e proteção ao meio ambiente.</w:t>
      </w:r>
    </w:p>
    <w:p w:rsidR="003B2FCD" w:rsidRDefault="003B2FCD">
      <w:pPr>
        <w:pBdr>
          <w:top w:val="nil"/>
          <w:left w:val="nil"/>
          <w:bottom w:val="nil"/>
          <w:right w:val="nil"/>
          <w:between w:val="nil"/>
        </w:pBdr>
        <w:spacing w:line="360" w:lineRule="auto"/>
        <w:rPr>
          <w:rFonts w:ascii="Arial" w:eastAsia="Arial" w:hAnsi="Arial" w:cs="Arial"/>
          <w:b/>
          <w:sz w:val="24"/>
          <w:szCs w:val="24"/>
        </w:rPr>
      </w:pPr>
    </w:p>
    <w:p w:rsidR="003B2FCD" w:rsidRDefault="00B56796">
      <w:pPr>
        <w:pBdr>
          <w:top w:val="nil"/>
          <w:left w:val="nil"/>
          <w:bottom w:val="nil"/>
          <w:right w:val="nil"/>
          <w:between w:val="nil"/>
        </w:pBdr>
        <w:spacing w:line="360" w:lineRule="auto"/>
        <w:rPr>
          <w:rFonts w:ascii="Arial" w:eastAsia="Arial" w:hAnsi="Arial" w:cs="Arial"/>
          <w:b/>
          <w:sz w:val="24"/>
          <w:szCs w:val="24"/>
        </w:rPr>
      </w:pPr>
      <w:r>
        <w:rPr>
          <w:rFonts w:ascii="Arial" w:eastAsia="Arial" w:hAnsi="Arial" w:cs="Arial"/>
          <w:b/>
          <w:sz w:val="24"/>
          <w:szCs w:val="24"/>
        </w:rPr>
        <w:t>5 CONSIDERAÇÕES FINAIS</w:t>
      </w:r>
    </w:p>
    <w:p w:rsidR="003B2FCD" w:rsidRDefault="003B2FCD">
      <w:pPr>
        <w:pBdr>
          <w:top w:val="nil"/>
          <w:left w:val="nil"/>
          <w:bottom w:val="nil"/>
          <w:right w:val="nil"/>
          <w:between w:val="nil"/>
        </w:pBdr>
        <w:spacing w:line="360" w:lineRule="auto"/>
        <w:jc w:val="both"/>
        <w:rPr>
          <w:rFonts w:ascii="Arial" w:eastAsia="Arial" w:hAnsi="Arial" w:cs="Arial"/>
          <w:sz w:val="24"/>
          <w:szCs w:val="24"/>
        </w:rPr>
      </w:pP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O desenvolvimento sustentável dos municípios em seus quatro eixos (sociocultural, econômico, ambiental e político-institucional) deve ser visto como prioridade pelos gestores públicos. No estado de Santa Catarina, essa ferramenta disponibilizada pela Fecam pode auxiliar os municípios no planejamento e nas ações que visem à manutenção ou à melhoria nas áreas pesquisadas.</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 xml:space="preserve">Diante disso, esta investigação buscou </w:t>
      </w:r>
      <w:r w:rsidR="00643B81">
        <w:rPr>
          <w:rFonts w:ascii="Arial" w:eastAsia="Arial" w:hAnsi="Arial" w:cs="Arial"/>
          <w:sz w:val="24"/>
          <w:szCs w:val="24"/>
        </w:rPr>
        <w:t>verificar</w:t>
      </w:r>
      <w:r>
        <w:rPr>
          <w:rFonts w:ascii="Arial" w:eastAsia="Arial" w:hAnsi="Arial" w:cs="Arial"/>
          <w:sz w:val="24"/>
          <w:szCs w:val="24"/>
        </w:rPr>
        <w:t xml:space="preserve"> os índices da maior cidade de cada mesorreg</w:t>
      </w:r>
      <w:r w:rsidR="00643B81">
        <w:rPr>
          <w:rFonts w:ascii="Arial" w:eastAsia="Arial" w:hAnsi="Arial" w:cs="Arial"/>
          <w:sz w:val="24"/>
          <w:szCs w:val="24"/>
        </w:rPr>
        <w:t>ião do estado de Santa Catarina,</w:t>
      </w:r>
      <w:r>
        <w:rPr>
          <w:rFonts w:ascii="Arial" w:eastAsia="Arial" w:hAnsi="Arial" w:cs="Arial"/>
          <w:sz w:val="24"/>
          <w:szCs w:val="24"/>
        </w:rPr>
        <w:t xml:space="preserve"> analisando os valores disponibilizados nos anos de 2012, 2014 e 2016. Esses municípios, por serem polos nas suas regiões, podem estimular/motivar os vizinhos menores que buscam melhorias para seus munícipes.</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Nos resultados obtidos, observa-se que todos os municípios pesquisados estão com valores acima das médias de cada uma de suas mesorregiões. Isso se deve ao tamanho das cidades, que são maiores que as demais e, possivelmente, suas arrecadações e investimentos também o sejam.</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As análises também demonstraram que os municípios de Blumenau e Florianópolis são os que mais se preocupam com questões ambientais, o que alavancou seus índices gerais. Apesar de apresentar uma melhora nos índices de 2016, o município com menor valor foi Chapecó. Para melhora desses dados, sugere-se que sejam realizados mais investimentos, principalmente na área de gestão ambiental. Na área econômica, nenhum dos municípios estudados obteve destaque positivo. Porém, negativamente, despontam Criciúma e Lages. Para estes, sugere-se que sejam direcionados investimentos e atraídas empresas de outras áreas, mudando e/ou diversificando para atividades que possam gerar mais valor econômico.</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Nas áreas sociocultural e político-institucional, nenhum município teve dados de destaque negativo. Na forma contrária, sobressaem-se em todos os anos, na dimensão sociocultural, Chapecó e Criciúma e, nos últim</w:t>
      </w:r>
      <w:r w:rsidR="003835E9">
        <w:rPr>
          <w:rFonts w:ascii="Arial" w:eastAsia="Arial" w:hAnsi="Arial" w:cs="Arial"/>
          <w:sz w:val="24"/>
          <w:szCs w:val="24"/>
        </w:rPr>
        <w:t>os anos, Lages e Joinville. N</w:t>
      </w:r>
      <w:r>
        <w:rPr>
          <w:rFonts w:ascii="Arial" w:eastAsia="Arial" w:hAnsi="Arial" w:cs="Arial"/>
          <w:sz w:val="24"/>
          <w:szCs w:val="24"/>
        </w:rPr>
        <w:t>a político-institucional, as três maiores cidades do estado - Joinville</w:t>
      </w:r>
      <w:r w:rsidR="003835E9">
        <w:rPr>
          <w:rFonts w:ascii="Arial" w:eastAsia="Arial" w:hAnsi="Arial" w:cs="Arial"/>
          <w:sz w:val="24"/>
          <w:szCs w:val="24"/>
        </w:rPr>
        <w:t xml:space="preserve">, Florianópolis e Blumenau - </w:t>
      </w:r>
      <w:r>
        <w:rPr>
          <w:rFonts w:ascii="Arial" w:eastAsia="Arial" w:hAnsi="Arial" w:cs="Arial"/>
          <w:sz w:val="24"/>
          <w:szCs w:val="24"/>
        </w:rPr>
        <w:t>destacam</w:t>
      </w:r>
      <w:r w:rsidR="003835E9">
        <w:rPr>
          <w:rFonts w:ascii="Arial" w:eastAsia="Arial" w:hAnsi="Arial" w:cs="Arial"/>
          <w:sz w:val="24"/>
          <w:szCs w:val="24"/>
        </w:rPr>
        <w:t>-se</w:t>
      </w:r>
      <w:r>
        <w:rPr>
          <w:rFonts w:ascii="Arial" w:eastAsia="Arial" w:hAnsi="Arial" w:cs="Arial"/>
          <w:sz w:val="24"/>
          <w:szCs w:val="24"/>
        </w:rPr>
        <w:t xml:space="preserve"> de forma positiva, o que sugere a manutenção dessa dimensão que foi uma das que impulsionaram o índice geral.</w:t>
      </w:r>
    </w:p>
    <w:p w:rsidR="003B2FCD" w:rsidRDefault="00B56796">
      <w:pPr>
        <w:pBdr>
          <w:top w:val="nil"/>
          <w:left w:val="nil"/>
          <w:bottom w:val="nil"/>
          <w:right w:val="nil"/>
          <w:between w:val="nil"/>
        </w:pBdr>
        <w:spacing w:line="360" w:lineRule="auto"/>
        <w:ind w:firstLine="720"/>
        <w:jc w:val="both"/>
        <w:rPr>
          <w:rFonts w:ascii="Arial" w:eastAsia="Arial" w:hAnsi="Arial" w:cs="Arial"/>
          <w:sz w:val="24"/>
          <w:szCs w:val="24"/>
        </w:rPr>
      </w:pPr>
      <w:r>
        <w:rPr>
          <w:rFonts w:ascii="Arial" w:eastAsia="Arial" w:hAnsi="Arial" w:cs="Arial"/>
          <w:sz w:val="24"/>
          <w:szCs w:val="24"/>
        </w:rPr>
        <w:t>A variação dos índices entre os anos leva a diversos questionamentos. Como sugestão para futuros trabalhos, podem ser realizadas pesquisas qualitativas levantando quais são os motivos que geram as variações do IDMS durante os anos, como pode ser observado no município de Chapecó, que teve uma queda de 2012 para 2014 e uma ascensão de 2014 para 2016.</w:t>
      </w:r>
    </w:p>
    <w:p w:rsidR="003B2FCD" w:rsidRDefault="003B2FCD">
      <w:pPr>
        <w:spacing w:line="360" w:lineRule="auto"/>
        <w:jc w:val="both"/>
        <w:rPr>
          <w:rFonts w:ascii="Arial" w:eastAsia="Arial" w:hAnsi="Arial" w:cs="Arial"/>
          <w:sz w:val="24"/>
          <w:szCs w:val="24"/>
        </w:rPr>
      </w:pPr>
    </w:p>
    <w:p w:rsidR="003B2FCD" w:rsidRDefault="00B56796">
      <w:pPr>
        <w:rPr>
          <w:rFonts w:ascii="Arial" w:eastAsia="Arial" w:hAnsi="Arial" w:cs="Arial"/>
          <w:b/>
          <w:sz w:val="24"/>
          <w:szCs w:val="24"/>
        </w:rPr>
      </w:pPr>
      <w:r>
        <w:rPr>
          <w:rFonts w:ascii="Arial" w:eastAsia="Arial" w:hAnsi="Arial" w:cs="Arial"/>
          <w:b/>
          <w:sz w:val="24"/>
          <w:szCs w:val="24"/>
        </w:rPr>
        <w:t>Referências</w:t>
      </w:r>
    </w:p>
    <w:p w:rsidR="003B2FCD" w:rsidRDefault="003B2FCD">
      <w:pPr>
        <w:jc w:val="both"/>
        <w:rPr>
          <w:rFonts w:ascii="Arial" w:eastAsia="Arial" w:hAnsi="Arial" w:cs="Arial"/>
          <w:sz w:val="24"/>
          <w:szCs w:val="24"/>
        </w:rPr>
      </w:pPr>
      <w:bookmarkStart w:id="1" w:name="_30j0zll" w:colFirst="0" w:colLast="0"/>
      <w:bookmarkEnd w:id="1"/>
    </w:p>
    <w:p w:rsidR="003B2FCD" w:rsidRDefault="00B56796">
      <w:pPr>
        <w:jc w:val="both"/>
        <w:rPr>
          <w:rFonts w:ascii="Arial" w:eastAsia="Arial" w:hAnsi="Arial" w:cs="Arial"/>
          <w:sz w:val="24"/>
          <w:szCs w:val="24"/>
        </w:rPr>
      </w:pPr>
      <w:r w:rsidRPr="003835E9">
        <w:rPr>
          <w:rFonts w:ascii="Arial" w:eastAsia="Arial" w:hAnsi="Arial" w:cs="Arial"/>
          <w:sz w:val="24"/>
          <w:szCs w:val="24"/>
        </w:rPr>
        <w:t>BACKES, N. A</w:t>
      </w:r>
      <w:r w:rsidR="003835E9">
        <w:rPr>
          <w:rFonts w:ascii="Arial" w:eastAsia="Arial" w:hAnsi="Arial" w:cs="Arial"/>
          <w:sz w:val="24"/>
          <w:szCs w:val="24"/>
        </w:rPr>
        <w:t>.</w:t>
      </w:r>
      <w:r w:rsidRPr="003835E9">
        <w:rPr>
          <w:rFonts w:ascii="Arial" w:eastAsia="Arial" w:hAnsi="Arial" w:cs="Arial"/>
          <w:sz w:val="24"/>
          <w:szCs w:val="24"/>
        </w:rPr>
        <w:t>; SILVA, W. V</w:t>
      </w:r>
      <w:r w:rsidR="003835E9">
        <w:rPr>
          <w:rFonts w:ascii="Arial" w:eastAsia="Arial" w:hAnsi="Arial" w:cs="Arial"/>
          <w:sz w:val="24"/>
          <w:szCs w:val="24"/>
        </w:rPr>
        <w:t>.</w:t>
      </w:r>
      <w:r w:rsidRPr="003835E9">
        <w:rPr>
          <w:rFonts w:ascii="Arial" w:eastAsia="Arial" w:hAnsi="Arial" w:cs="Arial"/>
          <w:sz w:val="24"/>
          <w:szCs w:val="24"/>
        </w:rPr>
        <w:t>; ADÃO, W.</w:t>
      </w:r>
      <w:r w:rsidR="00076593" w:rsidRPr="003835E9">
        <w:rPr>
          <w:rFonts w:ascii="Arial" w:eastAsia="Arial" w:hAnsi="Arial" w:cs="Arial"/>
          <w:sz w:val="24"/>
          <w:szCs w:val="24"/>
        </w:rPr>
        <w:t xml:space="preserve"> </w:t>
      </w:r>
      <w:r w:rsidR="003835E9">
        <w:rPr>
          <w:rFonts w:ascii="Arial" w:eastAsia="Arial" w:hAnsi="Arial" w:cs="Arial"/>
          <w:sz w:val="24"/>
          <w:szCs w:val="24"/>
        </w:rPr>
        <w:t xml:space="preserve">J.; </w:t>
      </w:r>
      <w:r w:rsidRPr="003835E9">
        <w:rPr>
          <w:rFonts w:ascii="Arial" w:eastAsia="Arial" w:hAnsi="Arial" w:cs="Arial"/>
          <w:sz w:val="24"/>
          <w:szCs w:val="24"/>
        </w:rPr>
        <w:t>CORSO, J. M. Indicadores contábeis mais apropriados para mensurar o desempenho financeiro das empresas</w:t>
      </w:r>
      <w:r>
        <w:rPr>
          <w:rFonts w:ascii="Arial" w:eastAsia="Arial" w:hAnsi="Arial" w:cs="Arial"/>
          <w:sz w:val="24"/>
          <w:szCs w:val="24"/>
        </w:rPr>
        <w:t xml:space="preserve"> listadas na Bo</w:t>
      </w:r>
      <w:bookmarkStart w:id="2" w:name="_GoBack"/>
      <w:bookmarkEnd w:id="2"/>
      <w:r>
        <w:rPr>
          <w:rFonts w:ascii="Arial" w:eastAsia="Arial" w:hAnsi="Arial" w:cs="Arial"/>
          <w:sz w:val="24"/>
          <w:szCs w:val="24"/>
        </w:rPr>
        <w:t xml:space="preserve">vespa. </w:t>
      </w:r>
      <w:r>
        <w:rPr>
          <w:rFonts w:ascii="Arial" w:eastAsia="Arial" w:hAnsi="Arial" w:cs="Arial"/>
          <w:b/>
          <w:sz w:val="24"/>
          <w:szCs w:val="24"/>
        </w:rPr>
        <w:t>Revista Eletrônica de Estratégia e Negócios</w:t>
      </w:r>
      <w:r>
        <w:rPr>
          <w:rFonts w:ascii="Arial" w:eastAsia="Arial" w:hAnsi="Arial" w:cs="Arial"/>
          <w:sz w:val="24"/>
          <w:szCs w:val="24"/>
        </w:rPr>
        <w:t>, v. 2, n. 1, p. 117-135, 2009.</w:t>
      </w:r>
    </w:p>
    <w:p w:rsidR="003B2FCD" w:rsidRDefault="003B2FCD">
      <w:pPr>
        <w:jc w:val="both"/>
        <w:rPr>
          <w:rFonts w:ascii="Arial" w:eastAsia="Arial" w:hAnsi="Arial" w:cs="Arial"/>
          <w:sz w:val="24"/>
          <w:szCs w:val="24"/>
        </w:rPr>
      </w:pPr>
    </w:p>
    <w:p w:rsidR="003B2FCD" w:rsidRDefault="00B56796">
      <w:pPr>
        <w:jc w:val="both"/>
        <w:rPr>
          <w:rFonts w:ascii="Arial" w:eastAsia="Arial" w:hAnsi="Arial" w:cs="Arial"/>
          <w:sz w:val="24"/>
          <w:szCs w:val="24"/>
        </w:rPr>
      </w:pPr>
      <w:r>
        <w:rPr>
          <w:rFonts w:ascii="Arial" w:eastAsia="Arial" w:hAnsi="Arial" w:cs="Arial"/>
          <w:sz w:val="24"/>
          <w:szCs w:val="24"/>
        </w:rPr>
        <w:t xml:space="preserve">BANDEIRA, A. A. </w:t>
      </w:r>
      <w:r>
        <w:rPr>
          <w:rFonts w:ascii="Arial" w:eastAsia="Arial" w:hAnsi="Arial" w:cs="Arial"/>
          <w:b/>
          <w:sz w:val="24"/>
          <w:szCs w:val="24"/>
        </w:rPr>
        <w:t>Indicadores de desempenho</w:t>
      </w:r>
      <w:r>
        <w:rPr>
          <w:rFonts w:ascii="Arial" w:eastAsia="Arial" w:hAnsi="Arial" w:cs="Arial"/>
          <w:sz w:val="24"/>
          <w:szCs w:val="24"/>
        </w:rPr>
        <w:t>: instrumento à produtividade organizacional. Rio de Janeiro: Qualitymark, 2009.</w:t>
      </w:r>
    </w:p>
    <w:p w:rsidR="003B2FCD" w:rsidRDefault="003B2FCD">
      <w:pPr>
        <w:jc w:val="both"/>
        <w:rPr>
          <w:rFonts w:ascii="Arial" w:eastAsia="Arial" w:hAnsi="Arial" w:cs="Arial"/>
          <w:sz w:val="24"/>
          <w:szCs w:val="24"/>
        </w:rPr>
      </w:pPr>
    </w:p>
    <w:p w:rsidR="003B2FCD" w:rsidRDefault="00B56796">
      <w:pPr>
        <w:jc w:val="both"/>
        <w:rPr>
          <w:rFonts w:ascii="Arial" w:eastAsia="Arial" w:hAnsi="Arial" w:cs="Arial"/>
          <w:sz w:val="24"/>
          <w:szCs w:val="24"/>
        </w:rPr>
      </w:pPr>
      <w:r w:rsidRPr="003835E9">
        <w:rPr>
          <w:rFonts w:ascii="Arial" w:eastAsia="Arial" w:hAnsi="Arial" w:cs="Arial"/>
          <w:sz w:val="24"/>
          <w:szCs w:val="24"/>
        </w:rPr>
        <w:t xml:space="preserve">BRAGA, T. M.; FREITAS, A. P. G.; DUARTE, G. S.; CAREPA-SOUZA, J. Índices de sustentabilidade municipal: o desafio de mensurar. </w:t>
      </w:r>
      <w:r w:rsidRPr="003835E9">
        <w:rPr>
          <w:rFonts w:ascii="Arial" w:eastAsia="Arial" w:hAnsi="Arial" w:cs="Arial"/>
          <w:b/>
          <w:sz w:val="24"/>
          <w:szCs w:val="24"/>
        </w:rPr>
        <w:t>Nova Economia</w:t>
      </w:r>
      <w:r w:rsidRPr="003835E9">
        <w:rPr>
          <w:rFonts w:ascii="Arial" w:eastAsia="Arial" w:hAnsi="Arial" w:cs="Arial"/>
          <w:sz w:val="24"/>
          <w:szCs w:val="24"/>
        </w:rPr>
        <w:t>, v. 14, n. 3, p.11-33, 2004.</w:t>
      </w:r>
    </w:p>
    <w:p w:rsidR="003B2FCD" w:rsidRDefault="003B2FCD">
      <w:pPr>
        <w:jc w:val="both"/>
        <w:rPr>
          <w:rFonts w:ascii="Arial" w:eastAsia="Arial" w:hAnsi="Arial" w:cs="Arial"/>
          <w:sz w:val="24"/>
          <w:szCs w:val="24"/>
        </w:rPr>
      </w:pPr>
    </w:p>
    <w:p w:rsidR="003B2FCD" w:rsidRDefault="00B56796">
      <w:pPr>
        <w:jc w:val="both"/>
        <w:rPr>
          <w:rFonts w:ascii="Arial" w:eastAsia="Arial" w:hAnsi="Arial" w:cs="Arial"/>
          <w:sz w:val="24"/>
          <w:szCs w:val="24"/>
        </w:rPr>
      </w:pPr>
      <w:r>
        <w:rPr>
          <w:rFonts w:ascii="Arial" w:eastAsia="Arial" w:hAnsi="Arial" w:cs="Arial"/>
          <w:sz w:val="24"/>
          <w:szCs w:val="24"/>
        </w:rPr>
        <w:t xml:space="preserve">CÂNDIDO, G. A. A formação de redes interorganizacionais como mecanismo para geração de vantagem competitiva e para promoção do desenvolvimento regional: o papel do estado e das políticas públicas neste cenário. </w:t>
      </w:r>
      <w:r>
        <w:rPr>
          <w:rFonts w:ascii="Arial" w:eastAsia="Arial" w:hAnsi="Arial" w:cs="Arial"/>
          <w:b/>
          <w:sz w:val="24"/>
          <w:szCs w:val="24"/>
        </w:rPr>
        <w:t>REAd.</w:t>
      </w:r>
      <w:r>
        <w:rPr>
          <w:rFonts w:ascii="Arial" w:eastAsia="Arial" w:hAnsi="Arial" w:cs="Arial"/>
          <w:sz w:val="24"/>
          <w:szCs w:val="24"/>
        </w:rPr>
        <w:t>, v. 8, n. 4, p. 01-17, 2002.</w:t>
      </w:r>
    </w:p>
    <w:p w:rsidR="003B2FCD" w:rsidRDefault="003B2FCD">
      <w:pPr>
        <w:jc w:val="both"/>
        <w:rPr>
          <w:rFonts w:ascii="Arial" w:eastAsia="Arial" w:hAnsi="Arial" w:cs="Arial"/>
          <w:sz w:val="24"/>
          <w:szCs w:val="24"/>
        </w:rPr>
      </w:pPr>
    </w:p>
    <w:p w:rsidR="003B2FCD" w:rsidRDefault="00B56796">
      <w:pPr>
        <w:jc w:val="both"/>
        <w:rPr>
          <w:rFonts w:ascii="Arial" w:eastAsia="Arial" w:hAnsi="Arial" w:cs="Arial"/>
          <w:sz w:val="24"/>
          <w:szCs w:val="24"/>
        </w:rPr>
      </w:pPr>
      <w:r>
        <w:rPr>
          <w:rFonts w:ascii="Arial" w:eastAsia="Arial" w:hAnsi="Arial" w:cs="Arial"/>
          <w:sz w:val="24"/>
          <w:szCs w:val="24"/>
        </w:rPr>
        <w:t xml:space="preserve">COELHO, F. D. O município como agente de desenvolvimento econômico. </w:t>
      </w:r>
      <w:r>
        <w:rPr>
          <w:rFonts w:ascii="Arial" w:eastAsia="Arial" w:hAnsi="Arial" w:cs="Arial"/>
          <w:b/>
          <w:sz w:val="24"/>
          <w:szCs w:val="24"/>
        </w:rPr>
        <w:t>Revista de Administração Municipal</w:t>
      </w:r>
      <w:r>
        <w:rPr>
          <w:rFonts w:ascii="Arial" w:eastAsia="Arial" w:hAnsi="Arial" w:cs="Arial"/>
          <w:sz w:val="24"/>
          <w:szCs w:val="24"/>
        </w:rPr>
        <w:t>, v. 41, p. 23-33, 1994.</w:t>
      </w:r>
    </w:p>
    <w:p w:rsidR="003B2FCD" w:rsidRDefault="003B2FCD">
      <w:pPr>
        <w:jc w:val="both"/>
        <w:rPr>
          <w:rFonts w:ascii="Arial" w:eastAsia="Arial" w:hAnsi="Arial" w:cs="Arial"/>
          <w:sz w:val="24"/>
          <w:szCs w:val="24"/>
        </w:rPr>
      </w:pPr>
    </w:p>
    <w:p w:rsidR="003B2FCD" w:rsidRPr="004E4A02" w:rsidRDefault="003835E9">
      <w:pPr>
        <w:jc w:val="both"/>
        <w:rPr>
          <w:rFonts w:ascii="Arial" w:eastAsia="Arial" w:hAnsi="Arial" w:cs="Arial"/>
          <w:sz w:val="24"/>
          <w:szCs w:val="24"/>
          <w:lang w:val="en-US"/>
        </w:rPr>
      </w:pPr>
      <w:r w:rsidRPr="003835E9">
        <w:rPr>
          <w:rFonts w:ascii="Arial" w:eastAsia="Arial" w:hAnsi="Arial" w:cs="Arial"/>
          <w:sz w:val="24"/>
          <w:szCs w:val="24"/>
          <w:lang w:val="en-US"/>
        </w:rPr>
        <w:t>DYLLICK, T.; HOCKERTS, K</w:t>
      </w:r>
      <w:r w:rsidR="00B56796" w:rsidRPr="003835E9">
        <w:rPr>
          <w:rFonts w:ascii="Arial" w:eastAsia="Arial" w:hAnsi="Arial" w:cs="Arial"/>
          <w:sz w:val="24"/>
          <w:szCs w:val="24"/>
          <w:lang w:val="en-US"/>
        </w:rPr>
        <w:t xml:space="preserve">. </w:t>
      </w:r>
      <w:r w:rsidR="00B56796" w:rsidRPr="004E4A02">
        <w:rPr>
          <w:rFonts w:ascii="Arial" w:eastAsia="Arial" w:hAnsi="Arial" w:cs="Arial"/>
          <w:sz w:val="24"/>
          <w:szCs w:val="24"/>
          <w:lang w:val="en-US"/>
        </w:rPr>
        <w:t xml:space="preserve">Beyond the business case for corporate sustainability. </w:t>
      </w:r>
      <w:r w:rsidR="00B56796" w:rsidRPr="004E4A02">
        <w:rPr>
          <w:rFonts w:ascii="Arial" w:eastAsia="Arial" w:hAnsi="Arial" w:cs="Arial"/>
          <w:b/>
          <w:sz w:val="24"/>
          <w:szCs w:val="24"/>
          <w:lang w:val="en-US"/>
        </w:rPr>
        <w:t xml:space="preserve">Business </w:t>
      </w:r>
      <w:r>
        <w:rPr>
          <w:rFonts w:ascii="Arial" w:eastAsia="Arial" w:hAnsi="Arial" w:cs="Arial"/>
          <w:b/>
          <w:sz w:val="24"/>
          <w:szCs w:val="24"/>
          <w:lang w:val="en-US"/>
        </w:rPr>
        <w:t>S</w:t>
      </w:r>
      <w:r w:rsidR="00B56796" w:rsidRPr="004E4A02">
        <w:rPr>
          <w:rFonts w:ascii="Arial" w:eastAsia="Arial" w:hAnsi="Arial" w:cs="Arial"/>
          <w:b/>
          <w:sz w:val="24"/>
          <w:szCs w:val="24"/>
          <w:lang w:val="en-US"/>
        </w:rPr>
        <w:t xml:space="preserve">trategy and the </w:t>
      </w:r>
      <w:r>
        <w:rPr>
          <w:rFonts w:ascii="Arial" w:eastAsia="Arial" w:hAnsi="Arial" w:cs="Arial"/>
          <w:b/>
          <w:sz w:val="24"/>
          <w:szCs w:val="24"/>
          <w:lang w:val="en-US"/>
        </w:rPr>
        <w:t>E</w:t>
      </w:r>
      <w:r w:rsidR="00B56796" w:rsidRPr="004E4A02">
        <w:rPr>
          <w:rFonts w:ascii="Arial" w:eastAsia="Arial" w:hAnsi="Arial" w:cs="Arial"/>
          <w:b/>
          <w:sz w:val="24"/>
          <w:szCs w:val="24"/>
          <w:lang w:val="en-US"/>
        </w:rPr>
        <w:t>nvironment</w:t>
      </w:r>
      <w:r w:rsidR="00B56796" w:rsidRPr="004E4A02">
        <w:rPr>
          <w:rFonts w:ascii="Arial" w:eastAsia="Arial" w:hAnsi="Arial" w:cs="Arial"/>
          <w:sz w:val="24"/>
          <w:szCs w:val="24"/>
          <w:lang w:val="en-US"/>
        </w:rPr>
        <w:t>, v. 11, n. 2, p. 130-141, 2002.</w:t>
      </w:r>
    </w:p>
    <w:p w:rsidR="003B2FCD" w:rsidRPr="004E4A02" w:rsidRDefault="003B2FCD">
      <w:pPr>
        <w:jc w:val="both"/>
        <w:rPr>
          <w:rFonts w:ascii="Arial" w:eastAsia="Arial" w:hAnsi="Arial" w:cs="Arial"/>
          <w:sz w:val="24"/>
          <w:szCs w:val="24"/>
          <w:lang w:val="en-US"/>
        </w:rPr>
      </w:pPr>
    </w:p>
    <w:p w:rsidR="003B2FCD" w:rsidRDefault="003835E9">
      <w:pPr>
        <w:jc w:val="both"/>
        <w:rPr>
          <w:rFonts w:ascii="Arial" w:eastAsia="Arial" w:hAnsi="Arial" w:cs="Arial"/>
          <w:color w:val="222222"/>
          <w:sz w:val="24"/>
          <w:szCs w:val="24"/>
          <w:lang w:val="en-US"/>
        </w:rPr>
      </w:pPr>
      <w:r w:rsidRPr="003835E9">
        <w:rPr>
          <w:rFonts w:ascii="Arial" w:eastAsia="Arial" w:hAnsi="Arial" w:cs="Arial"/>
          <w:color w:val="222222"/>
          <w:sz w:val="24"/>
          <w:szCs w:val="24"/>
        </w:rPr>
        <w:t xml:space="preserve">ELKINGTON, J. </w:t>
      </w:r>
      <w:r w:rsidRPr="003835E9">
        <w:rPr>
          <w:rFonts w:ascii="Arial" w:eastAsia="Arial" w:hAnsi="Arial" w:cs="Arial"/>
          <w:b/>
          <w:color w:val="222222"/>
          <w:sz w:val="24"/>
          <w:szCs w:val="24"/>
        </w:rPr>
        <w:t>Canibais com garfo e faca</w:t>
      </w:r>
      <w:r w:rsidRPr="003835E9">
        <w:rPr>
          <w:rFonts w:ascii="Arial" w:eastAsia="Arial" w:hAnsi="Arial" w:cs="Arial"/>
          <w:color w:val="222222"/>
          <w:sz w:val="24"/>
          <w:szCs w:val="24"/>
        </w:rPr>
        <w:t xml:space="preserve">: edição histórica de 12 anos. </w:t>
      </w:r>
      <w:r w:rsidRPr="003835E9">
        <w:rPr>
          <w:rFonts w:ascii="Arial" w:eastAsia="Arial" w:hAnsi="Arial" w:cs="Arial"/>
          <w:color w:val="222222"/>
          <w:sz w:val="24"/>
          <w:szCs w:val="24"/>
          <w:lang w:val="en-US"/>
        </w:rPr>
        <w:t>São Paulo: Makron Books do Brasil, 2012.</w:t>
      </w:r>
    </w:p>
    <w:p w:rsidR="003835E9" w:rsidRDefault="003835E9">
      <w:pPr>
        <w:jc w:val="both"/>
        <w:rPr>
          <w:rFonts w:ascii="Arial" w:eastAsia="Arial" w:hAnsi="Arial" w:cs="Arial"/>
          <w:sz w:val="24"/>
          <w:szCs w:val="24"/>
        </w:rPr>
      </w:pPr>
    </w:p>
    <w:p w:rsidR="003B2FCD" w:rsidRDefault="00B56796">
      <w:pPr>
        <w:jc w:val="both"/>
        <w:rPr>
          <w:rFonts w:ascii="Arial" w:eastAsia="Arial" w:hAnsi="Arial" w:cs="Arial"/>
          <w:sz w:val="24"/>
          <w:szCs w:val="24"/>
        </w:rPr>
      </w:pPr>
      <w:r>
        <w:rPr>
          <w:rFonts w:ascii="Arial" w:eastAsia="Arial" w:hAnsi="Arial" w:cs="Arial"/>
          <w:sz w:val="24"/>
          <w:szCs w:val="24"/>
        </w:rPr>
        <w:t xml:space="preserve">FECAM. </w:t>
      </w:r>
      <w:r>
        <w:rPr>
          <w:rFonts w:ascii="Arial" w:eastAsia="Arial" w:hAnsi="Arial" w:cs="Arial"/>
          <w:b/>
          <w:sz w:val="24"/>
          <w:szCs w:val="24"/>
        </w:rPr>
        <w:t xml:space="preserve">Metodologia </w:t>
      </w:r>
      <w:r w:rsidR="003835E9">
        <w:rPr>
          <w:rFonts w:ascii="Arial" w:eastAsia="Arial" w:hAnsi="Arial" w:cs="Arial"/>
          <w:b/>
          <w:sz w:val="24"/>
          <w:szCs w:val="24"/>
        </w:rPr>
        <w:t>do sistema de indicadores de desenvolvimento municipal sustentável</w:t>
      </w:r>
      <w:r>
        <w:rPr>
          <w:rFonts w:ascii="Arial" w:eastAsia="Arial" w:hAnsi="Arial" w:cs="Arial"/>
          <w:sz w:val="24"/>
          <w:szCs w:val="24"/>
        </w:rPr>
        <w:t>. Florianópolis: FECAM, 2014</w:t>
      </w:r>
      <w:r w:rsidR="003835E9">
        <w:rPr>
          <w:rFonts w:ascii="Arial" w:eastAsia="Arial" w:hAnsi="Arial" w:cs="Arial"/>
          <w:sz w:val="24"/>
          <w:szCs w:val="24"/>
        </w:rPr>
        <w:t>.</w:t>
      </w:r>
    </w:p>
    <w:p w:rsidR="003B2FCD" w:rsidRDefault="003B2FCD">
      <w:pPr>
        <w:jc w:val="both"/>
        <w:rPr>
          <w:rFonts w:ascii="Arial" w:eastAsia="Arial" w:hAnsi="Arial" w:cs="Arial"/>
          <w:sz w:val="24"/>
          <w:szCs w:val="24"/>
        </w:rPr>
      </w:pPr>
    </w:p>
    <w:p w:rsidR="003B2FCD" w:rsidRDefault="003C76BC">
      <w:pPr>
        <w:jc w:val="both"/>
        <w:rPr>
          <w:rFonts w:ascii="Arial" w:eastAsia="Arial" w:hAnsi="Arial" w:cs="Arial"/>
          <w:sz w:val="24"/>
          <w:szCs w:val="24"/>
        </w:rPr>
      </w:pPr>
      <w:r>
        <w:rPr>
          <w:rFonts w:ascii="Arial" w:eastAsia="Arial" w:hAnsi="Arial" w:cs="Arial"/>
          <w:sz w:val="24"/>
          <w:szCs w:val="24"/>
        </w:rPr>
        <w:t>______</w:t>
      </w:r>
      <w:r w:rsidR="00B56796">
        <w:rPr>
          <w:rFonts w:ascii="Arial" w:eastAsia="Arial" w:hAnsi="Arial" w:cs="Arial"/>
          <w:sz w:val="24"/>
          <w:szCs w:val="24"/>
        </w:rPr>
        <w:t xml:space="preserve">. </w:t>
      </w:r>
      <w:r w:rsidR="00B56796">
        <w:rPr>
          <w:rFonts w:ascii="Arial" w:eastAsia="Arial" w:hAnsi="Arial" w:cs="Arial"/>
          <w:b/>
          <w:sz w:val="24"/>
          <w:szCs w:val="24"/>
        </w:rPr>
        <w:t xml:space="preserve">Índice de </w:t>
      </w:r>
      <w:r>
        <w:rPr>
          <w:rFonts w:ascii="Arial" w:eastAsia="Arial" w:hAnsi="Arial" w:cs="Arial"/>
          <w:b/>
          <w:sz w:val="24"/>
          <w:szCs w:val="24"/>
        </w:rPr>
        <w:t>desenvolvimento municipal sustentável</w:t>
      </w:r>
      <w:r w:rsidR="00B56796">
        <w:rPr>
          <w:rFonts w:ascii="Arial" w:eastAsia="Arial" w:hAnsi="Arial" w:cs="Arial"/>
          <w:sz w:val="24"/>
          <w:szCs w:val="24"/>
        </w:rPr>
        <w:t>. Florianópolis: FECAM, 2016. Disponível em: &lt;http://indicadores.fecam.org.br/&gt;. Acesso em: 10 set. 2017.</w:t>
      </w:r>
    </w:p>
    <w:p w:rsidR="003B2FCD" w:rsidRDefault="003B2FCD">
      <w:pPr>
        <w:jc w:val="both"/>
        <w:rPr>
          <w:rFonts w:ascii="Arial" w:eastAsia="Arial" w:hAnsi="Arial" w:cs="Arial"/>
          <w:sz w:val="24"/>
          <w:szCs w:val="24"/>
        </w:rPr>
      </w:pPr>
    </w:p>
    <w:p w:rsidR="003B2FCD" w:rsidRDefault="003C76BC">
      <w:pPr>
        <w:jc w:val="both"/>
        <w:rPr>
          <w:rFonts w:ascii="Arial" w:eastAsia="Arial" w:hAnsi="Arial" w:cs="Arial"/>
          <w:sz w:val="24"/>
          <w:szCs w:val="24"/>
        </w:rPr>
      </w:pPr>
      <w:r>
        <w:rPr>
          <w:rFonts w:ascii="Arial" w:eastAsia="Arial" w:hAnsi="Arial" w:cs="Arial"/>
          <w:sz w:val="24"/>
          <w:szCs w:val="24"/>
        </w:rPr>
        <w:t>______</w:t>
      </w:r>
      <w:r w:rsidR="00B56796">
        <w:rPr>
          <w:rFonts w:ascii="Arial" w:eastAsia="Arial" w:hAnsi="Arial" w:cs="Arial"/>
          <w:sz w:val="24"/>
          <w:szCs w:val="24"/>
        </w:rPr>
        <w:t xml:space="preserve">. </w:t>
      </w:r>
      <w:r w:rsidR="00B56796">
        <w:rPr>
          <w:rFonts w:ascii="Arial" w:eastAsia="Arial" w:hAnsi="Arial" w:cs="Arial"/>
          <w:b/>
          <w:sz w:val="24"/>
          <w:szCs w:val="24"/>
        </w:rPr>
        <w:t>Sistema de indicadores de desenvolvimento municipal sustentável</w:t>
      </w:r>
      <w:r w:rsidR="00B56796">
        <w:rPr>
          <w:rFonts w:ascii="Arial" w:eastAsia="Arial" w:hAnsi="Arial" w:cs="Arial"/>
          <w:sz w:val="24"/>
          <w:szCs w:val="24"/>
        </w:rPr>
        <w:t>. 2017. Disponível em: &lt;http://indicadores.fecam.org.br/&gt;. Acesso em: 10 set. 2017.</w:t>
      </w:r>
    </w:p>
    <w:p w:rsidR="003B2FCD" w:rsidRDefault="003B2FCD">
      <w:pPr>
        <w:jc w:val="both"/>
        <w:rPr>
          <w:rFonts w:ascii="Arial" w:eastAsia="Arial" w:hAnsi="Arial" w:cs="Arial"/>
          <w:sz w:val="24"/>
          <w:szCs w:val="24"/>
        </w:rPr>
      </w:pPr>
    </w:p>
    <w:p w:rsidR="003B2FCD" w:rsidRPr="007D210C" w:rsidRDefault="00B56796">
      <w:pPr>
        <w:jc w:val="both"/>
        <w:rPr>
          <w:rFonts w:ascii="Arial" w:eastAsia="Arial" w:hAnsi="Arial" w:cs="Arial"/>
          <w:sz w:val="24"/>
          <w:szCs w:val="24"/>
        </w:rPr>
      </w:pPr>
      <w:r>
        <w:rPr>
          <w:rFonts w:ascii="Arial" w:eastAsia="Arial" w:hAnsi="Arial" w:cs="Arial"/>
          <w:sz w:val="24"/>
          <w:szCs w:val="24"/>
        </w:rPr>
        <w:t xml:space="preserve">FERREIRA, A. C.; SEHNEM, S.; BERNARDY, R. J. Sistema de indicadores de desenvolvimento municipal sustentável: uma análise comparativa. </w:t>
      </w:r>
      <w:r w:rsidR="003C76BC">
        <w:rPr>
          <w:rFonts w:ascii="Arial" w:eastAsia="Arial" w:hAnsi="Arial" w:cs="Arial"/>
          <w:b/>
          <w:sz w:val="24"/>
          <w:szCs w:val="24"/>
        </w:rPr>
        <w:t>Estudos</w:t>
      </w:r>
      <w:r w:rsidRPr="007D210C">
        <w:rPr>
          <w:rFonts w:ascii="Arial" w:eastAsia="Arial" w:hAnsi="Arial" w:cs="Arial"/>
          <w:b/>
          <w:sz w:val="24"/>
          <w:szCs w:val="24"/>
        </w:rPr>
        <w:t xml:space="preserve"> do CEPE</w:t>
      </w:r>
      <w:r w:rsidR="003C76BC">
        <w:rPr>
          <w:rFonts w:ascii="Arial" w:eastAsia="Arial" w:hAnsi="Arial" w:cs="Arial"/>
          <w:sz w:val="24"/>
          <w:szCs w:val="24"/>
        </w:rPr>
        <w:t>, n</w:t>
      </w:r>
      <w:r w:rsidRPr="007D210C">
        <w:rPr>
          <w:rFonts w:ascii="Arial" w:eastAsia="Arial" w:hAnsi="Arial" w:cs="Arial"/>
          <w:sz w:val="24"/>
          <w:szCs w:val="24"/>
        </w:rPr>
        <w:t>. 42, p. 204-218, 2015.</w:t>
      </w:r>
    </w:p>
    <w:p w:rsidR="003B2FCD" w:rsidRPr="007D210C" w:rsidRDefault="003B2FCD">
      <w:pPr>
        <w:jc w:val="both"/>
        <w:rPr>
          <w:rFonts w:ascii="Arial" w:eastAsia="Arial" w:hAnsi="Arial" w:cs="Arial"/>
          <w:sz w:val="24"/>
          <w:szCs w:val="24"/>
        </w:rPr>
      </w:pPr>
    </w:p>
    <w:p w:rsidR="003B2FCD" w:rsidRDefault="00B56796">
      <w:pPr>
        <w:jc w:val="both"/>
        <w:rPr>
          <w:rFonts w:ascii="Arial" w:eastAsia="Arial" w:hAnsi="Arial" w:cs="Arial"/>
          <w:sz w:val="24"/>
          <w:szCs w:val="24"/>
        </w:rPr>
      </w:pPr>
      <w:r>
        <w:rPr>
          <w:rFonts w:ascii="Arial" w:eastAsia="Arial" w:hAnsi="Arial" w:cs="Arial"/>
          <w:sz w:val="24"/>
          <w:szCs w:val="24"/>
        </w:rPr>
        <w:t xml:space="preserve">FONSECA, C. A. G. M. </w:t>
      </w:r>
      <w:r>
        <w:rPr>
          <w:rFonts w:ascii="Arial" w:eastAsia="Arial" w:hAnsi="Arial" w:cs="Arial"/>
          <w:b/>
          <w:sz w:val="24"/>
          <w:szCs w:val="24"/>
        </w:rPr>
        <w:t>Índice de sustentabilidade municipal</w:t>
      </w:r>
      <w:r>
        <w:rPr>
          <w:rFonts w:ascii="Arial" w:eastAsia="Arial" w:hAnsi="Arial" w:cs="Arial"/>
          <w:sz w:val="24"/>
          <w:szCs w:val="24"/>
        </w:rPr>
        <w:t>: um instrumento de avaliação da qualidade de vida nos municípios brasileiros. Dissertação (Mestrado em Desenvolvimento Sustentabilidade) – Universidade de Brasília, Brasília, 2010.</w:t>
      </w:r>
    </w:p>
    <w:p w:rsidR="003B2FCD" w:rsidRDefault="003B2FCD">
      <w:pPr>
        <w:jc w:val="both"/>
        <w:rPr>
          <w:rFonts w:ascii="Arial" w:eastAsia="Arial" w:hAnsi="Arial" w:cs="Arial"/>
          <w:sz w:val="24"/>
          <w:szCs w:val="24"/>
        </w:rPr>
      </w:pPr>
    </w:p>
    <w:p w:rsidR="003B2FCD" w:rsidRDefault="00B56796">
      <w:pPr>
        <w:jc w:val="both"/>
        <w:rPr>
          <w:rFonts w:ascii="Arial" w:eastAsia="Arial" w:hAnsi="Arial" w:cs="Arial"/>
          <w:sz w:val="24"/>
          <w:szCs w:val="24"/>
        </w:rPr>
      </w:pPr>
      <w:r>
        <w:rPr>
          <w:rFonts w:ascii="Arial" w:eastAsia="Arial" w:hAnsi="Arial" w:cs="Arial"/>
          <w:sz w:val="24"/>
          <w:szCs w:val="24"/>
        </w:rPr>
        <w:t xml:space="preserve">IBGE. </w:t>
      </w:r>
      <w:r w:rsidRPr="002921F5">
        <w:rPr>
          <w:rFonts w:ascii="Arial" w:eastAsia="Arial" w:hAnsi="Arial" w:cs="Arial"/>
          <w:b/>
          <w:sz w:val="24"/>
          <w:szCs w:val="24"/>
        </w:rPr>
        <w:t xml:space="preserve">Censo </w:t>
      </w:r>
      <w:r w:rsidR="006F1039">
        <w:rPr>
          <w:rFonts w:ascii="Arial" w:eastAsia="Arial" w:hAnsi="Arial" w:cs="Arial"/>
          <w:b/>
          <w:sz w:val="24"/>
          <w:szCs w:val="24"/>
        </w:rPr>
        <w:t>a</w:t>
      </w:r>
      <w:r w:rsidRPr="002921F5">
        <w:rPr>
          <w:rFonts w:ascii="Arial" w:eastAsia="Arial" w:hAnsi="Arial" w:cs="Arial"/>
          <w:b/>
          <w:sz w:val="24"/>
          <w:szCs w:val="24"/>
        </w:rPr>
        <w:t>gropecuário.</w:t>
      </w:r>
      <w:r>
        <w:rPr>
          <w:rFonts w:ascii="Arial" w:eastAsia="Arial" w:hAnsi="Arial" w:cs="Arial"/>
          <w:sz w:val="24"/>
          <w:szCs w:val="24"/>
        </w:rPr>
        <w:t xml:space="preserve"> Rio de Janeiro: IBGE, 2006.</w:t>
      </w:r>
    </w:p>
    <w:p w:rsidR="003B2FCD" w:rsidRDefault="003B2FCD">
      <w:pPr>
        <w:jc w:val="both"/>
        <w:rPr>
          <w:rFonts w:ascii="Arial" w:eastAsia="Arial" w:hAnsi="Arial" w:cs="Arial"/>
          <w:sz w:val="24"/>
          <w:szCs w:val="24"/>
        </w:rPr>
      </w:pPr>
    </w:p>
    <w:p w:rsidR="003B2FCD" w:rsidRDefault="00B56796">
      <w:pPr>
        <w:jc w:val="both"/>
        <w:rPr>
          <w:rFonts w:ascii="Arial" w:eastAsia="Arial" w:hAnsi="Arial" w:cs="Arial"/>
          <w:sz w:val="24"/>
          <w:szCs w:val="24"/>
        </w:rPr>
      </w:pPr>
      <w:r>
        <w:rPr>
          <w:rFonts w:ascii="Arial" w:eastAsia="Arial" w:hAnsi="Arial" w:cs="Arial"/>
          <w:sz w:val="24"/>
          <w:szCs w:val="24"/>
        </w:rPr>
        <w:t xml:space="preserve">KARDEC, A.; FLORES, J.; SEIXAS, E. </w:t>
      </w:r>
      <w:r>
        <w:rPr>
          <w:rFonts w:ascii="Arial" w:eastAsia="Arial" w:hAnsi="Arial" w:cs="Arial"/>
          <w:b/>
          <w:sz w:val="24"/>
          <w:szCs w:val="24"/>
        </w:rPr>
        <w:t>Gestão estratégica e indicadores de desempenho</w:t>
      </w:r>
      <w:r>
        <w:rPr>
          <w:rFonts w:ascii="Arial" w:eastAsia="Arial" w:hAnsi="Arial" w:cs="Arial"/>
          <w:sz w:val="24"/>
          <w:szCs w:val="24"/>
        </w:rPr>
        <w:t>. Rio de Janeiro: Quality Mark, 2002.</w:t>
      </w:r>
    </w:p>
    <w:p w:rsidR="003B2FCD" w:rsidRDefault="003B2FCD">
      <w:pPr>
        <w:jc w:val="both"/>
        <w:rPr>
          <w:rFonts w:ascii="Arial" w:eastAsia="Arial" w:hAnsi="Arial" w:cs="Arial"/>
          <w:sz w:val="24"/>
          <w:szCs w:val="24"/>
        </w:rPr>
      </w:pPr>
    </w:p>
    <w:p w:rsidR="003B2FCD" w:rsidRDefault="00B56796">
      <w:pPr>
        <w:jc w:val="both"/>
        <w:rPr>
          <w:rFonts w:ascii="Arial" w:eastAsia="Arial" w:hAnsi="Arial" w:cs="Arial"/>
          <w:sz w:val="24"/>
          <w:szCs w:val="24"/>
        </w:rPr>
      </w:pPr>
      <w:r>
        <w:rPr>
          <w:rFonts w:ascii="Arial" w:eastAsia="Arial" w:hAnsi="Arial" w:cs="Arial"/>
          <w:sz w:val="24"/>
          <w:szCs w:val="24"/>
        </w:rPr>
        <w:t xml:space="preserve">NEUHAUS, L. </w:t>
      </w:r>
      <w:r>
        <w:rPr>
          <w:rFonts w:ascii="Arial" w:eastAsia="Arial" w:hAnsi="Arial" w:cs="Arial"/>
          <w:b/>
          <w:sz w:val="24"/>
          <w:szCs w:val="24"/>
        </w:rPr>
        <w:t>Indicadores de desenvolvimento para o meio rural</w:t>
      </w:r>
      <w:r>
        <w:rPr>
          <w:rFonts w:ascii="Arial" w:eastAsia="Arial" w:hAnsi="Arial" w:cs="Arial"/>
          <w:sz w:val="24"/>
          <w:szCs w:val="24"/>
        </w:rPr>
        <w:t>: uma proposta para o sistema de indicadores de desenvolvimento sustentável dos municípios de Santa Catarina (Sidems da Fecam). Dissertação (Mestrado Profissional em Administração) – Universidade do Oeste de Santa Catarina, Chapecó, 2016.</w:t>
      </w:r>
    </w:p>
    <w:p w:rsidR="003B2FCD" w:rsidRDefault="003B2FCD">
      <w:pPr>
        <w:jc w:val="both"/>
        <w:rPr>
          <w:rFonts w:ascii="Arial" w:eastAsia="Arial" w:hAnsi="Arial" w:cs="Arial"/>
          <w:sz w:val="24"/>
          <w:szCs w:val="24"/>
        </w:rPr>
      </w:pPr>
    </w:p>
    <w:p w:rsidR="003B2FCD" w:rsidRDefault="00B56796">
      <w:pPr>
        <w:jc w:val="both"/>
        <w:rPr>
          <w:rFonts w:ascii="Arial" w:eastAsia="Arial" w:hAnsi="Arial" w:cs="Arial"/>
          <w:sz w:val="24"/>
          <w:szCs w:val="24"/>
        </w:rPr>
      </w:pPr>
      <w:r>
        <w:rPr>
          <w:rFonts w:ascii="Arial" w:eastAsia="Arial" w:hAnsi="Arial" w:cs="Arial"/>
          <w:sz w:val="24"/>
          <w:szCs w:val="24"/>
        </w:rPr>
        <w:t xml:space="preserve">RÉUS, I. S. </w:t>
      </w:r>
      <w:r>
        <w:rPr>
          <w:rFonts w:ascii="Arial" w:eastAsia="Arial" w:hAnsi="Arial" w:cs="Arial"/>
          <w:b/>
          <w:sz w:val="24"/>
          <w:szCs w:val="24"/>
        </w:rPr>
        <w:t>Gestão municipal e desenvolvimento sustentável</w:t>
      </w:r>
      <w:r>
        <w:rPr>
          <w:rFonts w:ascii="Arial" w:eastAsia="Arial" w:hAnsi="Arial" w:cs="Arial"/>
          <w:sz w:val="24"/>
          <w:szCs w:val="24"/>
        </w:rPr>
        <w:t>: um estudo de indicadores de sustentabilidade nos municípios catarinenses. Dissertação (Mestrado Profissional em Administração) – Universidade do Estado de Santa Catarina, Florianópolis, 2012.</w:t>
      </w:r>
    </w:p>
    <w:p w:rsidR="003B2FCD" w:rsidRDefault="003B2FCD">
      <w:pPr>
        <w:jc w:val="both"/>
        <w:rPr>
          <w:rFonts w:ascii="Arial" w:eastAsia="Arial" w:hAnsi="Arial" w:cs="Arial"/>
          <w:sz w:val="24"/>
          <w:szCs w:val="24"/>
        </w:rPr>
      </w:pPr>
    </w:p>
    <w:p w:rsidR="003B2FCD" w:rsidRDefault="007D210C">
      <w:pPr>
        <w:jc w:val="both"/>
        <w:rPr>
          <w:rFonts w:ascii="Arial" w:eastAsia="Arial" w:hAnsi="Arial" w:cs="Arial"/>
          <w:color w:val="222222"/>
          <w:sz w:val="24"/>
          <w:szCs w:val="24"/>
        </w:rPr>
      </w:pPr>
      <w:r>
        <w:rPr>
          <w:rFonts w:ascii="Arial" w:eastAsia="Arial" w:hAnsi="Arial" w:cs="Arial"/>
          <w:color w:val="222222"/>
          <w:sz w:val="24"/>
          <w:szCs w:val="24"/>
          <w:highlight w:val="white"/>
        </w:rPr>
        <w:t>RÉUS</w:t>
      </w:r>
      <w:r w:rsidRPr="00661120">
        <w:rPr>
          <w:rFonts w:ascii="Arial" w:eastAsia="Arial" w:hAnsi="Arial" w:cs="Arial"/>
          <w:color w:val="222222"/>
          <w:sz w:val="24"/>
          <w:szCs w:val="24"/>
        </w:rPr>
        <w:t>, I.; ANDION, C.</w:t>
      </w:r>
      <w:r w:rsidR="00B56796" w:rsidRPr="00661120">
        <w:rPr>
          <w:rFonts w:ascii="Arial" w:eastAsia="Arial" w:hAnsi="Arial" w:cs="Arial"/>
          <w:color w:val="222222"/>
          <w:sz w:val="24"/>
          <w:szCs w:val="24"/>
        </w:rPr>
        <w:t xml:space="preserve"> Gestão </w:t>
      </w:r>
      <w:r w:rsidR="00661120" w:rsidRPr="00661120">
        <w:rPr>
          <w:rFonts w:ascii="Arial" w:eastAsia="Arial" w:hAnsi="Arial" w:cs="Arial"/>
          <w:color w:val="222222"/>
          <w:sz w:val="24"/>
          <w:szCs w:val="24"/>
        </w:rPr>
        <w:t>municipal e desenvolvimento sustentável</w:t>
      </w:r>
      <w:r w:rsidR="00B56796" w:rsidRPr="00661120">
        <w:rPr>
          <w:rFonts w:ascii="Arial" w:eastAsia="Arial" w:hAnsi="Arial" w:cs="Arial"/>
          <w:color w:val="222222"/>
          <w:sz w:val="24"/>
          <w:szCs w:val="24"/>
        </w:rPr>
        <w:t xml:space="preserve">: panorama dos indicadores de sustentabilidade nos municípios catarinenses. </w:t>
      </w:r>
      <w:r w:rsidR="00B56796" w:rsidRPr="00661120">
        <w:rPr>
          <w:rFonts w:ascii="Arial" w:eastAsia="Arial" w:hAnsi="Arial" w:cs="Arial"/>
          <w:b/>
          <w:color w:val="222222"/>
          <w:sz w:val="24"/>
          <w:szCs w:val="24"/>
        </w:rPr>
        <w:t>Desenvolvimento em Questão</w:t>
      </w:r>
      <w:r w:rsidR="00B56796" w:rsidRPr="00661120">
        <w:rPr>
          <w:rFonts w:ascii="Arial" w:eastAsia="Arial" w:hAnsi="Arial" w:cs="Arial"/>
          <w:color w:val="222222"/>
          <w:sz w:val="24"/>
          <w:szCs w:val="24"/>
        </w:rPr>
        <w:t>, v. 16, n. 45, p. 97-117, 2018.</w:t>
      </w:r>
    </w:p>
    <w:p w:rsidR="00661120" w:rsidRDefault="00661120">
      <w:pPr>
        <w:jc w:val="both"/>
        <w:rPr>
          <w:rFonts w:ascii="Arial" w:eastAsia="Arial" w:hAnsi="Arial" w:cs="Arial"/>
          <w:color w:val="222222"/>
          <w:sz w:val="24"/>
          <w:szCs w:val="24"/>
        </w:rPr>
      </w:pPr>
    </w:p>
    <w:p w:rsidR="00661120" w:rsidRPr="00661120" w:rsidRDefault="00661120" w:rsidP="00661120">
      <w:pPr>
        <w:jc w:val="both"/>
        <w:rPr>
          <w:rFonts w:ascii="Arial" w:eastAsia="Arial" w:hAnsi="Arial" w:cs="Arial"/>
          <w:sz w:val="24"/>
          <w:szCs w:val="24"/>
        </w:rPr>
      </w:pPr>
      <w:r w:rsidRPr="00661120">
        <w:rPr>
          <w:rFonts w:ascii="Arial" w:eastAsia="Arial" w:hAnsi="Arial" w:cs="Arial"/>
          <w:sz w:val="24"/>
          <w:szCs w:val="24"/>
        </w:rPr>
        <w:t xml:space="preserve">SACHS, I. </w:t>
      </w:r>
      <w:r w:rsidRPr="00661120">
        <w:rPr>
          <w:rFonts w:ascii="Arial" w:eastAsia="Arial" w:hAnsi="Arial" w:cs="Arial"/>
          <w:b/>
          <w:sz w:val="24"/>
          <w:szCs w:val="24"/>
        </w:rPr>
        <w:t>Caminhos para o desenvolvimento sustentável</w:t>
      </w:r>
      <w:r w:rsidRPr="00661120">
        <w:rPr>
          <w:rFonts w:ascii="Arial" w:eastAsia="Arial" w:hAnsi="Arial" w:cs="Arial"/>
          <w:sz w:val="24"/>
          <w:szCs w:val="24"/>
        </w:rPr>
        <w:t>. Rio de Janeiro: Garamond, 2000.</w:t>
      </w:r>
    </w:p>
    <w:p w:rsidR="00661120" w:rsidRPr="00661120" w:rsidRDefault="00661120" w:rsidP="00661120">
      <w:pPr>
        <w:jc w:val="both"/>
        <w:rPr>
          <w:rFonts w:ascii="Arial" w:eastAsia="Arial" w:hAnsi="Arial" w:cs="Arial"/>
          <w:sz w:val="24"/>
          <w:szCs w:val="24"/>
        </w:rPr>
      </w:pPr>
    </w:p>
    <w:p w:rsidR="00661120" w:rsidRPr="00661120" w:rsidRDefault="00661120" w:rsidP="00661120">
      <w:pPr>
        <w:jc w:val="both"/>
        <w:rPr>
          <w:rFonts w:ascii="Arial" w:eastAsia="Arial" w:hAnsi="Arial" w:cs="Arial"/>
          <w:sz w:val="24"/>
          <w:szCs w:val="24"/>
        </w:rPr>
      </w:pPr>
      <w:r w:rsidRPr="00661120">
        <w:rPr>
          <w:rFonts w:ascii="Arial" w:eastAsia="Arial" w:hAnsi="Arial" w:cs="Arial"/>
          <w:sz w:val="24"/>
          <w:szCs w:val="24"/>
        </w:rPr>
        <w:t>SICHE</w:t>
      </w:r>
      <w:r>
        <w:rPr>
          <w:rFonts w:ascii="Arial" w:eastAsia="Arial" w:hAnsi="Arial" w:cs="Arial"/>
          <w:sz w:val="24"/>
          <w:szCs w:val="24"/>
        </w:rPr>
        <w:t>, R.;</w:t>
      </w:r>
      <w:r w:rsidRPr="00661120">
        <w:rPr>
          <w:rFonts w:ascii="Arial" w:eastAsia="Arial" w:hAnsi="Arial" w:cs="Arial"/>
          <w:sz w:val="24"/>
          <w:szCs w:val="24"/>
        </w:rPr>
        <w:t xml:space="preserve"> </w:t>
      </w:r>
      <w:r w:rsidRPr="00661120">
        <w:rPr>
          <w:rFonts w:ascii="Arial" w:eastAsia="Arial" w:hAnsi="Arial" w:cs="Arial"/>
          <w:sz w:val="24"/>
          <w:szCs w:val="24"/>
        </w:rPr>
        <w:t>AGOSTINHO</w:t>
      </w:r>
      <w:r>
        <w:rPr>
          <w:rFonts w:ascii="Arial" w:eastAsia="Arial" w:hAnsi="Arial" w:cs="Arial"/>
          <w:sz w:val="24"/>
          <w:szCs w:val="24"/>
        </w:rPr>
        <w:t>, F.;</w:t>
      </w:r>
      <w:r w:rsidRPr="00661120">
        <w:rPr>
          <w:rFonts w:ascii="Arial" w:eastAsia="Arial" w:hAnsi="Arial" w:cs="Arial"/>
          <w:sz w:val="24"/>
          <w:szCs w:val="24"/>
        </w:rPr>
        <w:t xml:space="preserve"> </w:t>
      </w:r>
      <w:r w:rsidRPr="00661120">
        <w:rPr>
          <w:rFonts w:ascii="Arial" w:eastAsia="Arial" w:hAnsi="Arial" w:cs="Arial"/>
          <w:sz w:val="24"/>
          <w:szCs w:val="24"/>
        </w:rPr>
        <w:t>ORTEGA</w:t>
      </w:r>
      <w:r>
        <w:rPr>
          <w:rFonts w:ascii="Arial" w:eastAsia="Arial" w:hAnsi="Arial" w:cs="Arial"/>
          <w:sz w:val="24"/>
          <w:szCs w:val="24"/>
        </w:rPr>
        <w:t>, E.;</w:t>
      </w:r>
      <w:r w:rsidRPr="00661120">
        <w:rPr>
          <w:rFonts w:ascii="Arial" w:eastAsia="Arial" w:hAnsi="Arial" w:cs="Arial"/>
          <w:sz w:val="24"/>
          <w:szCs w:val="24"/>
        </w:rPr>
        <w:t xml:space="preserve"> </w:t>
      </w:r>
      <w:r w:rsidRPr="00661120">
        <w:rPr>
          <w:rFonts w:ascii="Arial" w:eastAsia="Arial" w:hAnsi="Arial" w:cs="Arial"/>
          <w:sz w:val="24"/>
          <w:szCs w:val="24"/>
        </w:rPr>
        <w:t>ROMEIRO</w:t>
      </w:r>
      <w:r w:rsidRPr="00661120">
        <w:rPr>
          <w:rFonts w:ascii="Arial" w:eastAsia="Arial" w:hAnsi="Arial" w:cs="Arial"/>
          <w:sz w:val="24"/>
          <w:szCs w:val="24"/>
        </w:rPr>
        <w:t xml:space="preserve">, A. Índices versus indicadores: precisões conceituais na discussão da sustentabilidade de países. </w:t>
      </w:r>
      <w:r w:rsidRPr="00661120">
        <w:rPr>
          <w:rFonts w:ascii="Arial" w:eastAsia="Arial" w:hAnsi="Arial" w:cs="Arial"/>
          <w:b/>
          <w:sz w:val="24"/>
          <w:szCs w:val="24"/>
        </w:rPr>
        <w:t xml:space="preserve">Ambiente &amp; </w:t>
      </w:r>
      <w:r w:rsidRPr="00661120">
        <w:rPr>
          <w:rFonts w:ascii="Arial" w:eastAsia="Arial" w:hAnsi="Arial" w:cs="Arial"/>
          <w:b/>
          <w:sz w:val="24"/>
          <w:szCs w:val="24"/>
        </w:rPr>
        <w:t>S</w:t>
      </w:r>
      <w:r w:rsidRPr="00661120">
        <w:rPr>
          <w:rFonts w:ascii="Arial" w:eastAsia="Arial" w:hAnsi="Arial" w:cs="Arial"/>
          <w:b/>
          <w:sz w:val="24"/>
          <w:szCs w:val="24"/>
        </w:rPr>
        <w:t>ociedade</w:t>
      </w:r>
      <w:r w:rsidRPr="00661120">
        <w:rPr>
          <w:rFonts w:ascii="Arial" w:eastAsia="Arial" w:hAnsi="Arial" w:cs="Arial"/>
          <w:sz w:val="24"/>
          <w:szCs w:val="24"/>
        </w:rPr>
        <w:t xml:space="preserve">, </w:t>
      </w:r>
      <w:r>
        <w:rPr>
          <w:rFonts w:ascii="Arial" w:eastAsia="Arial" w:hAnsi="Arial" w:cs="Arial"/>
          <w:sz w:val="24"/>
          <w:szCs w:val="24"/>
        </w:rPr>
        <w:t xml:space="preserve">v. 10, n. 2, p. 137-148, </w:t>
      </w:r>
      <w:r w:rsidRPr="00661120">
        <w:rPr>
          <w:rFonts w:ascii="Arial" w:eastAsia="Arial" w:hAnsi="Arial" w:cs="Arial"/>
          <w:sz w:val="24"/>
          <w:szCs w:val="24"/>
        </w:rPr>
        <w:t>2007.</w:t>
      </w:r>
    </w:p>
    <w:p w:rsidR="00661120" w:rsidRDefault="00661120">
      <w:pPr>
        <w:jc w:val="both"/>
        <w:rPr>
          <w:rFonts w:ascii="Arial" w:eastAsia="Arial" w:hAnsi="Arial" w:cs="Arial"/>
          <w:sz w:val="24"/>
          <w:szCs w:val="24"/>
        </w:rPr>
      </w:pPr>
    </w:p>
    <w:p w:rsidR="003B2FCD" w:rsidRPr="00661120" w:rsidRDefault="00B56796">
      <w:pPr>
        <w:jc w:val="both"/>
        <w:rPr>
          <w:rFonts w:ascii="Arial" w:eastAsia="Arial" w:hAnsi="Arial" w:cs="Arial"/>
          <w:sz w:val="24"/>
          <w:szCs w:val="24"/>
        </w:rPr>
      </w:pPr>
      <w:r w:rsidRPr="00661120">
        <w:rPr>
          <w:rFonts w:ascii="Arial" w:eastAsia="Arial" w:hAnsi="Arial" w:cs="Arial"/>
          <w:sz w:val="24"/>
          <w:szCs w:val="24"/>
        </w:rPr>
        <w:t xml:space="preserve">SILVA, C. de C. </w:t>
      </w:r>
      <w:r w:rsidRPr="00661120">
        <w:rPr>
          <w:rFonts w:ascii="Arial" w:eastAsia="Arial" w:hAnsi="Arial" w:cs="Arial"/>
          <w:b/>
          <w:sz w:val="24"/>
          <w:szCs w:val="24"/>
        </w:rPr>
        <w:t>Desenvolvimento econômico, modelo federativo e município no Brasil</w:t>
      </w:r>
      <w:r w:rsidRPr="00661120">
        <w:rPr>
          <w:rFonts w:ascii="Arial" w:eastAsia="Arial" w:hAnsi="Arial" w:cs="Arial"/>
          <w:sz w:val="24"/>
          <w:szCs w:val="24"/>
        </w:rPr>
        <w:t>: análise de estratégias de desenvolvimento econômico local no município de Ribeirão Preto (SP) na década de noventa. Tese (Doutorado em Geografia Humana) – Universidade de São Paulo, São Paulo, 1998.</w:t>
      </w:r>
    </w:p>
    <w:p w:rsidR="003B2FCD" w:rsidRPr="00661120" w:rsidRDefault="003B2FCD">
      <w:pPr>
        <w:jc w:val="both"/>
        <w:rPr>
          <w:rFonts w:ascii="Arial" w:eastAsia="Arial" w:hAnsi="Arial" w:cs="Arial"/>
          <w:sz w:val="24"/>
          <w:szCs w:val="24"/>
        </w:rPr>
      </w:pPr>
    </w:p>
    <w:p w:rsidR="00C15B69" w:rsidRDefault="00B56796" w:rsidP="00C15B69">
      <w:pPr>
        <w:jc w:val="both"/>
        <w:rPr>
          <w:rFonts w:ascii="Arial" w:eastAsia="Arial" w:hAnsi="Arial" w:cs="Arial"/>
          <w:sz w:val="24"/>
          <w:szCs w:val="24"/>
        </w:rPr>
      </w:pPr>
      <w:r w:rsidRPr="007D210C">
        <w:rPr>
          <w:rFonts w:ascii="Arial" w:eastAsia="Arial" w:hAnsi="Arial" w:cs="Arial"/>
          <w:sz w:val="24"/>
          <w:szCs w:val="24"/>
          <w:lang w:val="en-US"/>
        </w:rPr>
        <w:t xml:space="preserve">UNITED NATIONS. </w:t>
      </w:r>
      <w:r w:rsidRPr="007D210C">
        <w:rPr>
          <w:rFonts w:ascii="Arial" w:eastAsia="Arial" w:hAnsi="Arial" w:cs="Arial"/>
          <w:b/>
          <w:sz w:val="24"/>
          <w:szCs w:val="24"/>
          <w:lang w:val="en-US"/>
        </w:rPr>
        <w:t>Agenda 21</w:t>
      </w:r>
      <w:r w:rsidRPr="007D210C">
        <w:rPr>
          <w:rFonts w:ascii="Arial" w:eastAsia="Arial" w:hAnsi="Arial" w:cs="Arial"/>
          <w:sz w:val="24"/>
          <w:szCs w:val="24"/>
          <w:lang w:val="en-US"/>
        </w:rPr>
        <w:t xml:space="preserve">. </w:t>
      </w:r>
      <w:r w:rsidRPr="00C15B69">
        <w:rPr>
          <w:rFonts w:ascii="Arial" w:eastAsia="Arial" w:hAnsi="Arial" w:cs="Arial"/>
          <w:sz w:val="24"/>
          <w:szCs w:val="24"/>
        </w:rPr>
        <w:t xml:space="preserve">Rio de Janeiro: United Nations, 1992. </w:t>
      </w:r>
      <w:r w:rsidR="00C15B69">
        <w:rPr>
          <w:rFonts w:ascii="Arial" w:eastAsia="Arial" w:hAnsi="Arial" w:cs="Arial"/>
          <w:sz w:val="24"/>
          <w:szCs w:val="24"/>
        </w:rPr>
        <w:t>Disponível em: &lt;</w:t>
      </w:r>
      <w:r w:rsidR="00C15B69" w:rsidRPr="00C15B69">
        <w:rPr>
          <w:rFonts w:ascii="Arial" w:eastAsia="Arial" w:hAnsi="Arial" w:cs="Arial"/>
          <w:sz w:val="24"/>
          <w:szCs w:val="24"/>
        </w:rPr>
        <w:t>https://sustainabledevelopment.un.org/content/documents/Agenda21.pdf</w:t>
      </w:r>
      <w:r w:rsidR="00C15B69">
        <w:rPr>
          <w:rFonts w:ascii="Arial" w:eastAsia="Arial" w:hAnsi="Arial" w:cs="Arial"/>
          <w:sz w:val="24"/>
          <w:szCs w:val="24"/>
        </w:rPr>
        <w:t>&gt;. Acesso em: 12</w:t>
      </w:r>
      <w:r w:rsidR="00C15B69">
        <w:rPr>
          <w:rFonts w:ascii="Arial" w:eastAsia="Arial" w:hAnsi="Arial" w:cs="Arial"/>
          <w:sz w:val="24"/>
          <w:szCs w:val="24"/>
        </w:rPr>
        <w:t xml:space="preserve"> set. 2017.</w:t>
      </w:r>
    </w:p>
    <w:p w:rsidR="00C15B69" w:rsidRPr="00C15B69" w:rsidRDefault="00C15B69">
      <w:pPr>
        <w:jc w:val="both"/>
        <w:rPr>
          <w:rFonts w:ascii="Arial" w:eastAsia="Arial" w:hAnsi="Arial" w:cs="Arial"/>
          <w:sz w:val="24"/>
          <w:szCs w:val="24"/>
        </w:rPr>
      </w:pPr>
    </w:p>
    <w:p w:rsidR="00661120" w:rsidRPr="007D210C" w:rsidRDefault="00661120">
      <w:pPr>
        <w:jc w:val="both"/>
        <w:rPr>
          <w:rFonts w:ascii="Arial" w:eastAsia="Arial" w:hAnsi="Arial" w:cs="Arial"/>
          <w:sz w:val="24"/>
          <w:szCs w:val="24"/>
          <w:lang w:val="en-US"/>
        </w:rPr>
      </w:pPr>
      <w:r w:rsidRPr="00661120">
        <w:rPr>
          <w:rFonts w:ascii="Arial" w:eastAsia="Arial" w:hAnsi="Arial" w:cs="Arial"/>
          <w:sz w:val="24"/>
          <w:szCs w:val="24"/>
          <w:lang w:val="en-US"/>
        </w:rPr>
        <w:t xml:space="preserve">WCED – World Commission on Environmental and Development. </w:t>
      </w:r>
      <w:r w:rsidRPr="00661120">
        <w:rPr>
          <w:rFonts w:ascii="Arial" w:eastAsia="Arial" w:hAnsi="Arial" w:cs="Arial"/>
          <w:b/>
          <w:sz w:val="24"/>
          <w:szCs w:val="24"/>
          <w:lang w:val="en-US"/>
        </w:rPr>
        <w:t>Our common future</w:t>
      </w:r>
      <w:r w:rsidRPr="00661120">
        <w:rPr>
          <w:rFonts w:ascii="Arial" w:eastAsia="Arial" w:hAnsi="Arial" w:cs="Arial"/>
          <w:sz w:val="24"/>
          <w:szCs w:val="24"/>
          <w:lang w:val="en-US"/>
        </w:rPr>
        <w:t>. New York: Oxford University Press, 1987.</w:t>
      </w:r>
    </w:p>
    <w:sectPr w:rsidR="00661120" w:rsidRPr="007D210C" w:rsidSect="00B90740">
      <w:footerReference w:type="default" r:id="rId8"/>
      <w:pgSz w:w="11900" w:h="16840"/>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F1D" w:rsidRDefault="00AC1F1D">
      <w:r>
        <w:separator/>
      </w:r>
    </w:p>
  </w:endnote>
  <w:endnote w:type="continuationSeparator" w:id="0">
    <w:p w:rsidR="00AC1F1D" w:rsidRDefault="00AC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90" w:rsidRDefault="00766D90">
    <w:pPr>
      <w:pBdr>
        <w:top w:val="nil"/>
        <w:left w:val="nil"/>
        <w:bottom w:val="nil"/>
        <w:right w:val="nil"/>
        <w:between w:val="nil"/>
      </w:pBdr>
      <w:tabs>
        <w:tab w:val="center" w:pos="4419"/>
        <w:tab w:val="right" w:pos="88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C1F1D">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F1D" w:rsidRDefault="00AC1F1D">
      <w:r>
        <w:separator/>
      </w:r>
    </w:p>
  </w:footnote>
  <w:footnote w:type="continuationSeparator" w:id="0">
    <w:p w:rsidR="00AC1F1D" w:rsidRDefault="00AC1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B2FCD"/>
    <w:rsid w:val="0006200D"/>
    <w:rsid w:val="00076593"/>
    <w:rsid w:val="000A0B66"/>
    <w:rsid w:val="000C7825"/>
    <w:rsid w:val="000F6C88"/>
    <w:rsid w:val="001E63C4"/>
    <w:rsid w:val="001F4840"/>
    <w:rsid w:val="002921F5"/>
    <w:rsid w:val="00324D3E"/>
    <w:rsid w:val="003835E9"/>
    <w:rsid w:val="003B2FCD"/>
    <w:rsid w:val="003C76BC"/>
    <w:rsid w:val="00460FD1"/>
    <w:rsid w:val="004900F0"/>
    <w:rsid w:val="004E4179"/>
    <w:rsid w:val="004E4A02"/>
    <w:rsid w:val="00586A6D"/>
    <w:rsid w:val="00610198"/>
    <w:rsid w:val="00643B81"/>
    <w:rsid w:val="00655CB0"/>
    <w:rsid w:val="00661120"/>
    <w:rsid w:val="006F1039"/>
    <w:rsid w:val="00766D90"/>
    <w:rsid w:val="007A7548"/>
    <w:rsid w:val="007B089B"/>
    <w:rsid w:val="007D210C"/>
    <w:rsid w:val="00802D42"/>
    <w:rsid w:val="00886095"/>
    <w:rsid w:val="00894432"/>
    <w:rsid w:val="00981625"/>
    <w:rsid w:val="00A2516C"/>
    <w:rsid w:val="00A67F2D"/>
    <w:rsid w:val="00AC1F1D"/>
    <w:rsid w:val="00B56796"/>
    <w:rsid w:val="00B90740"/>
    <w:rsid w:val="00C15B69"/>
    <w:rsid w:val="00CE1E71"/>
    <w:rsid w:val="00D5339F"/>
    <w:rsid w:val="00DD5526"/>
    <w:rsid w:val="00E65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styleId="Textodebalo">
    <w:name w:val="Balloon Text"/>
    <w:basedOn w:val="Normal"/>
    <w:link w:val="TextodebaloChar"/>
    <w:uiPriority w:val="99"/>
    <w:semiHidden/>
    <w:unhideWhenUsed/>
    <w:rsid w:val="007B089B"/>
    <w:rPr>
      <w:rFonts w:ascii="Tahoma" w:hAnsi="Tahoma" w:cs="Tahoma"/>
      <w:sz w:val="16"/>
      <w:szCs w:val="16"/>
    </w:rPr>
  </w:style>
  <w:style w:type="character" w:customStyle="1" w:styleId="TextodebaloChar">
    <w:name w:val="Texto de balão Char"/>
    <w:basedOn w:val="Fontepargpadro"/>
    <w:link w:val="Textodebalo"/>
    <w:uiPriority w:val="99"/>
    <w:semiHidden/>
    <w:rsid w:val="007B089B"/>
    <w:rPr>
      <w:rFonts w:ascii="Tahoma" w:hAnsi="Tahoma" w:cs="Tahoma"/>
      <w:sz w:val="16"/>
      <w:szCs w:val="16"/>
    </w:rPr>
  </w:style>
  <w:style w:type="paragraph" w:styleId="Cabealho">
    <w:name w:val="header"/>
    <w:basedOn w:val="Normal"/>
    <w:link w:val="CabealhoChar"/>
    <w:uiPriority w:val="99"/>
    <w:unhideWhenUsed/>
    <w:rsid w:val="002921F5"/>
    <w:pPr>
      <w:tabs>
        <w:tab w:val="center" w:pos="4252"/>
        <w:tab w:val="right" w:pos="8504"/>
      </w:tabs>
    </w:pPr>
  </w:style>
  <w:style w:type="character" w:customStyle="1" w:styleId="CabealhoChar">
    <w:name w:val="Cabeçalho Char"/>
    <w:basedOn w:val="Fontepargpadro"/>
    <w:link w:val="Cabealho"/>
    <w:uiPriority w:val="99"/>
    <w:rsid w:val="002921F5"/>
  </w:style>
  <w:style w:type="paragraph" w:styleId="Rodap">
    <w:name w:val="footer"/>
    <w:basedOn w:val="Normal"/>
    <w:link w:val="RodapChar"/>
    <w:uiPriority w:val="99"/>
    <w:unhideWhenUsed/>
    <w:rsid w:val="002921F5"/>
    <w:pPr>
      <w:tabs>
        <w:tab w:val="center" w:pos="4252"/>
        <w:tab w:val="right" w:pos="8504"/>
      </w:tabs>
    </w:pPr>
  </w:style>
  <w:style w:type="character" w:customStyle="1" w:styleId="RodapChar">
    <w:name w:val="Rodapé Char"/>
    <w:basedOn w:val="Fontepargpadro"/>
    <w:link w:val="Rodap"/>
    <w:uiPriority w:val="99"/>
    <w:rsid w:val="002921F5"/>
  </w:style>
  <w:style w:type="character" w:styleId="Hyperlink">
    <w:name w:val="Hyperlink"/>
    <w:basedOn w:val="Fontepargpadro"/>
    <w:uiPriority w:val="99"/>
    <w:unhideWhenUsed/>
    <w:rsid w:val="00661120"/>
    <w:rPr>
      <w:color w:val="0000FF"/>
      <w:u w:val="single"/>
    </w:rPr>
  </w:style>
  <w:style w:type="character" w:customStyle="1" w:styleId="article-title">
    <w:name w:val="article-title"/>
    <w:basedOn w:val="Fontepargpadro"/>
    <w:rsid w:val="006611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paragraph" w:styleId="Textodebalo">
    <w:name w:val="Balloon Text"/>
    <w:basedOn w:val="Normal"/>
    <w:link w:val="TextodebaloChar"/>
    <w:uiPriority w:val="99"/>
    <w:semiHidden/>
    <w:unhideWhenUsed/>
    <w:rsid w:val="007B089B"/>
    <w:rPr>
      <w:rFonts w:ascii="Tahoma" w:hAnsi="Tahoma" w:cs="Tahoma"/>
      <w:sz w:val="16"/>
      <w:szCs w:val="16"/>
    </w:rPr>
  </w:style>
  <w:style w:type="character" w:customStyle="1" w:styleId="TextodebaloChar">
    <w:name w:val="Texto de balão Char"/>
    <w:basedOn w:val="Fontepargpadro"/>
    <w:link w:val="Textodebalo"/>
    <w:uiPriority w:val="99"/>
    <w:semiHidden/>
    <w:rsid w:val="007B089B"/>
    <w:rPr>
      <w:rFonts w:ascii="Tahoma" w:hAnsi="Tahoma" w:cs="Tahoma"/>
      <w:sz w:val="16"/>
      <w:szCs w:val="16"/>
    </w:rPr>
  </w:style>
  <w:style w:type="paragraph" w:styleId="Cabealho">
    <w:name w:val="header"/>
    <w:basedOn w:val="Normal"/>
    <w:link w:val="CabealhoChar"/>
    <w:uiPriority w:val="99"/>
    <w:unhideWhenUsed/>
    <w:rsid w:val="002921F5"/>
    <w:pPr>
      <w:tabs>
        <w:tab w:val="center" w:pos="4252"/>
        <w:tab w:val="right" w:pos="8504"/>
      </w:tabs>
    </w:pPr>
  </w:style>
  <w:style w:type="character" w:customStyle="1" w:styleId="CabealhoChar">
    <w:name w:val="Cabeçalho Char"/>
    <w:basedOn w:val="Fontepargpadro"/>
    <w:link w:val="Cabealho"/>
    <w:uiPriority w:val="99"/>
    <w:rsid w:val="002921F5"/>
  </w:style>
  <w:style w:type="paragraph" w:styleId="Rodap">
    <w:name w:val="footer"/>
    <w:basedOn w:val="Normal"/>
    <w:link w:val="RodapChar"/>
    <w:uiPriority w:val="99"/>
    <w:unhideWhenUsed/>
    <w:rsid w:val="002921F5"/>
    <w:pPr>
      <w:tabs>
        <w:tab w:val="center" w:pos="4252"/>
        <w:tab w:val="right" w:pos="8504"/>
      </w:tabs>
    </w:pPr>
  </w:style>
  <w:style w:type="character" w:customStyle="1" w:styleId="RodapChar">
    <w:name w:val="Rodapé Char"/>
    <w:basedOn w:val="Fontepargpadro"/>
    <w:link w:val="Rodap"/>
    <w:uiPriority w:val="99"/>
    <w:rsid w:val="002921F5"/>
  </w:style>
  <w:style w:type="character" w:styleId="Hyperlink">
    <w:name w:val="Hyperlink"/>
    <w:basedOn w:val="Fontepargpadro"/>
    <w:uiPriority w:val="99"/>
    <w:unhideWhenUsed/>
    <w:rsid w:val="00661120"/>
    <w:rPr>
      <w:color w:val="0000FF"/>
      <w:u w:val="single"/>
    </w:rPr>
  </w:style>
  <w:style w:type="character" w:customStyle="1" w:styleId="article-title">
    <w:name w:val="article-title"/>
    <w:basedOn w:val="Fontepargpadro"/>
    <w:rsid w:val="00661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505866">
      <w:bodyDiv w:val="1"/>
      <w:marLeft w:val="0"/>
      <w:marRight w:val="0"/>
      <w:marTop w:val="0"/>
      <w:marBottom w:val="0"/>
      <w:divBdr>
        <w:top w:val="none" w:sz="0" w:space="0" w:color="auto"/>
        <w:left w:val="none" w:sz="0" w:space="0" w:color="auto"/>
        <w:bottom w:val="none" w:sz="0" w:space="0" w:color="auto"/>
        <w:right w:val="none" w:sz="0" w:space="0" w:color="auto"/>
      </w:divBdr>
    </w:div>
    <w:div w:id="1948466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biobulegon@unochapeco.edu.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1396</TotalTime>
  <Pages>20</Pages>
  <Words>6817</Words>
  <Characters>36815</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giana</dc:creator>
  <cp:lastModifiedBy>giana</cp:lastModifiedBy>
  <cp:revision>68</cp:revision>
  <dcterms:created xsi:type="dcterms:W3CDTF">2019-01-23T18:28:00Z</dcterms:created>
  <dcterms:modified xsi:type="dcterms:W3CDTF">2019-01-24T17:53:00Z</dcterms:modified>
</cp:coreProperties>
</file>