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35D6" w14:textId="7C83FBBA" w:rsidR="00FD4D3E" w:rsidRPr="007F496D" w:rsidRDefault="00FD4D3E" w:rsidP="00FD4D3E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FD4D3E">
        <w:rPr>
          <w:rFonts w:ascii="Times New Roman" w:hAnsi="Times New Roman" w:cs="Times New Roman"/>
          <w:b/>
          <w:sz w:val="36"/>
          <w:szCs w:val="36"/>
        </w:rPr>
        <w:t>DETERMINANTES NUTRICIONAIS NA ETIOLOGIA DA DESNUTRIÇÃO HOSPITALAR</w:t>
      </w:r>
    </w:p>
    <w:p w14:paraId="77483038" w14:textId="4E1CBE9A" w:rsidR="00F26821" w:rsidRPr="00F26821" w:rsidRDefault="0001228F" w:rsidP="00F268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NUTRITIONAL DETERMINANTS IN THE ETIOLOGY OF HOSPITAL MALNUTRITION </w:t>
      </w:r>
    </w:p>
    <w:p w14:paraId="276ED692" w14:textId="77777777" w:rsidR="00F26821" w:rsidRPr="00F26821" w:rsidRDefault="00F26821" w:rsidP="00F2682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2A6D30" w14:textId="77777777" w:rsidR="00F26821" w:rsidRPr="00F26821" w:rsidRDefault="00F26821" w:rsidP="00F26821">
      <w:pPr>
        <w:rPr>
          <w:rFonts w:ascii="Times New Roman" w:hAnsi="Times New Roman" w:cs="Times New Roman"/>
          <w:sz w:val="24"/>
          <w:szCs w:val="24"/>
          <w:lang w:val="en-US"/>
        </w:rPr>
        <w:sectPr w:rsidR="00F26821" w:rsidRPr="00F26821" w:rsidSect="00D43860">
          <w:headerReference w:type="default" r:id="rId11"/>
          <w:footerReference w:type="default" r:id="rId12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AE5AAE" w14:paraId="38BC7CAB" w14:textId="77777777" w:rsidTr="00390E38">
        <w:tc>
          <w:tcPr>
            <w:tcW w:w="9060" w:type="dxa"/>
            <w:shd w:val="clear" w:color="auto" w:fill="D9D9D9" w:themeFill="background1" w:themeFillShade="D9"/>
          </w:tcPr>
          <w:p w14:paraId="70AB4A97" w14:textId="7FD004E3" w:rsidR="00AE5AAE" w:rsidRPr="00D1064A" w:rsidRDefault="006D3534" w:rsidP="00390E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Mesquita</w:t>
            </w:r>
            <w:r w:rsidR="00AE5AAE" w:rsidRPr="006A4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M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AE5AAE" w:rsidRPr="006A4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Cardoso</w:t>
            </w:r>
            <w:r w:rsidR="00AE5AAE" w:rsidRPr="006A4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Cortes, M. L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França, V. F.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CB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Sousa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L. 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Ruas, T. H.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Silva, M.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O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Fernandes, S. S.</w:t>
            </w:r>
            <w:r w:rsidR="00474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S.</w:t>
            </w:r>
            <w:r w:rsidR="00D10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14:paraId="6050E770" w14:textId="77777777" w:rsidR="00AE5AAE" w:rsidRDefault="00AE5AAE" w:rsidP="00390E3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14:paraId="55C2823F" w14:textId="111AA65D" w:rsidR="007A2ADB" w:rsidRDefault="00AE5AAE" w:rsidP="00390E3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0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Afiliações: 1-</w:t>
            </w:r>
            <w:r w:rsidR="007A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Instituto Multidisciplinar em Saúde – Campus Anísio Teixeira – Universidade Federal da Bahia.</w:t>
            </w:r>
          </w:p>
          <w:p w14:paraId="3734DF67" w14:textId="77777777" w:rsidR="007A2ADB" w:rsidRDefault="00AE5AAE" w:rsidP="007A2A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A0144">
              <w:rPr>
                <w:rFonts w:ascii="Times New Roman" w:hAnsi="Times New Roman" w:cs="Times New Roman"/>
                <w:sz w:val="16"/>
                <w:szCs w:val="16"/>
              </w:rPr>
              <w:t>nder</w:t>
            </w:r>
            <w:r w:rsidR="007A2ADB">
              <w:rPr>
                <w:rFonts w:ascii="Times New Roman" w:hAnsi="Times New Roman" w:cs="Times New Roman"/>
                <w:sz w:val="16"/>
                <w:szCs w:val="16"/>
              </w:rPr>
              <w:t xml:space="preserve">eço do autor de correspondência: Rua </w:t>
            </w:r>
            <w:proofErr w:type="spellStart"/>
            <w:r w:rsidR="007A2ADB">
              <w:rPr>
                <w:rFonts w:ascii="Times New Roman" w:hAnsi="Times New Roman" w:cs="Times New Roman"/>
                <w:sz w:val="16"/>
                <w:szCs w:val="16"/>
              </w:rPr>
              <w:t>Hormindo</w:t>
            </w:r>
            <w:proofErr w:type="spellEnd"/>
            <w:r w:rsidR="007A2ADB">
              <w:rPr>
                <w:rFonts w:ascii="Times New Roman" w:hAnsi="Times New Roman" w:cs="Times New Roman"/>
                <w:sz w:val="16"/>
                <w:szCs w:val="16"/>
              </w:rPr>
              <w:t xml:space="preserve"> Barros, 58, Quadra 17, Lote 58. Bairro Candeias | CEP:45.029-094 | </w:t>
            </w:r>
          </w:p>
          <w:p w14:paraId="0DC2EDD8" w14:textId="2D92055A" w:rsidR="00AE5AAE" w:rsidRDefault="007A2ADB" w:rsidP="007A2A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Vitória da Conquista – BA-Brasil.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luizgvc11@gmail.com.</w:t>
            </w:r>
          </w:p>
          <w:p w14:paraId="75F45060" w14:textId="3403B852" w:rsidR="007A2ADB" w:rsidRDefault="007A2ADB" w:rsidP="007A2A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83C3BF3" w14:textId="77777777" w:rsidR="00AE5AAE" w:rsidRPr="00F26821" w:rsidRDefault="00AE5AAE" w:rsidP="00F26821">
      <w:pPr>
        <w:rPr>
          <w:rFonts w:ascii="Times New Roman" w:hAnsi="Times New Roman" w:cs="Times New Roman"/>
          <w:sz w:val="24"/>
          <w:szCs w:val="24"/>
        </w:rPr>
      </w:pPr>
    </w:p>
    <w:p w14:paraId="74B3F8C7" w14:textId="77777777" w:rsidR="00EA0144" w:rsidRDefault="00EA0144" w:rsidP="00F26821">
      <w:pPr>
        <w:rPr>
          <w:rFonts w:ascii="Times New Roman" w:hAnsi="Times New Roman" w:cs="Times New Roman"/>
          <w:sz w:val="24"/>
          <w:szCs w:val="24"/>
        </w:rPr>
        <w:sectPr w:rsidR="00EA0144" w:rsidSect="00F2682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375BE3E7" w14:textId="77777777" w:rsidR="00F26821" w:rsidRPr="00A40766" w:rsidRDefault="00EA0144" w:rsidP="00B56B6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0766">
        <w:rPr>
          <w:rFonts w:ascii="Times New Roman" w:hAnsi="Times New Roman" w:cs="Times New Roman"/>
          <w:b/>
          <w:color w:val="0070C0"/>
          <w:sz w:val="24"/>
          <w:szCs w:val="24"/>
        </w:rPr>
        <w:t>Resumo</w:t>
      </w:r>
    </w:p>
    <w:p w14:paraId="5B42E743" w14:textId="77777777" w:rsidR="00B56B61" w:rsidRPr="00B56B61" w:rsidRDefault="00722339" w:rsidP="00B5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5707" wp14:editId="19788189">
                <wp:simplePos x="0" y="0"/>
                <wp:positionH relativeFrom="column">
                  <wp:posOffset>71120</wp:posOffset>
                </wp:positionH>
                <wp:positionV relativeFrom="paragraph">
                  <wp:posOffset>95885</wp:posOffset>
                </wp:positionV>
                <wp:extent cx="2181225" cy="0"/>
                <wp:effectExtent l="0" t="1905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D4B34" id="Conector re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pt,7.55pt" to="177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" strokecolor="#39f" strokeweight="3pt">
                <v:stroke joinstyle="miter"/>
              </v:line>
            </w:pict>
          </mc:Fallback>
        </mc:AlternateContent>
      </w:r>
    </w:p>
    <w:p w14:paraId="011A211E" w14:textId="1E1CF33A" w:rsidR="00EA0144" w:rsidRPr="006D3534" w:rsidRDefault="006D3534" w:rsidP="006D353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18"/>
          <w:szCs w:val="18"/>
          <w:lang w:eastAsia="en-US"/>
        </w:rPr>
      </w:pPr>
      <w:r w:rsidRPr="006D3534">
        <w:rPr>
          <w:rFonts w:eastAsiaTheme="minorHAnsi"/>
          <w:b/>
          <w:sz w:val="18"/>
          <w:szCs w:val="18"/>
          <w:lang w:eastAsia="en-US"/>
        </w:rPr>
        <w:t xml:space="preserve">A desnutrição é caracterizada pela alteração da composição corporal, estado mental e capacidade funcional, causada pelo balanço energético negativo. Em pacientes hospitalizados é uma realidade e tem relação com a morbidade e mortalidade, sendo assim, a avaliação nutricional tem como objetivo a obtenção das informações necessárias para identificar quaisquer problemas relacionados à nutrição. O objetivo do estudo foi investigar os fatores relacionados à desnutrição em pacientes hospitalizados. Foram aferidas as medidas antropométricas, além da ocorrência de sintomas gastrointestinais, os exames laboratoriais e a ingestão alimentar das dietas oferecidas pelo hospital. Os dados foram analisados pelo software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InStat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versão 3.0 e para a avaliação das dietas utilizou-se o programa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DietSmart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>®. A avaliação antropométrica evidenciou a presença de desnutrição e redução de massa magra, sendo que, a respeito dos sintomas gastrointestinais, os resultados demonstram que náuseas e vômitos prevaleceram na amostra estudada, além da hemoglobina e hematócrito abaixo do normal segundo as referências. A avaliação das dietas demonstrou inadequação de micronutrientes e que a maioria das dietas não atendeu a necessidade média do paciente. O estudo dos fatores relacionados à desnutrição evidenciou que existem métodos diversos para identificá-la dentro do contexto hospitalar e que estes são complementares.</w:t>
      </w:r>
    </w:p>
    <w:p w14:paraId="439353F7" w14:textId="77777777" w:rsidR="00B56B61" w:rsidRPr="00B56B61" w:rsidRDefault="00B56B61" w:rsidP="00EA01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608F537" w14:textId="3C9E8BB8" w:rsidR="00B56B61" w:rsidRPr="00B56B61" w:rsidRDefault="00B56B61" w:rsidP="00B56B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6B61">
        <w:rPr>
          <w:rFonts w:ascii="Times New Roman" w:hAnsi="Times New Roman" w:cs="Times New Roman"/>
          <w:b/>
          <w:i/>
          <w:sz w:val="20"/>
          <w:szCs w:val="20"/>
        </w:rPr>
        <w:t>P</w:t>
      </w:r>
      <w:r w:rsidRPr="00B56B61">
        <w:rPr>
          <w:rFonts w:ascii="Times New Roman" w:hAnsi="Times New Roman" w:cs="Times New Roman"/>
          <w:b/>
          <w:i/>
          <w:iCs/>
          <w:sz w:val="20"/>
          <w:szCs w:val="20"/>
        </w:rPr>
        <w:t>alavras-chave</w:t>
      </w:r>
      <w:r w:rsidRPr="00B56B61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B56B61">
        <w:rPr>
          <w:rFonts w:ascii="Times New Roman" w:hAnsi="Times New Roman" w:cs="Times New Roman"/>
          <w:sz w:val="20"/>
          <w:szCs w:val="20"/>
        </w:rPr>
        <w:t xml:space="preserve"> </w:t>
      </w:r>
      <w:r w:rsidR="006D3534" w:rsidRPr="006D3534">
        <w:rPr>
          <w:rFonts w:ascii="Times New Roman" w:hAnsi="Times New Roman" w:cs="Times New Roman"/>
          <w:sz w:val="20"/>
          <w:szCs w:val="20"/>
        </w:rPr>
        <w:t>Desnutrição; Avaliação nutricional; Estado nutricional</w:t>
      </w:r>
      <w:r w:rsidR="006D3534">
        <w:rPr>
          <w:rFonts w:ascii="Times New Roman" w:hAnsi="Times New Roman" w:cs="Times New Roman"/>
          <w:sz w:val="20"/>
          <w:szCs w:val="20"/>
        </w:rPr>
        <w:t>.</w:t>
      </w:r>
    </w:p>
    <w:p w14:paraId="6AFB513F" w14:textId="77777777" w:rsidR="00EA0144" w:rsidRDefault="00EA0144" w:rsidP="00EA0144">
      <w:pPr>
        <w:rPr>
          <w:rFonts w:ascii="Times New Roman" w:hAnsi="Times New Roman" w:cs="Times New Roman"/>
          <w:sz w:val="18"/>
          <w:szCs w:val="18"/>
        </w:rPr>
      </w:pPr>
    </w:p>
    <w:p w14:paraId="57ABA94C" w14:textId="77777777" w:rsidR="006D3534" w:rsidRDefault="006D3534" w:rsidP="00EA0144">
      <w:pPr>
        <w:rPr>
          <w:rFonts w:ascii="Times New Roman" w:hAnsi="Times New Roman" w:cs="Times New Roman"/>
          <w:sz w:val="18"/>
          <w:szCs w:val="18"/>
        </w:rPr>
        <w:sectPr w:rsidR="006D3534" w:rsidSect="00F2682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668D480" w14:textId="77777777" w:rsidR="00EA0144" w:rsidRPr="00F44A02" w:rsidRDefault="00EA0144" w:rsidP="00EA014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18"/>
        </w:rPr>
      </w:pPr>
      <w:r w:rsidRPr="00F44A02">
        <w:rPr>
          <w:rFonts w:ascii="Times New Roman" w:hAnsi="Times New Roman" w:cs="Times New Roman"/>
          <w:b/>
          <w:color w:val="0070C0"/>
          <w:sz w:val="24"/>
          <w:szCs w:val="18"/>
        </w:rPr>
        <w:t>Abstract</w:t>
      </w:r>
    </w:p>
    <w:p w14:paraId="3EACFAA8" w14:textId="77777777" w:rsidR="00B56B61" w:rsidRPr="00F44A02" w:rsidRDefault="00722339" w:rsidP="00EA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E1E04" wp14:editId="1BA2509A">
                <wp:simplePos x="0" y="0"/>
                <wp:positionH relativeFrom="margin">
                  <wp:posOffset>38100</wp:posOffset>
                </wp:positionH>
                <wp:positionV relativeFrom="paragraph">
                  <wp:posOffset>76200</wp:posOffset>
                </wp:positionV>
                <wp:extent cx="2181225" cy="0"/>
                <wp:effectExtent l="0" t="1905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AEB0D" id="Conector re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pt,6pt" to="174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" strokecolor="#39f" strokeweight="3pt">
                <v:stroke joinstyle="miter"/>
                <w10:wrap anchorx="margin"/>
              </v:line>
            </w:pict>
          </mc:Fallback>
        </mc:AlternateContent>
      </w:r>
    </w:p>
    <w:p w14:paraId="0CCED9FD" w14:textId="09FA3651" w:rsidR="00EA0144" w:rsidRPr="006D3534" w:rsidRDefault="006D3534" w:rsidP="006D3534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18"/>
          <w:szCs w:val="18"/>
          <w:lang w:eastAsia="en-US"/>
        </w:rPr>
      </w:pP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Malnutrition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characterized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by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changes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in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body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composition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mental status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function</w:t>
      </w:r>
      <w:r w:rsidR="00B413EA">
        <w:rPr>
          <w:rFonts w:eastAsiaTheme="minorHAnsi"/>
          <w:b/>
          <w:sz w:val="18"/>
          <w:szCs w:val="18"/>
          <w:lang w:eastAsia="en-US"/>
        </w:rPr>
        <w:t>a</w:t>
      </w:r>
      <w:r w:rsidRPr="006D3534">
        <w:rPr>
          <w:rFonts w:eastAsiaTheme="minorHAnsi"/>
          <w:b/>
          <w:sz w:val="18"/>
          <w:szCs w:val="18"/>
          <w:lang w:eastAsia="en-US"/>
        </w:rPr>
        <w:t>l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capacity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caused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by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negative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energy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balance. In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hospitalized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patients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it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a reality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related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morbidity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mortality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thus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nutritional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assessment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aims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obtain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information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needed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identify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nutrition-related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problems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. The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aim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study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was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investigate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factors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related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malnutrition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in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hospitalized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patients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.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Anthropometric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measurements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were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taken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in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addition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occurrence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gastrointestinal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symptoms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laboratory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tests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food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intake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from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diets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offered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by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hospital. The data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were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analyzed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using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InStat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software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version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3.0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diet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evaluation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data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was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used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for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DietSmart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.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Anthropometric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evaluation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showed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presence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malnutrition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reduction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lean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mass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regarding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gastrointestinal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symptoms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results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show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nausea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vomiting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prevailed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in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sample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studies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haemoglobin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hematocrit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below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normal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according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references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. The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evaluation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diets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showed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inadequate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micronutrientes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most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diets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did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not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meet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average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need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paciente. The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study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of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factors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related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malnutrition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showed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there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are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several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methods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to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identify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it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within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hospital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context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and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that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these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 xml:space="preserve"> are </w:t>
      </w:r>
      <w:proofErr w:type="spellStart"/>
      <w:r w:rsidRPr="006D3534">
        <w:rPr>
          <w:rFonts w:eastAsiaTheme="minorHAnsi"/>
          <w:b/>
          <w:sz w:val="18"/>
          <w:szCs w:val="18"/>
          <w:lang w:eastAsia="en-US"/>
        </w:rPr>
        <w:t>complementary</w:t>
      </w:r>
      <w:proofErr w:type="spellEnd"/>
      <w:r w:rsidRPr="006D3534">
        <w:rPr>
          <w:rFonts w:eastAsiaTheme="minorHAnsi"/>
          <w:b/>
          <w:sz w:val="18"/>
          <w:szCs w:val="18"/>
          <w:lang w:eastAsia="en-US"/>
        </w:rPr>
        <w:t>.</w:t>
      </w:r>
    </w:p>
    <w:p w14:paraId="768D8172" w14:textId="77777777" w:rsidR="00B56B61" w:rsidRDefault="00B56B61" w:rsidP="00EA01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2DABD7A5" w14:textId="77777777" w:rsidR="00B56B61" w:rsidRDefault="00B56B61" w:rsidP="00EA014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347C97B4" w14:textId="77777777" w:rsidR="00B56B61" w:rsidRPr="00B56B61" w:rsidRDefault="00B56B61" w:rsidP="00B413E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7E0C24F9" w14:textId="73F2D83D" w:rsidR="00B56B61" w:rsidRPr="008E7085" w:rsidRDefault="00B56B61" w:rsidP="00B413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56B61" w:rsidRPr="008E7085" w:rsidSect="00F26821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proofErr w:type="spellStart"/>
      <w:r w:rsidRPr="00453A18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B56B61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6D3534" w:rsidRPr="006D3534">
        <w:rPr>
          <w:rFonts w:ascii="Times New Roman" w:hAnsi="Times New Roman" w:cs="Times New Roman"/>
          <w:sz w:val="20"/>
          <w:szCs w:val="20"/>
        </w:rPr>
        <w:t>Malnutrition</w:t>
      </w:r>
      <w:proofErr w:type="spellEnd"/>
      <w:r w:rsidR="006D3534" w:rsidRPr="006D353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6D3534" w:rsidRPr="006D3534">
        <w:rPr>
          <w:rFonts w:ascii="Times New Roman" w:hAnsi="Times New Roman" w:cs="Times New Roman"/>
          <w:sz w:val="20"/>
          <w:szCs w:val="20"/>
        </w:rPr>
        <w:t>Nutrition</w:t>
      </w:r>
      <w:proofErr w:type="spellEnd"/>
      <w:r w:rsidR="006D3534" w:rsidRPr="006D35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3534" w:rsidRPr="006D3534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="006D3534" w:rsidRPr="006D3534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6D3534" w:rsidRPr="006D3534">
        <w:rPr>
          <w:rFonts w:ascii="Times New Roman" w:hAnsi="Times New Roman" w:cs="Times New Roman"/>
          <w:sz w:val="20"/>
          <w:szCs w:val="20"/>
        </w:rPr>
        <w:t>Nutritional</w:t>
      </w:r>
      <w:proofErr w:type="spellEnd"/>
      <w:r w:rsidR="006D3534" w:rsidRPr="006D3534">
        <w:rPr>
          <w:rFonts w:ascii="Times New Roman" w:hAnsi="Times New Roman" w:cs="Times New Roman"/>
          <w:sz w:val="20"/>
          <w:szCs w:val="20"/>
        </w:rPr>
        <w:t xml:space="preserve"> status.</w:t>
      </w:r>
    </w:p>
    <w:p w14:paraId="3F3E2F92" w14:textId="4867CCBF" w:rsidR="00B54353" w:rsidRDefault="00B54353">
      <w:pPr>
        <w:rPr>
          <w:rFonts w:ascii="Times New Roman" w:hAnsi="Times New Roman" w:cs="Times New Roman"/>
          <w:b/>
          <w:sz w:val="24"/>
          <w:szCs w:val="24"/>
        </w:rPr>
        <w:sectPr w:rsidR="00B54353" w:rsidSect="00B54353">
          <w:type w:val="continuous"/>
          <w:pgSz w:w="11906" w:h="16838"/>
          <w:pgMar w:top="1418" w:right="1418" w:bottom="1418" w:left="1418" w:header="708" w:footer="708" w:gutter="0"/>
          <w:cols w:num="2" w:space="567"/>
          <w:docGrid w:linePitch="360"/>
        </w:sectPr>
      </w:pPr>
    </w:p>
    <w:p w14:paraId="40DBE888" w14:textId="77777777" w:rsidR="00A524A6" w:rsidRDefault="00A524A6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747A7A" w14:textId="77777777" w:rsidR="00A524A6" w:rsidRDefault="00A524A6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8B88B1" w14:textId="77777777" w:rsidR="00A524A6" w:rsidRDefault="00A524A6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07B721" w14:textId="77777777" w:rsidR="00A524A6" w:rsidRPr="00A524A6" w:rsidRDefault="00A524A6" w:rsidP="00F44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AD734E" w14:textId="77777777" w:rsidR="008E7085" w:rsidRDefault="008E7085" w:rsidP="008E7085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  <w:sectPr w:rsidR="008E7085" w:rsidSect="00D43860">
          <w:headerReference w:type="default" r:id="rId13"/>
          <w:footerReference w:type="default" r:id="rId14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5A941E68" w14:textId="426696A1" w:rsidR="008E7085" w:rsidRPr="00A40766" w:rsidRDefault="008E7085" w:rsidP="008E7085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FA1B1" wp14:editId="743AFA0F">
                <wp:simplePos x="0" y="0"/>
                <wp:positionH relativeFrom="margin">
                  <wp:posOffset>4446</wp:posOffset>
                </wp:positionH>
                <wp:positionV relativeFrom="paragraph">
                  <wp:posOffset>223520</wp:posOffset>
                </wp:positionV>
                <wp:extent cx="1447800" cy="9525"/>
                <wp:effectExtent l="19050" t="19050" r="19050" b="2857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7A4E7" id="Conector reto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5pt,17.6pt" to="11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" strokecolor="#39f" strokeweight="3pt">
                <v:stroke joinstyle="miter"/>
                <w10:wrap anchorx="margin"/>
              </v:line>
            </w:pict>
          </mc:Fallback>
        </mc:AlternateContent>
      </w:r>
      <w:r w:rsidRPr="00A40766">
        <w:rPr>
          <w:rFonts w:ascii="Times New Roman" w:hAnsi="Times New Roman" w:cs="Times New Roman"/>
          <w:b/>
          <w:color w:val="0070C0"/>
          <w:sz w:val="24"/>
          <w:szCs w:val="24"/>
        </w:rPr>
        <w:t>Introdução</w:t>
      </w:r>
    </w:p>
    <w:p w14:paraId="7F5F72B0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A desnutrição é caracterizada pela alteração da composição corporal, causada pelo balanço energético e/ou proteico negativo. As consequências perpassam desde as alterações fisiológicas, at</w:t>
      </w:r>
      <w:r>
        <w:rPr>
          <w:sz w:val="22"/>
          <w:szCs w:val="22"/>
        </w:rPr>
        <w:t>é as imunológicas e bioquímicas</w:t>
      </w:r>
      <w:r>
        <w:rPr>
          <w:sz w:val="22"/>
          <w:szCs w:val="22"/>
          <w:vertAlign w:val="superscript"/>
        </w:rPr>
        <w:t>1</w:t>
      </w:r>
      <w:r w:rsidRPr="00AA57E2">
        <w:rPr>
          <w:sz w:val="22"/>
          <w:szCs w:val="22"/>
        </w:rPr>
        <w:t>. Ademais, a identificação precoce dos fatores de risco da má nutrição, garante melhores resultados na terapia nutricional e dimin</w:t>
      </w:r>
      <w:r>
        <w:rPr>
          <w:sz w:val="22"/>
          <w:szCs w:val="22"/>
        </w:rPr>
        <w:t>ui a ocorrência de complicações</w:t>
      </w:r>
      <w:r>
        <w:rPr>
          <w:sz w:val="22"/>
          <w:szCs w:val="22"/>
          <w:vertAlign w:val="superscript"/>
        </w:rPr>
        <w:t>2</w:t>
      </w:r>
      <w:r w:rsidRPr="00AA57E2">
        <w:rPr>
          <w:sz w:val="22"/>
          <w:szCs w:val="22"/>
        </w:rPr>
        <w:t>.</w:t>
      </w:r>
    </w:p>
    <w:p w14:paraId="0BBFD442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Em pacientes hospitalizados a desnutrição é uma realidade e tem relação direta com a morbidade e mortalidade hospitalar. O declínio do estado nutricional durante a hospitalização é multifatorial e pode estar relacionado com a ingestão insuficiente de nutrientes, sintomas como disfagia e </w:t>
      </w:r>
      <w:proofErr w:type="spellStart"/>
      <w:r w:rsidRPr="00AA57E2">
        <w:rPr>
          <w:sz w:val="22"/>
          <w:szCs w:val="22"/>
        </w:rPr>
        <w:t>odinofagia</w:t>
      </w:r>
      <w:proofErr w:type="spellEnd"/>
      <w:r w:rsidRPr="00AA57E2">
        <w:rPr>
          <w:sz w:val="22"/>
          <w:szCs w:val="22"/>
        </w:rPr>
        <w:t xml:space="preserve"> dificuldade no processo de digestão, absorção e metabolização, bem como o estresse metabólico causado pela doença, além da inatividade física, das interações medicamentosas e da desconsideração dos cuidados nutricionais iniciais</w:t>
      </w:r>
      <w:r>
        <w:rPr>
          <w:sz w:val="22"/>
          <w:szCs w:val="22"/>
          <w:vertAlign w:val="superscript"/>
        </w:rPr>
        <w:t>3,4</w:t>
      </w:r>
      <w:r w:rsidRPr="00AA57E2">
        <w:rPr>
          <w:sz w:val="22"/>
          <w:szCs w:val="22"/>
        </w:rPr>
        <w:t>. Como consequência, têm-se as alterações na composição corporal, capacidade funcional e alteração</w:t>
      </w:r>
      <w:r>
        <w:rPr>
          <w:sz w:val="22"/>
          <w:szCs w:val="22"/>
        </w:rPr>
        <w:t xml:space="preserve"> do estado mental dos pacientes</w:t>
      </w:r>
      <w:r>
        <w:rPr>
          <w:sz w:val="22"/>
          <w:szCs w:val="22"/>
          <w:vertAlign w:val="superscript"/>
        </w:rPr>
        <w:t>5</w:t>
      </w:r>
      <w:r w:rsidRPr="00AA57E2">
        <w:rPr>
          <w:sz w:val="22"/>
          <w:szCs w:val="22"/>
        </w:rPr>
        <w:t>.</w:t>
      </w:r>
    </w:p>
    <w:p w14:paraId="593EA74A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A avaliação nutricional é o primeiro passo da assistência nutricional, que tem como </w:t>
      </w:r>
      <w:r w:rsidRPr="00AA57E2">
        <w:rPr>
          <w:sz w:val="22"/>
          <w:szCs w:val="22"/>
        </w:rPr>
        <w:t>objetivo a obtenção das informações necessárias para identificar quaisquer problemas relacionados à nutrição. Através da coleta, verificação e interpretação de dados, é possível tomar decisões r</w:t>
      </w:r>
      <w:r>
        <w:rPr>
          <w:sz w:val="22"/>
          <w:szCs w:val="22"/>
        </w:rPr>
        <w:t>eferentes à causa dos problemas</w:t>
      </w:r>
      <w:r>
        <w:rPr>
          <w:sz w:val="22"/>
          <w:szCs w:val="22"/>
          <w:vertAlign w:val="superscript"/>
        </w:rPr>
        <w:t>6</w:t>
      </w:r>
      <w:r w:rsidRPr="00AA57E2">
        <w:rPr>
          <w:sz w:val="22"/>
          <w:szCs w:val="22"/>
        </w:rPr>
        <w:t>. Para a realização da avaliação, alguns parâmetros podem ser combinados para classificar o grau da desnutrição, para então iniciarem-se as intervenções de saúde. É importante incluir os dados antropométricos, histórico nutricional, avaliação de sinais clínicos de desnutrição e exames bioquímicos, como métodos da avaliação</w:t>
      </w:r>
      <w:r>
        <w:rPr>
          <w:sz w:val="22"/>
          <w:szCs w:val="22"/>
          <w:vertAlign w:val="superscript"/>
        </w:rPr>
        <w:t>5</w:t>
      </w:r>
      <w:r w:rsidRPr="00AA57E2">
        <w:rPr>
          <w:sz w:val="22"/>
          <w:szCs w:val="22"/>
        </w:rPr>
        <w:t>.</w:t>
      </w:r>
    </w:p>
    <w:p w14:paraId="53A4AE61" w14:textId="4B67FB82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A ingestão alimentar insuficiente é considerada como a principal causa de desnutrição relacionada à doença. A etiologia é multifatorial, podendo estar associada ao aumento das necessidades energéticas e catabolismo, doenças (como cancro, demência, patologias crônicas e gastrointestinais, entre outras.), influência de exames de diagnóstico e tratamentos</w:t>
      </w:r>
      <w:r w:rsidRPr="00FF2E70">
        <w:t xml:space="preserve"> </w:t>
      </w:r>
      <w:r w:rsidRPr="00AA57E2">
        <w:rPr>
          <w:sz w:val="22"/>
          <w:szCs w:val="22"/>
        </w:rPr>
        <w:t>(principalmente os que necessitam de jejum e alterações da composição da dieta), efeitos colaterais de medicamentos, distúrbios gastrointestinais, alterações na percepção sensorial e limitações f</w:t>
      </w:r>
      <w:r w:rsidR="00B413EA">
        <w:rPr>
          <w:sz w:val="22"/>
          <w:szCs w:val="22"/>
        </w:rPr>
        <w:t>ísicas que afetam a alimentação</w:t>
      </w:r>
      <w:r w:rsidR="00B413EA">
        <w:rPr>
          <w:sz w:val="22"/>
          <w:szCs w:val="22"/>
          <w:vertAlign w:val="superscript"/>
        </w:rPr>
        <w:t>6</w:t>
      </w:r>
      <w:r w:rsidRPr="00AA57E2">
        <w:rPr>
          <w:sz w:val="22"/>
          <w:szCs w:val="22"/>
        </w:rPr>
        <w:t xml:space="preserve">. Além disso, os sintomas gastrointestinais também causam impacto </w:t>
      </w:r>
      <w:r w:rsidRPr="00AA57E2">
        <w:rPr>
          <w:sz w:val="22"/>
          <w:szCs w:val="22"/>
        </w:rPr>
        <w:lastRenderedPageBreak/>
        <w:t>direto na ingestão alimentar dos pacientes, desse modo é imprescindível realizar intervenções nutricionais que auxiliem a reduzir ou minimizar essa sintomatologia.</w:t>
      </w:r>
      <w:r w:rsidRPr="00FF2E70">
        <w:t xml:space="preserve"> </w:t>
      </w:r>
      <w:r w:rsidRPr="00AA57E2">
        <w:rPr>
          <w:sz w:val="22"/>
          <w:szCs w:val="22"/>
        </w:rPr>
        <w:t>Através da avaliação nutricional pode-se estimar tanto o risco nutricional, como a intensidade da desnutrição e identifica</w:t>
      </w:r>
      <w:r>
        <w:rPr>
          <w:sz w:val="22"/>
          <w:szCs w:val="22"/>
        </w:rPr>
        <w:t>r os sintomas gastrointestinais</w:t>
      </w:r>
      <w:r>
        <w:rPr>
          <w:sz w:val="22"/>
          <w:szCs w:val="22"/>
          <w:vertAlign w:val="superscript"/>
        </w:rPr>
        <w:t>7</w:t>
      </w:r>
      <w:r w:rsidRPr="00AA57E2">
        <w:rPr>
          <w:sz w:val="22"/>
          <w:szCs w:val="22"/>
        </w:rPr>
        <w:t>.</w:t>
      </w:r>
    </w:p>
    <w:p w14:paraId="6FC299AD" w14:textId="77777777" w:rsidR="008E7085" w:rsidRPr="0050214A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vertAlign w:val="superscript"/>
        </w:rPr>
      </w:pPr>
      <w:r w:rsidRPr="00AA57E2">
        <w:rPr>
          <w:sz w:val="22"/>
          <w:szCs w:val="22"/>
        </w:rPr>
        <w:t>A avaliação de parâmetros bioquímicos é um complemento na avaliação do estado nutricional, sendo uma prática de rotina na intervenção nutricional. Desse modo, os avanços da ciência biomédica têm garantido diagnósticos mais precoces</w:t>
      </w:r>
      <w:r w:rsidRPr="00AA57E2">
        <w:rPr>
          <w:sz w:val="22"/>
          <w:szCs w:val="22"/>
          <w:vertAlign w:val="superscript"/>
        </w:rPr>
        <w:t>7,8</w:t>
      </w:r>
      <w:r w:rsidRPr="00AA57E2">
        <w:rPr>
          <w:sz w:val="22"/>
          <w:szCs w:val="22"/>
        </w:rPr>
        <w:t>. Quando os exames bioquímicos são realizados no inicio do tratamento, é possível direcionar eficientemente as intervenções nutricionais de cada paciente, através da composição da dieta e considerando o estado metabóli</w:t>
      </w:r>
      <w:r>
        <w:rPr>
          <w:sz w:val="22"/>
          <w:szCs w:val="22"/>
        </w:rPr>
        <w:t>co e nutricional dos indivíduos</w:t>
      </w:r>
      <w:r>
        <w:rPr>
          <w:sz w:val="22"/>
          <w:szCs w:val="22"/>
          <w:vertAlign w:val="superscript"/>
        </w:rPr>
        <w:t>7</w:t>
      </w:r>
      <w:r w:rsidRPr="00AA57E2">
        <w:rPr>
          <w:sz w:val="22"/>
          <w:szCs w:val="22"/>
        </w:rPr>
        <w:t xml:space="preserve">.  Dentro da prática clínica nutricional alguns desses parâmetros se tornam relevantes no estudo da desnutrição, dentre eles tem-se a albumina, ureia, </w:t>
      </w:r>
      <w:proofErr w:type="spellStart"/>
      <w:r w:rsidRPr="00AA57E2">
        <w:rPr>
          <w:sz w:val="22"/>
          <w:szCs w:val="22"/>
        </w:rPr>
        <w:t>transferrina</w:t>
      </w:r>
      <w:proofErr w:type="spellEnd"/>
      <w:r w:rsidRPr="00AA57E2">
        <w:rPr>
          <w:sz w:val="22"/>
          <w:szCs w:val="22"/>
        </w:rPr>
        <w:t xml:space="preserve">, creatinina e alguns minerais. Ademais, é necessário ter parcimônia, pois apenas alguns parâmetros apresentam sensibilidade necessária para a avaliação, como um exemplo, pode-se citar a albumina que é um ótimo indicador para </w:t>
      </w:r>
      <w:r w:rsidRPr="00AA57E2">
        <w:rPr>
          <w:sz w:val="22"/>
          <w:szCs w:val="22"/>
        </w:rPr>
        <w:t>diagnóstico de desnutrição grave, mas com baixa sensibilidade para</w:t>
      </w:r>
      <w:r>
        <w:rPr>
          <w:sz w:val="22"/>
          <w:szCs w:val="22"/>
        </w:rPr>
        <w:t xml:space="preserve"> diagnosticar estágios iniciais</w:t>
      </w:r>
      <w:r>
        <w:rPr>
          <w:sz w:val="22"/>
          <w:szCs w:val="22"/>
          <w:vertAlign w:val="superscript"/>
        </w:rPr>
        <w:t>8</w:t>
      </w:r>
      <w:r w:rsidRPr="00AA57E2">
        <w:rPr>
          <w:sz w:val="22"/>
          <w:szCs w:val="22"/>
        </w:rPr>
        <w:t>.</w:t>
      </w:r>
      <w:r w:rsidRPr="00FF2E70">
        <w:t xml:space="preserve"> </w:t>
      </w:r>
    </w:p>
    <w:p w14:paraId="178E64E8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Diante do exposto, o presente estudo buscou investigar os fatores relacionados à desnutrição em pacientes internados em um hospital público do sudoeste da Bahia.</w:t>
      </w:r>
    </w:p>
    <w:p w14:paraId="4CC1D0B4" w14:textId="77777777" w:rsidR="008E7085" w:rsidRPr="00A40766" w:rsidRDefault="008E7085" w:rsidP="008E7085">
      <w:pPr>
        <w:pStyle w:val="A-Title1"/>
        <w:numPr>
          <w:ilvl w:val="0"/>
          <w:numId w:val="0"/>
        </w:numPr>
        <w:spacing w:beforeLines="0" w:afterLines="0" w:line="480" w:lineRule="auto"/>
        <w:rPr>
          <w:rFonts w:ascii="Times New Roman" w:hAnsi="Times New Roman" w:cs="Times New Roman"/>
          <w:color w:val="0070C0"/>
          <w:szCs w:val="22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80DE8" wp14:editId="055A4BE3">
                <wp:simplePos x="0" y="0"/>
                <wp:positionH relativeFrom="margin">
                  <wp:posOffset>3067050</wp:posOffset>
                </wp:positionH>
                <wp:positionV relativeFrom="paragraph">
                  <wp:posOffset>236855</wp:posOffset>
                </wp:positionV>
                <wp:extent cx="1447800" cy="9525"/>
                <wp:effectExtent l="19050" t="19050" r="19050" b="2857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401FB" id="Conector reto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5pt,18.65pt" to="3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" strokecolor="#39f" strokeweight="3pt">
                <v:stroke joinstyle="miter"/>
                <w10:wrap anchorx="margin"/>
              </v:line>
            </w:pict>
          </mc:Fallback>
        </mc:AlternateContent>
      </w:r>
      <w:r w:rsidRPr="00A40766">
        <w:rPr>
          <w:rFonts w:ascii="Times New Roman" w:hAnsi="Times New Roman" w:cs="Times New Roman"/>
          <w:color w:val="0070C0"/>
          <w:szCs w:val="22"/>
          <w:shd w:val="clear" w:color="auto" w:fill="FFFFFF"/>
          <w:lang w:val="pt-BR"/>
        </w:rPr>
        <w:t>Métodos</w:t>
      </w:r>
    </w:p>
    <w:p w14:paraId="42705A9D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Refere-se a um estudo do tipo transversal de caráter prospectivo e observacional para avaliar o estado nutricional de pacientes internados, realizado entre o período de 60 dias (19 de março a 19 de junho de 2018).</w:t>
      </w:r>
    </w:p>
    <w:p w14:paraId="6B510EFA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A população da pesquisa foi constituída por indivíduos com idades entre 18 a 60 anos, de ambos os sexos, admitidos em um hospital referência em urgência e emergência na Região Sudoeste da Bahia, o qual possui clínicas médica e cirúrgica. O estudo foi realizado em aproximadamente 80 leitos de ambas as clínicas.</w:t>
      </w:r>
    </w:p>
    <w:p w14:paraId="1FB873C6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</w:pPr>
      <w:r w:rsidRPr="00AA57E2">
        <w:rPr>
          <w:sz w:val="22"/>
          <w:szCs w:val="22"/>
        </w:rPr>
        <w:t xml:space="preserve">O presente estudo faz parte do projeto intitulado “Bioimpedância Elétrica: Ângulo de Fase como Indicador Nutricional e de Prognóstico em Pacientes Críticos” sendo, aprovado pelo Comitê de Ética em Pesquisa, sob o parecer n° 2.173.610. </w:t>
      </w:r>
    </w:p>
    <w:p w14:paraId="023E3C70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lastRenderedPageBreak/>
        <w:t>Os pacientes que se enquadraram nos requisitos exigidos para a pesquisa e que autorizaram sua participação de forma voluntária receberam esclarecimentos, acerca dos objetivos e procedimentos adotados na pesquisa em questão e assinaram o Termo de Consentimento Livre e Esclarecido (TCLE).</w:t>
      </w:r>
    </w:p>
    <w:p w14:paraId="28A14F6F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As avaliações nutricionais foram realizadas até 72 horas da admissão hospitalar, considerando desde a admissão na emergência até a regulação do paciente para a clínica, sendo necessário ampliar o tempo para a realização do primeiro período de acompanhamento, e após cinco dias houve o segundo período de acompanhamento. A partir dos prontuários de registros dos pacientes foram obtidas informações como: idade, sexo, diagnóstico e presença de comorbidades associadas, além dos exames laboratoriais para diagnóstico nutricional.</w:t>
      </w:r>
    </w:p>
    <w:p w14:paraId="4F711863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A caracterização geral da amostra foi definida a partir de variáveis de gênero; quadro patológico do paciente (dividindo-se em pacientes admitidos pela clínica médica e cirúrgica); idade (categorizada a partir da média obtida no estudo; tempo de acompanhamento (categorizado a partir da média do período em que os indivíduos foram acompanhados); Índice </w:t>
      </w:r>
      <w:r w:rsidRPr="00AA57E2">
        <w:rPr>
          <w:sz w:val="22"/>
          <w:szCs w:val="22"/>
        </w:rPr>
        <w:t>de massa corporal (categorizado em baixo peso e eutrofia/sobrepeso, considerando a média obtida no estudo); Adequação da prega cutânea tricipital (categorizada em desnutrição e eutrofia/sobrepeso, considerando a média obtida no estudo); Circunferência da panturrilha (categorizada em redução ou preservação da massa magra, considerando a média obtida no estudo); Bioimpedância (categorizada em desnutrição e eutrofia/sobrepeso, considerando a média obtida no estudo).</w:t>
      </w:r>
    </w:p>
    <w:p w14:paraId="40C16E3F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Para a avaliação antropométrica foi aferido o peso corporal, a estatura, a prega cutânea tricipital (PCT), a circunferência da panturrilha (CP) e a altura do jo</w:t>
      </w:r>
      <w:r>
        <w:rPr>
          <w:sz w:val="22"/>
          <w:szCs w:val="22"/>
        </w:rPr>
        <w:t xml:space="preserve">elho (AJ), segundo </w:t>
      </w:r>
      <w:proofErr w:type="spellStart"/>
      <w:r>
        <w:rPr>
          <w:sz w:val="22"/>
          <w:szCs w:val="22"/>
        </w:rPr>
        <w:t>Lohman</w:t>
      </w:r>
      <w:proofErr w:type="spellEnd"/>
      <w:r>
        <w:rPr>
          <w:sz w:val="22"/>
          <w:szCs w:val="22"/>
        </w:rPr>
        <w:t>, 1991</w:t>
      </w:r>
      <w:r>
        <w:rPr>
          <w:sz w:val="22"/>
          <w:szCs w:val="22"/>
          <w:vertAlign w:val="superscript"/>
        </w:rPr>
        <w:t>9</w:t>
      </w:r>
      <w:r w:rsidRPr="00AA57E2">
        <w:rPr>
          <w:sz w:val="22"/>
          <w:szCs w:val="22"/>
        </w:rPr>
        <w:t>. Para os indivíduos que não puderam realizar a medida de peso corporal foi utilizada a fórmula de estimativa de peso, que considera a altura do joelho, de modo que, os valores obtidos foram classifica</w:t>
      </w:r>
      <w:r>
        <w:rPr>
          <w:sz w:val="22"/>
          <w:szCs w:val="22"/>
        </w:rPr>
        <w:t xml:space="preserve">dos segundo </w:t>
      </w:r>
      <w:proofErr w:type="spellStart"/>
      <w:r>
        <w:rPr>
          <w:sz w:val="22"/>
          <w:szCs w:val="22"/>
        </w:rPr>
        <w:t>Chumlea</w:t>
      </w:r>
      <w:proofErr w:type="spellEnd"/>
      <w:r>
        <w:rPr>
          <w:sz w:val="22"/>
          <w:szCs w:val="22"/>
        </w:rPr>
        <w:t>, 1985-1988</w:t>
      </w:r>
      <w:r>
        <w:rPr>
          <w:sz w:val="22"/>
          <w:szCs w:val="22"/>
          <w:vertAlign w:val="superscript"/>
        </w:rPr>
        <w:t>10</w:t>
      </w:r>
      <w:r>
        <w:rPr>
          <w:sz w:val="22"/>
          <w:szCs w:val="22"/>
        </w:rPr>
        <w:t>,</w:t>
      </w:r>
      <w:r>
        <w:rPr>
          <w:sz w:val="22"/>
          <w:szCs w:val="22"/>
          <w:vertAlign w:val="superscript"/>
        </w:rPr>
        <w:t>11</w:t>
      </w:r>
      <w:r w:rsidRPr="00AA57E2">
        <w:rPr>
          <w:sz w:val="22"/>
          <w:szCs w:val="22"/>
        </w:rPr>
        <w:t>. Para adequação da PCT (%), considerou-se dos valores obtidos para</w:t>
      </w:r>
      <w:r w:rsidRPr="00FF2E70">
        <w:t xml:space="preserve"> </w:t>
      </w:r>
      <w:r w:rsidRPr="00AA57E2">
        <w:rPr>
          <w:sz w:val="22"/>
          <w:szCs w:val="22"/>
        </w:rPr>
        <w:t>classificar através da</w:t>
      </w:r>
      <w:r>
        <w:rPr>
          <w:sz w:val="22"/>
          <w:szCs w:val="22"/>
        </w:rPr>
        <w:t xml:space="preserve">s propostas de </w:t>
      </w:r>
      <w:proofErr w:type="spellStart"/>
      <w:r>
        <w:rPr>
          <w:sz w:val="22"/>
          <w:szCs w:val="22"/>
        </w:rPr>
        <w:t>Frisancho</w:t>
      </w:r>
      <w:proofErr w:type="spellEnd"/>
      <w:r>
        <w:rPr>
          <w:sz w:val="22"/>
          <w:szCs w:val="22"/>
        </w:rPr>
        <w:t>, 1990</w:t>
      </w:r>
      <w:r>
        <w:rPr>
          <w:sz w:val="22"/>
          <w:szCs w:val="22"/>
          <w:vertAlign w:val="superscript"/>
        </w:rPr>
        <w:t>12</w:t>
      </w:r>
      <w:r w:rsidRPr="00AA57E2">
        <w:rPr>
          <w:sz w:val="22"/>
          <w:szCs w:val="22"/>
        </w:rPr>
        <w:t xml:space="preserve"> e </w:t>
      </w:r>
      <w:r>
        <w:rPr>
          <w:sz w:val="22"/>
          <w:szCs w:val="22"/>
        </w:rPr>
        <w:t>por Blackburn e Thornton, 1979</w:t>
      </w:r>
      <w:r>
        <w:rPr>
          <w:sz w:val="22"/>
          <w:szCs w:val="22"/>
          <w:vertAlign w:val="superscript"/>
        </w:rPr>
        <w:t>13</w:t>
      </w:r>
      <w:r w:rsidRPr="00AA57E2">
        <w:rPr>
          <w:sz w:val="22"/>
          <w:szCs w:val="22"/>
        </w:rPr>
        <w:t xml:space="preserve">, que categorizaram valores menores que 90% (desnutrição) e valores iguais ou maiores que 90% (eutrofia/sobrepeso). A medida da CP foi categorizada, de modo que em ambos os sexos, </w:t>
      </w:r>
      <w:r w:rsidRPr="00AA57E2">
        <w:rPr>
          <w:sz w:val="22"/>
          <w:szCs w:val="22"/>
        </w:rPr>
        <w:lastRenderedPageBreak/>
        <w:t>os valores inferiores a 34 cm classificaram os pacientes que apresentavam redução de massa muscular e valores iguais ou superiores a 34 cm classificaram aqueles que apresentavam preservação de massa muscular, preconi</w:t>
      </w:r>
      <w:r>
        <w:rPr>
          <w:sz w:val="22"/>
          <w:szCs w:val="22"/>
        </w:rPr>
        <w:t>zado por Barbosa e Peixoto</w:t>
      </w:r>
      <w:r>
        <w:rPr>
          <w:sz w:val="22"/>
          <w:szCs w:val="22"/>
          <w:vertAlign w:val="superscript"/>
        </w:rPr>
        <w:t>14,15</w:t>
      </w:r>
      <w:r w:rsidRPr="00AA57E2">
        <w:rPr>
          <w:sz w:val="22"/>
          <w:szCs w:val="22"/>
        </w:rPr>
        <w:t>. Por fim, a classificação do estado nutricional a partir do IMC foi feita de acordo com as recomendações da Orga</w:t>
      </w:r>
      <w:r>
        <w:rPr>
          <w:sz w:val="22"/>
          <w:szCs w:val="22"/>
        </w:rPr>
        <w:t>nização Mundial da Saúde, 1995</w:t>
      </w:r>
      <w:r>
        <w:rPr>
          <w:sz w:val="22"/>
          <w:szCs w:val="22"/>
          <w:vertAlign w:val="superscript"/>
        </w:rPr>
        <w:t>16</w:t>
      </w:r>
      <w:r w:rsidRPr="00AA57E2">
        <w:rPr>
          <w:sz w:val="22"/>
          <w:szCs w:val="22"/>
        </w:rPr>
        <w:t xml:space="preserve"> para adultos e, posteriormente, adaptada e </w:t>
      </w:r>
      <w:proofErr w:type="spellStart"/>
      <w:r w:rsidRPr="00AA57E2">
        <w:rPr>
          <w:sz w:val="22"/>
          <w:szCs w:val="22"/>
        </w:rPr>
        <w:t>dicotomizada</w:t>
      </w:r>
      <w:proofErr w:type="spellEnd"/>
      <w:r w:rsidRPr="00AA57E2">
        <w:rPr>
          <w:sz w:val="22"/>
          <w:szCs w:val="22"/>
        </w:rPr>
        <w:t xml:space="preserve"> (&lt;18,5 kg/m² para baixo peso e valores iguais ou maiores que 18,5 kg/m² eutrofia/sobrepeso).</w:t>
      </w:r>
    </w:p>
    <w:p w14:paraId="57AF5062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Para a avaliação e monitoramento da ocorrência dos sintomas gastrointestinais, fez-se a aplicação de um questionário, através do qual se investigava a presença dos seguintes sintomas: náuseas e vômitos; redução do apetite; </w:t>
      </w:r>
      <w:proofErr w:type="spellStart"/>
      <w:r w:rsidRPr="00AA57E2">
        <w:rPr>
          <w:sz w:val="22"/>
          <w:szCs w:val="22"/>
        </w:rPr>
        <w:t>odinofagia</w:t>
      </w:r>
      <w:proofErr w:type="spellEnd"/>
      <w:r w:rsidRPr="00AA57E2">
        <w:rPr>
          <w:sz w:val="22"/>
          <w:szCs w:val="22"/>
        </w:rPr>
        <w:t>. Dessa forma, o acompanhamento foi feito diariamente ao longo do período de acompanhamento dos pacientes.</w:t>
      </w:r>
    </w:p>
    <w:p w14:paraId="7BABB636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Para obtenção dos dados referentes aos exames laboratoriais, tais como, hemoglobina, hematócrito, albumina, ureia e creatinina, foram considerados os valores registrados nos prontuários no momento da pesquisa, equivalentes a data mais próxima do momento </w:t>
      </w:r>
      <w:r w:rsidRPr="00AA57E2">
        <w:rPr>
          <w:sz w:val="22"/>
          <w:szCs w:val="22"/>
        </w:rPr>
        <w:t>da primeira e da segunda avaliação antropométrica.</w:t>
      </w:r>
    </w:p>
    <w:p w14:paraId="057A2411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>Os valores de referências utilizados foram obtidos por meio do laboratório de análises clínicas do Hospital, sendo que as referências para estes são: hemoglobina (13,5 – 17,5 g/</w:t>
      </w:r>
      <w:proofErr w:type="spellStart"/>
      <w:r w:rsidRPr="00AA57E2">
        <w:rPr>
          <w:sz w:val="22"/>
          <w:szCs w:val="22"/>
        </w:rPr>
        <w:t>dL</w:t>
      </w:r>
      <w:proofErr w:type="spellEnd"/>
      <w:r w:rsidRPr="00AA57E2">
        <w:rPr>
          <w:sz w:val="22"/>
          <w:szCs w:val="22"/>
        </w:rPr>
        <w:t>), hematócrito (41-53%), albumina (3,5 – 5,2 g/</w:t>
      </w:r>
      <w:proofErr w:type="spellStart"/>
      <w:r w:rsidRPr="00AA57E2">
        <w:rPr>
          <w:sz w:val="22"/>
          <w:szCs w:val="22"/>
        </w:rPr>
        <w:t>dL</w:t>
      </w:r>
      <w:proofErr w:type="spellEnd"/>
      <w:r w:rsidRPr="00AA57E2">
        <w:rPr>
          <w:sz w:val="22"/>
          <w:szCs w:val="22"/>
        </w:rPr>
        <w:t>), ureia (15 – 55 mg/</w:t>
      </w:r>
      <w:proofErr w:type="spellStart"/>
      <w:r w:rsidRPr="00AA57E2">
        <w:rPr>
          <w:sz w:val="22"/>
          <w:szCs w:val="22"/>
        </w:rPr>
        <w:t>dL</w:t>
      </w:r>
      <w:proofErr w:type="spellEnd"/>
      <w:r w:rsidRPr="00AA57E2">
        <w:rPr>
          <w:sz w:val="22"/>
          <w:szCs w:val="22"/>
        </w:rPr>
        <w:t>) e creatinina (0,7 – 1,2 mg/</w:t>
      </w:r>
      <w:proofErr w:type="spellStart"/>
      <w:r w:rsidRPr="00AA57E2">
        <w:rPr>
          <w:sz w:val="22"/>
          <w:szCs w:val="22"/>
        </w:rPr>
        <w:t>dL</w:t>
      </w:r>
      <w:proofErr w:type="spellEnd"/>
      <w:r w:rsidRPr="00AA57E2">
        <w:rPr>
          <w:sz w:val="22"/>
          <w:szCs w:val="22"/>
        </w:rPr>
        <w:t xml:space="preserve"> para homens) e (0,5 – 1,0 mg/</w:t>
      </w:r>
      <w:proofErr w:type="spellStart"/>
      <w:r w:rsidRPr="00AA57E2">
        <w:rPr>
          <w:sz w:val="22"/>
          <w:szCs w:val="22"/>
        </w:rPr>
        <w:t>dL</w:t>
      </w:r>
      <w:proofErr w:type="spellEnd"/>
      <w:r w:rsidRPr="00AA57E2">
        <w:rPr>
          <w:sz w:val="22"/>
          <w:szCs w:val="22"/>
        </w:rPr>
        <w:t xml:space="preserve"> para mulheres. Desse modo, os resultados dos exames que se enquadravam entre o intervalo dos respectivos valores de referência foram apontados como normais, no entanto valores que destoavam foram apontados como abaixo da normalidade para hemoglobina e hematócrito e acima da normalidade para ureia e creatina. </w:t>
      </w:r>
    </w:p>
    <w:p w14:paraId="39C6499D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Para a avaliação da ingestão alimentar, primeiramente houve a identificação dos tipos de dietas ofertadas pelo hospital e posteriormente, durante quatro dias consecutivos foi realizada a identificação das porções servidas e pesagem direta de cada refeição. A pesagem foi realizada três vezes para cada alimento e/ou preparação que compõe as refeições servidas nos turnos da manhã, tarde e noite, essas pesagens foram realizadas durante quatro dias e em sequência, realizaram-se os </w:t>
      </w:r>
      <w:r w:rsidRPr="00AA57E2">
        <w:rPr>
          <w:sz w:val="22"/>
          <w:szCs w:val="22"/>
        </w:rPr>
        <w:lastRenderedPageBreak/>
        <w:t>cálculos de média das porções ofertadas durante o período de análise. Em sequência, analisou-se a composição de cada dieta, conforme a pesagem média, quanto ao percentual de carboidrato, lipídio, proteína, vitaminas (A; B; C; E; K) e minerais (Cálcio; Ferro; Magnésio; Zinco). Além disso, a ingestão e o percentual de resto alimentar durante o período de internação também foi analisada, através do registo alimentar, com objetivo de verificar a adequação dos macronutrientes e micronutrientes, considerando as recomendações diárias da DRI</w:t>
      </w:r>
      <w:r>
        <w:rPr>
          <w:sz w:val="22"/>
          <w:szCs w:val="22"/>
          <w:vertAlign w:val="superscript"/>
        </w:rPr>
        <w:t>17</w:t>
      </w:r>
      <w:r w:rsidRPr="00AA57E2">
        <w:rPr>
          <w:sz w:val="22"/>
          <w:szCs w:val="22"/>
        </w:rPr>
        <w:t xml:space="preserve"> e OMS</w:t>
      </w:r>
      <w:r>
        <w:rPr>
          <w:sz w:val="22"/>
          <w:szCs w:val="22"/>
          <w:vertAlign w:val="superscript"/>
        </w:rPr>
        <w:t>16</w:t>
      </w:r>
      <w:r w:rsidRPr="00AA57E2">
        <w:rPr>
          <w:sz w:val="22"/>
          <w:szCs w:val="22"/>
        </w:rPr>
        <w:t>,</w:t>
      </w:r>
      <w:r w:rsidRPr="00FF2E70">
        <w:t xml:space="preserve"> </w:t>
      </w:r>
      <w:r w:rsidRPr="00AA57E2">
        <w:rPr>
          <w:sz w:val="22"/>
          <w:szCs w:val="22"/>
        </w:rPr>
        <w:t>para tal, utilizou-se uma escala de percentual de consumo com apresentação de quatro sentenças (A: comeu tudo= 100% do ofertado; B: comeu a metade= 50% do ofertado; C: Comeu menos que a metade= 25% do ofertado; D:Sobrou só um pouquinho: 75% do ofertado). Por fim, diariamente houve a análise da prescrição da dieta, para verificar se houve mudança na consistência.</w:t>
      </w:r>
    </w:p>
    <w:p w14:paraId="0702D0AC" w14:textId="77777777" w:rsidR="008E7085" w:rsidRPr="00AA57E2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AA57E2">
        <w:rPr>
          <w:sz w:val="22"/>
          <w:szCs w:val="22"/>
        </w:rPr>
        <w:t xml:space="preserve">Os dados foram digitados em planilha do Excel versão 2013, e posteriormente analisados por meio do software </w:t>
      </w:r>
      <w:proofErr w:type="spellStart"/>
      <w:r w:rsidRPr="00AA57E2">
        <w:rPr>
          <w:sz w:val="22"/>
          <w:szCs w:val="22"/>
        </w:rPr>
        <w:t>InStat</w:t>
      </w:r>
      <w:proofErr w:type="spellEnd"/>
      <w:r w:rsidRPr="00AA57E2">
        <w:rPr>
          <w:sz w:val="22"/>
          <w:szCs w:val="22"/>
        </w:rPr>
        <w:t xml:space="preserve"> versão 3.0. Para o processamento de dados para a realização da avaliação das dietas, além da tabulação dos dados em planilha do Excel, utilizou-se o </w:t>
      </w:r>
      <w:r w:rsidRPr="00AA57E2">
        <w:rPr>
          <w:sz w:val="22"/>
          <w:szCs w:val="22"/>
        </w:rPr>
        <w:t xml:space="preserve">programa </w:t>
      </w:r>
      <w:proofErr w:type="spellStart"/>
      <w:r w:rsidRPr="00AA57E2">
        <w:rPr>
          <w:sz w:val="22"/>
          <w:szCs w:val="22"/>
        </w:rPr>
        <w:t>DietSmart</w:t>
      </w:r>
      <w:proofErr w:type="spellEnd"/>
      <w:r w:rsidRPr="00AA57E2">
        <w:rPr>
          <w:sz w:val="22"/>
          <w:szCs w:val="22"/>
        </w:rPr>
        <w:t>® para a adequação de macronutrientes e micronutrientes.</w:t>
      </w:r>
    </w:p>
    <w:p w14:paraId="120C18A6" w14:textId="77777777" w:rsidR="008E7085" w:rsidRPr="00A40766" w:rsidRDefault="008E7085" w:rsidP="008E7085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DE554" wp14:editId="39F3CB9D">
                <wp:simplePos x="0" y="0"/>
                <wp:positionH relativeFrom="column">
                  <wp:align>left</wp:align>
                </wp:positionH>
                <wp:positionV relativeFrom="paragraph">
                  <wp:posOffset>247015</wp:posOffset>
                </wp:positionV>
                <wp:extent cx="1447800" cy="9525"/>
                <wp:effectExtent l="19050" t="19050" r="19050" b="28575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D02C1" id="Conector re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9.45pt" to="1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" strokecolor="#39f" strokeweight="3pt">
                <v:stroke joinstyle="miter"/>
              </v:line>
            </w:pict>
          </mc:Fallback>
        </mc:AlternateContent>
      </w:r>
      <w:r w:rsidRPr="00A40766">
        <w:rPr>
          <w:rFonts w:ascii="Times New Roman" w:hAnsi="Times New Roman" w:cs="Times New Roman"/>
          <w:b/>
          <w:color w:val="0070C0"/>
          <w:sz w:val="24"/>
          <w:szCs w:val="24"/>
        </w:rPr>
        <w:t>Resultados</w:t>
      </w:r>
    </w:p>
    <w:p w14:paraId="751A5AB0" w14:textId="77777777" w:rsidR="008E7085" w:rsidRPr="00390E38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390E38">
        <w:rPr>
          <w:sz w:val="22"/>
          <w:szCs w:val="22"/>
        </w:rPr>
        <w:t xml:space="preserve">Do total de pacientes hospitalizados que participaram voluntariamente do estudo (n=21), 61,9% encontravam-se internados na clínica cirúrgica e 71,4% correspondiam ao sexo masculino, sendo a maioria (61,9%) com idade maior que 44 anos. Com relação ao tempo de acompanhamento, notou-se que a maioria dos indivíduos (57,1%) foram acompanhados por período igual ou maior que cinco dias, com tempo médio de 6,2 dias. Através da avaliação antropométrica, constatou-se que, 19,0% dos indivíduos possuíam o IMC classificado como baixo peso. Embora, mediante a adequação da PCT, pode-se observar que em 63,2% dos indivíduos hospitalizados esta medida era um indicativo de desnutrição. Quanto à avaliação da CP, notou-se que 52,4% apresentaram redução de massa magra, conforme descrito na tabela 1. </w:t>
      </w:r>
    </w:p>
    <w:p w14:paraId="0F160F98" w14:textId="77777777" w:rsidR="008E7085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B5780">
        <w:rPr>
          <w:rFonts w:ascii="Times New Roman" w:eastAsia="Times New Roman" w:hAnsi="Times New Roman" w:cs="Times New Roman"/>
          <w:b/>
          <w:lang w:eastAsia="pt-BR"/>
        </w:rPr>
        <w:t>Tabela 1</w:t>
      </w:r>
      <w:r w:rsidRPr="00390E38">
        <w:rPr>
          <w:rFonts w:ascii="Times New Roman" w:eastAsia="Times New Roman" w:hAnsi="Times New Roman" w:cs="Times New Roman"/>
          <w:lang w:eastAsia="pt-BR"/>
        </w:rPr>
        <w:t>. Caracterização da amostra e avaliação antropométrica dos pacientes hospitalizados em um hospita</w:t>
      </w:r>
      <w:r>
        <w:rPr>
          <w:rFonts w:ascii="Times New Roman" w:eastAsia="Times New Roman" w:hAnsi="Times New Roman" w:cs="Times New Roman"/>
          <w:lang w:eastAsia="pt-BR"/>
        </w:rPr>
        <w:t>l público do sudoeste da Bahia.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"/>
        <w:gridCol w:w="992"/>
        <w:gridCol w:w="142"/>
        <w:gridCol w:w="1312"/>
      </w:tblGrid>
      <w:tr w:rsidR="008E7085" w:rsidRPr="005B5780" w14:paraId="4111CB50" w14:textId="77777777" w:rsidTr="0093675B">
        <w:tc>
          <w:tcPr>
            <w:tcW w:w="1809" w:type="dxa"/>
          </w:tcPr>
          <w:p w14:paraId="5C610538" w14:textId="77777777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Caracterização</w:t>
            </w:r>
          </w:p>
          <w:p w14:paraId="11122EBB" w14:textId="77777777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geral</w:t>
            </w:r>
          </w:p>
        </w:tc>
        <w:tc>
          <w:tcPr>
            <w:tcW w:w="1134" w:type="dxa"/>
            <w:gridSpan w:val="2"/>
          </w:tcPr>
          <w:p w14:paraId="0197794E" w14:textId="48A5CCD3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Total de pacientes</w:t>
            </w:r>
          </w:p>
          <w:p w14:paraId="2B154FBF" w14:textId="77777777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N= 21</w:t>
            </w:r>
          </w:p>
        </w:tc>
        <w:tc>
          <w:tcPr>
            <w:tcW w:w="1454" w:type="dxa"/>
            <w:gridSpan w:val="2"/>
          </w:tcPr>
          <w:p w14:paraId="6BA124E2" w14:textId="77777777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Porcentagem</w:t>
            </w:r>
          </w:p>
          <w:p w14:paraId="2010D6EB" w14:textId="77777777" w:rsidR="008E7085" w:rsidRPr="005B5780" w:rsidRDefault="008E7085" w:rsidP="008E7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(%)</w:t>
            </w:r>
          </w:p>
        </w:tc>
      </w:tr>
      <w:tr w:rsidR="008E7085" w:rsidRPr="005B5780" w14:paraId="204375AC" w14:textId="77777777" w:rsidTr="008E7085">
        <w:tc>
          <w:tcPr>
            <w:tcW w:w="1951" w:type="dxa"/>
            <w:gridSpan w:val="2"/>
          </w:tcPr>
          <w:p w14:paraId="62B1A303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Gênero</w:t>
            </w:r>
          </w:p>
          <w:p w14:paraId="53C799F5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Masculino</w:t>
            </w:r>
          </w:p>
          <w:p w14:paraId="2B6A2D1D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Feminino</w:t>
            </w:r>
          </w:p>
        </w:tc>
        <w:tc>
          <w:tcPr>
            <w:tcW w:w="1134" w:type="dxa"/>
            <w:gridSpan w:val="2"/>
          </w:tcPr>
          <w:p w14:paraId="2351749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06F2DAD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15</w:t>
            </w:r>
          </w:p>
          <w:p w14:paraId="2DC31C7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6</w:t>
            </w:r>
          </w:p>
        </w:tc>
        <w:tc>
          <w:tcPr>
            <w:tcW w:w="1312" w:type="dxa"/>
          </w:tcPr>
          <w:p w14:paraId="3128B6D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01FAF7E7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71,4</w:t>
            </w:r>
          </w:p>
          <w:p w14:paraId="14050953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28,6</w:t>
            </w:r>
          </w:p>
        </w:tc>
      </w:tr>
      <w:tr w:rsidR="008E7085" w:rsidRPr="005B5780" w14:paraId="70AEBCE4" w14:textId="77777777" w:rsidTr="008E7085">
        <w:tc>
          <w:tcPr>
            <w:tcW w:w="1951" w:type="dxa"/>
            <w:gridSpan w:val="2"/>
          </w:tcPr>
          <w:p w14:paraId="5705FAA9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lastRenderedPageBreak/>
              <w:t>Idade</w:t>
            </w:r>
          </w:p>
          <w:p w14:paraId="1B6E018F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&lt; 44 anos</w:t>
            </w:r>
          </w:p>
          <w:p w14:paraId="663E8E75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pt-BR"/>
              </w:rPr>
              <w:t>&gt;</w:t>
            </w: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44 anos</w:t>
            </w:r>
          </w:p>
        </w:tc>
        <w:tc>
          <w:tcPr>
            <w:tcW w:w="1134" w:type="dxa"/>
            <w:gridSpan w:val="2"/>
          </w:tcPr>
          <w:p w14:paraId="08EC119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636BCE0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</w:t>
            </w:r>
          </w:p>
          <w:p w14:paraId="39CCE71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13</w:t>
            </w:r>
          </w:p>
        </w:tc>
        <w:tc>
          <w:tcPr>
            <w:tcW w:w="1312" w:type="dxa"/>
          </w:tcPr>
          <w:p w14:paraId="04CB69A8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0AA0F9E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38,1</w:t>
            </w:r>
          </w:p>
          <w:p w14:paraId="5C9F91F1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61,9</w:t>
            </w:r>
          </w:p>
        </w:tc>
      </w:tr>
      <w:tr w:rsidR="008E7085" w:rsidRPr="005B5780" w14:paraId="55F95179" w14:textId="77777777" w:rsidTr="008E7085">
        <w:tc>
          <w:tcPr>
            <w:tcW w:w="1951" w:type="dxa"/>
            <w:gridSpan w:val="2"/>
          </w:tcPr>
          <w:p w14:paraId="7A9157B5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Patologia</w:t>
            </w:r>
          </w:p>
          <w:p w14:paraId="34DEB5B6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Cirúrgico</w:t>
            </w:r>
          </w:p>
          <w:p w14:paraId="5EEDE3CD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Clínica</w:t>
            </w:r>
          </w:p>
        </w:tc>
        <w:tc>
          <w:tcPr>
            <w:tcW w:w="1134" w:type="dxa"/>
            <w:gridSpan w:val="2"/>
          </w:tcPr>
          <w:p w14:paraId="674923C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7BEDC614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13</w:t>
            </w:r>
          </w:p>
          <w:p w14:paraId="6BD4F017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</w:t>
            </w:r>
          </w:p>
        </w:tc>
        <w:tc>
          <w:tcPr>
            <w:tcW w:w="1312" w:type="dxa"/>
          </w:tcPr>
          <w:p w14:paraId="630B81B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4B7D1257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61,9</w:t>
            </w:r>
          </w:p>
          <w:p w14:paraId="183575E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38,1</w:t>
            </w:r>
          </w:p>
        </w:tc>
      </w:tr>
      <w:tr w:rsidR="008E7085" w:rsidRPr="005B5780" w14:paraId="7E71C1AD" w14:textId="77777777" w:rsidTr="008E7085">
        <w:tc>
          <w:tcPr>
            <w:tcW w:w="1951" w:type="dxa"/>
            <w:gridSpan w:val="2"/>
          </w:tcPr>
          <w:p w14:paraId="58B76307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Tempo de acompanhamento</w:t>
            </w:r>
          </w:p>
          <w:p w14:paraId="0E5ED5BE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&lt; 5 dias</w:t>
            </w:r>
          </w:p>
          <w:p w14:paraId="673A9776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pt-BR"/>
              </w:rPr>
              <w:t>&gt;</w:t>
            </w: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5 dias</w:t>
            </w:r>
          </w:p>
        </w:tc>
        <w:tc>
          <w:tcPr>
            <w:tcW w:w="1134" w:type="dxa"/>
            <w:gridSpan w:val="2"/>
          </w:tcPr>
          <w:p w14:paraId="4DD187F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7A5A29D4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7003AA11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9</w:t>
            </w:r>
          </w:p>
          <w:p w14:paraId="57A0385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12</w:t>
            </w:r>
          </w:p>
        </w:tc>
        <w:tc>
          <w:tcPr>
            <w:tcW w:w="1312" w:type="dxa"/>
          </w:tcPr>
          <w:p w14:paraId="389E970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3713F80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141FD9C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42,9</w:t>
            </w:r>
          </w:p>
          <w:p w14:paraId="24F24C9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57,1</w:t>
            </w:r>
          </w:p>
        </w:tc>
      </w:tr>
      <w:tr w:rsidR="008E7085" w:rsidRPr="005B5780" w14:paraId="56A9E10F" w14:textId="77777777" w:rsidTr="008E7085">
        <w:tc>
          <w:tcPr>
            <w:tcW w:w="1951" w:type="dxa"/>
            <w:gridSpan w:val="2"/>
          </w:tcPr>
          <w:p w14:paraId="6D201536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IMC (kg/m²)</w:t>
            </w:r>
          </w:p>
          <w:p w14:paraId="02DAB321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Baixo peso</w:t>
            </w:r>
          </w:p>
          <w:p w14:paraId="1B16ABDE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proofErr w:type="spellStart"/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Eurofia</w:t>
            </w:r>
            <w:proofErr w:type="spellEnd"/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/Sobrepeso</w:t>
            </w:r>
          </w:p>
        </w:tc>
        <w:tc>
          <w:tcPr>
            <w:tcW w:w="1134" w:type="dxa"/>
            <w:gridSpan w:val="2"/>
          </w:tcPr>
          <w:p w14:paraId="4FCC23F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658B992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</w:t>
            </w:r>
          </w:p>
          <w:p w14:paraId="3780889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17</w:t>
            </w:r>
          </w:p>
        </w:tc>
        <w:tc>
          <w:tcPr>
            <w:tcW w:w="1312" w:type="dxa"/>
          </w:tcPr>
          <w:p w14:paraId="59053E55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39351A2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19</w:t>
            </w:r>
          </w:p>
          <w:p w14:paraId="4539D4E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81</w:t>
            </w:r>
          </w:p>
        </w:tc>
      </w:tr>
      <w:tr w:rsidR="008E7085" w:rsidRPr="005B5780" w14:paraId="4164869E" w14:textId="77777777" w:rsidTr="008E7085">
        <w:tc>
          <w:tcPr>
            <w:tcW w:w="1951" w:type="dxa"/>
            <w:gridSpan w:val="2"/>
          </w:tcPr>
          <w:p w14:paraId="4E2BE44D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Adequação PCT</w:t>
            </w:r>
          </w:p>
          <w:p w14:paraId="04E22E60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Desnutrição</w:t>
            </w:r>
          </w:p>
          <w:p w14:paraId="7419C887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Eutrofia/sobrepeso</w:t>
            </w:r>
          </w:p>
        </w:tc>
        <w:tc>
          <w:tcPr>
            <w:tcW w:w="1134" w:type="dxa"/>
            <w:gridSpan w:val="2"/>
          </w:tcPr>
          <w:p w14:paraId="1C2ED0F7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4B13593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12</w:t>
            </w:r>
          </w:p>
          <w:p w14:paraId="40516EE3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7</w:t>
            </w:r>
          </w:p>
        </w:tc>
        <w:tc>
          <w:tcPr>
            <w:tcW w:w="1312" w:type="dxa"/>
          </w:tcPr>
          <w:p w14:paraId="0F17DC4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2169384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63,2</w:t>
            </w:r>
          </w:p>
          <w:p w14:paraId="5CA1AC8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36,8</w:t>
            </w:r>
          </w:p>
        </w:tc>
      </w:tr>
      <w:tr w:rsidR="008E7085" w:rsidRPr="005B5780" w14:paraId="36136D07" w14:textId="77777777" w:rsidTr="008E7085">
        <w:tc>
          <w:tcPr>
            <w:tcW w:w="1951" w:type="dxa"/>
            <w:gridSpan w:val="2"/>
          </w:tcPr>
          <w:p w14:paraId="488D317E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t-BR"/>
              </w:rPr>
              <w:t>Panturrilha</w:t>
            </w:r>
          </w:p>
          <w:p w14:paraId="6BB07D4C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Redução de massa magra</w:t>
            </w:r>
          </w:p>
          <w:p w14:paraId="6CC3B43C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Preservação de massa magra</w:t>
            </w:r>
          </w:p>
        </w:tc>
        <w:tc>
          <w:tcPr>
            <w:tcW w:w="1134" w:type="dxa"/>
            <w:gridSpan w:val="2"/>
          </w:tcPr>
          <w:p w14:paraId="2AE643BB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5EC11FF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11</w:t>
            </w:r>
          </w:p>
          <w:p w14:paraId="31F542EB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2914FD93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10</w:t>
            </w:r>
          </w:p>
        </w:tc>
        <w:tc>
          <w:tcPr>
            <w:tcW w:w="1312" w:type="dxa"/>
          </w:tcPr>
          <w:p w14:paraId="2550BFD4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25DBF02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52,4</w:t>
            </w:r>
          </w:p>
          <w:p w14:paraId="01999EC1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  <w:p w14:paraId="7D6C12A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47,6</w:t>
            </w:r>
          </w:p>
        </w:tc>
      </w:tr>
    </w:tbl>
    <w:p w14:paraId="224A6FF3" w14:textId="77777777" w:rsidR="008E7085" w:rsidRPr="00E22D6E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CB57EEB" w14:textId="77777777" w:rsidR="008E7085" w:rsidRPr="00E22D6E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E22D6E">
        <w:rPr>
          <w:sz w:val="22"/>
          <w:szCs w:val="22"/>
        </w:rPr>
        <w:t xml:space="preserve">Em relação às variáveis do trato gastrointestinal, foi observado que 14,29% dos pacientes apresentavam diarreia, 42,86% relataram náuseas e vômitos, 38,09% redução do apetite e 4,76% não apresentou sintomas. Além disso, não foi observada ocorrência de </w:t>
      </w:r>
      <w:proofErr w:type="spellStart"/>
      <w:r w:rsidRPr="00E22D6E">
        <w:rPr>
          <w:sz w:val="22"/>
          <w:szCs w:val="22"/>
        </w:rPr>
        <w:t>odinofagia</w:t>
      </w:r>
      <w:proofErr w:type="spellEnd"/>
      <w:r w:rsidRPr="00E22D6E">
        <w:rPr>
          <w:sz w:val="22"/>
          <w:szCs w:val="22"/>
        </w:rPr>
        <w:t xml:space="preserve">, então, este sintoma foi retirado das análises. Foi observada importante associação entre os sintomas, pois, dentre o total de pacientes que apresentaram sintomas gastrointestinais, 61,91% apresentaram apenas um dos sintomas, e 33,33% apresentaram mais de um sintoma, sendo observada maior </w:t>
      </w:r>
      <w:r w:rsidRPr="00E22D6E">
        <w:rPr>
          <w:sz w:val="22"/>
          <w:szCs w:val="22"/>
        </w:rPr>
        <w:t>associação entre a ocorrência de náuseas, vômitos e redução do apetite (tabela 2).</w:t>
      </w:r>
    </w:p>
    <w:p w14:paraId="79D2B557" w14:textId="77777777" w:rsidR="008E7085" w:rsidRPr="00E22D6E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E22D6E">
        <w:rPr>
          <w:sz w:val="22"/>
          <w:szCs w:val="22"/>
        </w:rPr>
        <w:t>Ainda na tabela 2, é possível analisar os exames bioquímicos, que demonstram que 61,9% e 57,1% dos pacientes que realizaram os exames de hemoglobina e hematócrito, respectivamente, apresentaram valores abaixo da normalidade.</w:t>
      </w:r>
    </w:p>
    <w:p w14:paraId="2383BEBF" w14:textId="77777777" w:rsidR="008E7085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B5780">
        <w:rPr>
          <w:rFonts w:ascii="Times New Roman" w:eastAsia="Times New Roman" w:hAnsi="Times New Roman" w:cs="Times New Roman"/>
          <w:b/>
          <w:lang w:eastAsia="pt-BR"/>
        </w:rPr>
        <w:t>Tabela 2.</w:t>
      </w:r>
      <w:r w:rsidRPr="00E22D6E">
        <w:rPr>
          <w:rFonts w:ascii="Times New Roman" w:eastAsia="Times New Roman" w:hAnsi="Times New Roman" w:cs="Times New Roman"/>
          <w:lang w:eastAsia="pt-BR"/>
        </w:rPr>
        <w:t xml:space="preserve"> Avalição da sintomatologia gastrointestinal e exames bioquímicos dos pacientes hospitalizados em um hospital público do sudoeste da Bahia.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923"/>
        <w:gridCol w:w="1410"/>
      </w:tblGrid>
      <w:tr w:rsidR="008E7085" w:rsidRPr="005B5780" w14:paraId="66B0A6B4" w14:textId="77777777" w:rsidTr="005B5780">
        <w:tc>
          <w:tcPr>
            <w:tcW w:w="1951" w:type="dxa"/>
          </w:tcPr>
          <w:p w14:paraId="10396DB2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Sintomas gastrointestinais e exames bioquímicos</w:t>
            </w:r>
          </w:p>
        </w:tc>
        <w:tc>
          <w:tcPr>
            <w:tcW w:w="1055" w:type="dxa"/>
          </w:tcPr>
          <w:p w14:paraId="0632040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N= 21</w:t>
            </w:r>
          </w:p>
        </w:tc>
        <w:tc>
          <w:tcPr>
            <w:tcW w:w="1461" w:type="dxa"/>
          </w:tcPr>
          <w:p w14:paraId="47D078FF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Porcentagem</w:t>
            </w:r>
          </w:p>
          <w:p w14:paraId="23BEB84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(%)</w:t>
            </w:r>
          </w:p>
        </w:tc>
      </w:tr>
      <w:tr w:rsidR="008E7085" w:rsidRPr="005B5780" w14:paraId="05D3CA9F" w14:textId="77777777" w:rsidTr="005B5780">
        <w:tc>
          <w:tcPr>
            <w:tcW w:w="1951" w:type="dxa"/>
          </w:tcPr>
          <w:p w14:paraId="21F82D98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Sintomas gastrointestinais</w:t>
            </w:r>
          </w:p>
          <w:p w14:paraId="48F9F0C4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Diarreia</w:t>
            </w:r>
          </w:p>
          <w:p w14:paraId="37967329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Náuseas e vômitos</w:t>
            </w:r>
          </w:p>
          <w:p w14:paraId="21CCAB36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Redução do apetite</w:t>
            </w:r>
          </w:p>
          <w:p w14:paraId="43D0FCC0" w14:textId="77777777" w:rsidR="008E7085" w:rsidRPr="005B5780" w:rsidRDefault="008E7085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Não apresentou sintomas</w:t>
            </w:r>
          </w:p>
        </w:tc>
        <w:tc>
          <w:tcPr>
            <w:tcW w:w="1055" w:type="dxa"/>
          </w:tcPr>
          <w:p w14:paraId="437D2C3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3415107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2726908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  <w:p w14:paraId="0D848F2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</w:t>
            </w:r>
          </w:p>
          <w:p w14:paraId="317560E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8</w:t>
            </w:r>
          </w:p>
          <w:p w14:paraId="7F144B0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</w:t>
            </w:r>
          </w:p>
        </w:tc>
        <w:tc>
          <w:tcPr>
            <w:tcW w:w="1461" w:type="dxa"/>
          </w:tcPr>
          <w:p w14:paraId="488FFB3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6A5C14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2FF3A4A5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14,29</w:t>
            </w:r>
          </w:p>
          <w:p w14:paraId="3100131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42,86</w:t>
            </w:r>
          </w:p>
          <w:p w14:paraId="6AE99905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38,09</w:t>
            </w:r>
          </w:p>
          <w:p w14:paraId="1EA0471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4,76</w:t>
            </w:r>
          </w:p>
        </w:tc>
      </w:tr>
      <w:tr w:rsidR="008E7085" w:rsidRPr="005B5780" w14:paraId="5A3AB05B" w14:textId="77777777" w:rsidTr="005B5780">
        <w:tc>
          <w:tcPr>
            <w:tcW w:w="1951" w:type="dxa"/>
          </w:tcPr>
          <w:p w14:paraId="2910EF02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Associação dos sintomas gastrointestinais</w:t>
            </w:r>
          </w:p>
          <w:p w14:paraId="09ADF0E1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Apresentou 1 sintoma</w:t>
            </w:r>
          </w:p>
          <w:p w14:paraId="70FE9059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Apresentou mais de 1 sintoma</w:t>
            </w:r>
          </w:p>
          <w:p w14:paraId="70F49167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Sem sintomas</w:t>
            </w:r>
          </w:p>
        </w:tc>
        <w:tc>
          <w:tcPr>
            <w:tcW w:w="1055" w:type="dxa"/>
          </w:tcPr>
          <w:p w14:paraId="717B0BF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1887AE3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283374E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919BF74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13</w:t>
            </w:r>
          </w:p>
          <w:p w14:paraId="4BD29BA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69AB5A8B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7</w:t>
            </w:r>
          </w:p>
          <w:p w14:paraId="6DBD7BC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1941A595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</w:t>
            </w:r>
          </w:p>
        </w:tc>
        <w:tc>
          <w:tcPr>
            <w:tcW w:w="1461" w:type="dxa"/>
          </w:tcPr>
          <w:p w14:paraId="067A126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141FF77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296677F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B14F461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61,91</w:t>
            </w:r>
          </w:p>
          <w:p w14:paraId="4DF0092D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0C9CD85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33,33</w:t>
            </w:r>
          </w:p>
          <w:p w14:paraId="78237483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0339C4A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4,76</w:t>
            </w:r>
          </w:p>
        </w:tc>
      </w:tr>
      <w:tr w:rsidR="008E7085" w:rsidRPr="005B5780" w14:paraId="53B7DADD" w14:textId="77777777" w:rsidTr="005B5780">
        <w:tc>
          <w:tcPr>
            <w:tcW w:w="1951" w:type="dxa"/>
          </w:tcPr>
          <w:p w14:paraId="188C83E8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Hemoglobina</w:t>
            </w:r>
          </w:p>
          <w:p w14:paraId="61AD1486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Normal</w:t>
            </w:r>
          </w:p>
          <w:p w14:paraId="47F95031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Abaixo da normalidade</w:t>
            </w:r>
          </w:p>
        </w:tc>
        <w:tc>
          <w:tcPr>
            <w:tcW w:w="1055" w:type="dxa"/>
          </w:tcPr>
          <w:p w14:paraId="428636C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31F03501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8</w:t>
            </w:r>
          </w:p>
          <w:p w14:paraId="672E307E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13</w:t>
            </w:r>
          </w:p>
        </w:tc>
        <w:tc>
          <w:tcPr>
            <w:tcW w:w="1461" w:type="dxa"/>
          </w:tcPr>
          <w:p w14:paraId="7207366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19BEE51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38,1</w:t>
            </w:r>
          </w:p>
          <w:p w14:paraId="4B674466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61,9</w:t>
            </w:r>
          </w:p>
        </w:tc>
      </w:tr>
      <w:tr w:rsidR="008E7085" w:rsidRPr="005B5780" w14:paraId="17B3FB3F" w14:textId="77777777" w:rsidTr="005B5780">
        <w:tc>
          <w:tcPr>
            <w:tcW w:w="1951" w:type="dxa"/>
          </w:tcPr>
          <w:p w14:paraId="4F543A02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Hematócrito</w:t>
            </w:r>
          </w:p>
          <w:p w14:paraId="6D4243E1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Normal</w:t>
            </w:r>
          </w:p>
          <w:p w14:paraId="2232F0D2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Abaixo da normalidade</w:t>
            </w:r>
          </w:p>
        </w:tc>
        <w:tc>
          <w:tcPr>
            <w:tcW w:w="1055" w:type="dxa"/>
          </w:tcPr>
          <w:p w14:paraId="174D794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1232CCE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</w:t>
            </w:r>
          </w:p>
          <w:p w14:paraId="41EC46B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12</w:t>
            </w:r>
          </w:p>
        </w:tc>
        <w:tc>
          <w:tcPr>
            <w:tcW w:w="1461" w:type="dxa"/>
          </w:tcPr>
          <w:p w14:paraId="2060965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34738D1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42,9</w:t>
            </w:r>
          </w:p>
          <w:p w14:paraId="4FF8D298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57,1</w:t>
            </w:r>
          </w:p>
        </w:tc>
      </w:tr>
      <w:tr w:rsidR="008E7085" w:rsidRPr="005B5780" w14:paraId="00ED7766" w14:textId="77777777" w:rsidTr="005B5780">
        <w:tc>
          <w:tcPr>
            <w:tcW w:w="1951" w:type="dxa"/>
          </w:tcPr>
          <w:p w14:paraId="6EBA542F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lastRenderedPageBreak/>
              <w:t>Ureia</w:t>
            </w:r>
          </w:p>
          <w:p w14:paraId="7D3C8708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 xml:space="preserve">Normal </w:t>
            </w:r>
          </w:p>
          <w:p w14:paraId="161536C5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Acima da normalidade</w:t>
            </w:r>
          </w:p>
        </w:tc>
        <w:tc>
          <w:tcPr>
            <w:tcW w:w="1055" w:type="dxa"/>
          </w:tcPr>
          <w:p w14:paraId="46E2D698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074F5373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17</w:t>
            </w:r>
          </w:p>
          <w:p w14:paraId="0941082C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</w:t>
            </w:r>
          </w:p>
        </w:tc>
        <w:tc>
          <w:tcPr>
            <w:tcW w:w="1461" w:type="dxa"/>
          </w:tcPr>
          <w:p w14:paraId="1EE3259A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0B263F78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89,5</w:t>
            </w:r>
          </w:p>
          <w:p w14:paraId="555D8CC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10,5</w:t>
            </w:r>
          </w:p>
        </w:tc>
      </w:tr>
      <w:tr w:rsidR="008E7085" w:rsidRPr="005B5780" w14:paraId="693873A9" w14:textId="77777777" w:rsidTr="0093675B">
        <w:trPr>
          <w:trHeight w:val="1503"/>
        </w:trPr>
        <w:tc>
          <w:tcPr>
            <w:tcW w:w="1951" w:type="dxa"/>
          </w:tcPr>
          <w:p w14:paraId="310A28C5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Creatinina</w:t>
            </w:r>
          </w:p>
          <w:p w14:paraId="6DCAE78E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Normal</w:t>
            </w:r>
          </w:p>
          <w:p w14:paraId="1C221DB3" w14:textId="77777777" w:rsidR="008E7085" w:rsidRPr="005B5780" w:rsidRDefault="008E7085" w:rsidP="0093675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Acima da normalidade</w:t>
            </w:r>
          </w:p>
        </w:tc>
        <w:tc>
          <w:tcPr>
            <w:tcW w:w="1055" w:type="dxa"/>
          </w:tcPr>
          <w:p w14:paraId="63DA157F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40778F30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14</w:t>
            </w:r>
          </w:p>
          <w:p w14:paraId="45BD0D6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6</w:t>
            </w:r>
          </w:p>
        </w:tc>
        <w:tc>
          <w:tcPr>
            <w:tcW w:w="1461" w:type="dxa"/>
          </w:tcPr>
          <w:p w14:paraId="00B86158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3C7B2B89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70,0</w:t>
            </w:r>
          </w:p>
          <w:p w14:paraId="5C41F3F2" w14:textId="77777777" w:rsidR="008E7085" w:rsidRPr="005B5780" w:rsidRDefault="008E7085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30,0</w:t>
            </w:r>
          </w:p>
        </w:tc>
      </w:tr>
    </w:tbl>
    <w:p w14:paraId="35BA180D" w14:textId="77777777" w:rsidR="008E7085" w:rsidRPr="00E22D6E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F3975A7" w14:textId="2C5F3F45" w:rsidR="008E7085" w:rsidRPr="00E22D6E" w:rsidRDefault="008E7085" w:rsidP="008E7085">
      <w:pPr>
        <w:spacing w:line="48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22D6E">
        <w:rPr>
          <w:rFonts w:ascii="Times New Roman" w:eastAsia="Times New Roman" w:hAnsi="Times New Roman" w:cs="Times New Roman"/>
          <w:lang w:eastAsia="pt-BR"/>
        </w:rPr>
        <w:t>A tabela 3 apresenta o perfil de macronutrientes das dietas ofere</w:t>
      </w:r>
      <w:r w:rsidR="00B413EA">
        <w:rPr>
          <w:rFonts w:ascii="Times New Roman" w:eastAsia="Times New Roman" w:hAnsi="Times New Roman" w:cs="Times New Roman"/>
          <w:lang w:eastAsia="pt-BR"/>
        </w:rPr>
        <w:t>cidas, sendo possível observar</w:t>
      </w:r>
      <w:r w:rsidRPr="00E22D6E">
        <w:rPr>
          <w:rFonts w:ascii="Times New Roman" w:eastAsia="Times New Roman" w:hAnsi="Times New Roman" w:cs="Times New Roman"/>
          <w:lang w:eastAsia="pt-BR"/>
        </w:rPr>
        <w:t xml:space="preserve"> que todas as dietas ofertadas entram na faixa percentual de </w:t>
      </w:r>
      <w:proofErr w:type="spellStart"/>
      <w:r w:rsidRPr="00E22D6E">
        <w:rPr>
          <w:rFonts w:ascii="Times New Roman" w:eastAsia="Times New Roman" w:hAnsi="Times New Roman" w:cs="Times New Roman"/>
          <w:lang w:eastAsia="pt-BR"/>
        </w:rPr>
        <w:t>hiperproteic</w:t>
      </w:r>
      <w:r>
        <w:rPr>
          <w:rFonts w:ascii="Times New Roman" w:eastAsia="Times New Roman" w:hAnsi="Times New Roman" w:cs="Times New Roman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(10 a 15%), segundo OMS</w:t>
      </w:r>
      <w:r>
        <w:rPr>
          <w:rFonts w:ascii="Times New Roman" w:eastAsia="Times New Roman" w:hAnsi="Times New Roman" w:cs="Times New Roman"/>
          <w:vertAlign w:val="superscript"/>
          <w:lang w:eastAsia="pt-BR"/>
        </w:rPr>
        <w:t>18</w:t>
      </w:r>
      <w:r w:rsidRPr="00E22D6E">
        <w:rPr>
          <w:rFonts w:ascii="Times New Roman" w:eastAsia="Times New Roman" w:hAnsi="Times New Roman" w:cs="Times New Roman"/>
          <w:lang w:eastAsia="pt-BR"/>
        </w:rPr>
        <w:t xml:space="preserve">, com exceção da dieta semilíquida (SM) que é considerada </w:t>
      </w:r>
      <w:proofErr w:type="spellStart"/>
      <w:r w:rsidRPr="00E22D6E">
        <w:rPr>
          <w:rFonts w:ascii="Times New Roman" w:eastAsia="Times New Roman" w:hAnsi="Times New Roman" w:cs="Times New Roman"/>
          <w:lang w:eastAsia="pt-BR"/>
        </w:rPr>
        <w:t>hipoproteíca</w:t>
      </w:r>
      <w:proofErr w:type="spellEnd"/>
      <w:r w:rsidRPr="00E22D6E">
        <w:rPr>
          <w:rFonts w:ascii="Times New Roman" w:eastAsia="Times New Roman" w:hAnsi="Times New Roman" w:cs="Times New Roman"/>
          <w:lang w:eastAsia="pt-BR"/>
        </w:rPr>
        <w:t xml:space="preserve">, hipocalórica e possui maior </w:t>
      </w:r>
      <w:r w:rsidRPr="00E22D6E">
        <w:rPr>
          <w:rFonts w:ascii="Times New Roman" w:eastAsia="Times New Roman" w:hAnsi="Times New Roman" w:cs="Times New Roman"/>
          <w:lang w:eastAsia="pt-BR"/>
        </w:rPr>
        <w:t>percentual de carboidrato. Os percentuais de carboidratos e lipídios das demais dietas encontram-se na fai</w:t>
      </w:r>
      <w:r>
        <w:rPr>
          <w:rFonts w:ascii="Times New Roman" w:eastAsia="Times New Roman" w:hAnsi="Times New Roman" w:cs="Times New Roman"/>
          <w:lang w:eastAsia="pt-BR"/>
        </w:rPr>
        <w:t>xa da recomendação da OMS</w:t>
      </w:r>
      <w:r>
        <w:rPr>
          <w:rFonts w:ascii="Times New Roman" w:eastAsia="Times New Roman" w:hAnsi="Times New Roman" w:cs="Times New Roman"/>
          <w:vertAlign w:val="superscript"/>
          <w:lang w:eastAsia="pt-BR"/>
        </w:rPr>
        <w:t>18</w:t>
      </w:r>
      <w:r w:rsidRPr="00E22D6E">
        <w:rPr>
          <w:rFonts w:ascii="Times New Roman" w:eastAsia="Times New Roman" w:hAnsi="Times New Roman" w:cs="Times New Roman"/>
          <w:lang w:eastAsia="pt-BR"/>
        </w:rPr>
        <w:t xml:space="preserve">, sendo a </w:t>
      </w:r>
      <w:proofErr w:type="spellStart"/>
      <w:r w:rsidRPr="00E22D6E">
        <w:rPr>
          <w:rFonts w:ascii="Times New Roman" w:eastAsia="Times New Roman" w:hAnsi="Times New Roman" w:cs="Times New Roman"/>
          <w:lang w:eastAsia="pt-BR"/>
        </w:rPr>
        <w:t>normoglicídica</w:t>
      </w:r>
      <w:proofErr w:type="spellEnd"/>
      <w:r w:rsidRPr="00E22D6E">
        <w:rPr>
          <w:rFonts w:ascii="Times New Roman" w:eastAsia="Times New Roman" w:hAnsi="Times New Roman" w:cs="Times New Roman"/>
          <w:lang w:eastAsia="pt-BR"/>
        </w:rPr>
        <w:t xml:space="preserve"> (55-75%) e </w:t>
      </w:r>
      <w:proofErr w:type="spellStart"/>
      <w:r w:rsidRPr="00E22D6E">
        <w:rPr>
          <w:rFonts w:ascii="Times New Roman" w:eastAsia="Times New Roman" w:hAnsi="Times New Roman" w:cs="Times New Roman"/>
          <w:lang w:eastAsia="pt-BR"/>
        </w:rPr>
        <w:t>normolipídica</w:t>
      </w:r>
      <w:proofErr w:type="spellEnd"/>
      <w:r w:rsidRPr="00E22D6E">
        <w:rPr>
          <w:rFonts w:ascii="Times New Roman" w:eastAsia="Times New Roman" w:hAnsi="Times New Roman" w:cs="Times New Roman"/>
          <w:lang w:eastAsia="pt-BR"/>
        </w:rPr>
        <w:t xml:space="preserve"> (15-30%). No entanto, é importante destacar que a dieta especial para paciente renal (DER) apresentava-se como </w:t>
      </w:r>
      <w:proofErr w:type="spellStart"/>
      <w:r w:rsidRPr="00E22D6E">
        <w:rPr>
          <w:rFonts w:ascii="Times New Roman" w:eastAsia="Times New Roman" w:hAnsi="Times New Roman" w:cs="Times New Roman"/>
          <w:lang w:eastAsia="pt-BR"/>
        </w:rPr>
        <w:t>hiperproteica</w:t>
      </w:r>
      <w:proofErr w:type="spellEnd"/>
      <w:r w:rsidRPr="00E22D6E">
        <w:rPr>
          <w:rFonts w:ascii="Times New Roman" w:eastAsia="Times New Roman" w:hAnsi="Times New Roman" w:cs="Times New Roman"/>
          <w:lang w:eastAsia="pt-BR"/>
        </w:rPr>
        <w:t xml:space="preserve"> e era oferecida aos pacientes em tratamento dialítico. Ademais, a dieta especial para diabético possui maior percentual de proteína, menor percentual de lipídio e é a segunda menor em valor calórico comparado com as demais dietas.</w:t>
      </w:r>
    </w:p>
    <w:p w14:paraId="121C543B" w14:textId="77777777" w:rsidR="008E7085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  <w:sectPr w:rsidR="008E7085" w:rsidSect="008E7085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1A6353B9" w14:textId="3D2D68DA" w:rsidR="008E7085" w:rsidRDefault="008E7085" w:rsidP="008E7085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B5780">
        <w:rPr>
          <w:rFonts w:ascii="Times New Roman" w:eastAsia="Times New Roman" w:hAnsi="Times New Roman" w:cs="Times New Roman"/>
          <w:b/>
          <w:lang w:eastAsia="pt-BR"/>
        </w:rPr>
        <w:t>Tabela 3</w:t>
      </w:r>
      <w:r w:rsidRPr="00E22D6E">
        <w:rPr>
          <w:rFonts w:ascii="Times New Roman" w:eastAsia="Times New Roman" w:hAnsi="Times New Roman" w:cs="Times New Roman"/>
          <w:lang w:eastAsia="pt-BR"/>
        </w:rPr>
        <w:t>. Avaliação dos macronutrientes e adequação da dieta oferecida por um hospital público do sudoeste da Bahia.</w:t>
      </w:r>
    </w:p>
    <w:p w14:paraId="1D838BBA" w14:textId="77777777" w:rsidR="008E7085" w:rsidRDefault="008E7085" w:rsidP="00F44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1633"/>
        <w:gridCol w:w="1879"/>
        <w:gridCol w:w="1475"/>
        <w:gridCol w:w="1888"/>
      </w:tblGrid>
      <w:tr w:rsidR="008E7085" w:rsidRPr="005B5780" w14:paraId="1E2710A5" w14:textId="77777777" w:rsidTr="005B5780">
        <w:tc>
          <w:tcPr>
            <w:tcW w:w="1845" w:type="dxa"/>
          </w:tcPr>
          <w:p w14:paraId="77B91F8E" w14:textId="77777777" w:rsidR="008E7085" w:rsidRPr="005B5780" w:rsidRDefault="008E7085" w:rsidP="008E708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Macronutrientes</w:t>
            </w:r>
          </w:p>
        </w:tc>
        <w:tc>
          <w:tcPr>
            <w:tcW w:w="1633" w:type="dxa"/>
          </w:tcPr>
          <w:p w14:paraId="13FC7690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Tipo de dieta</w:t>
            </w:r>
          </w:p>
        </w:tc>
        <w:tc>
          <w:tcPr>
            <w:tcW w:w="1879" w:type="dxa"/>
          </w:tcPr>
          <w:p w14:paraId="575D1C0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Quantidade</w:t>
            </w:r>
          </w:p>
        </w:tc>
        <w:tc>
          <w:tcPr>
            <w:tcW w:w="1475" w:type="dxa"/>
          </w:tcPr>
          <w:p w14:paraId="2A09D8D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Porcentagem (%)</w:t>
            </w:r>
          </w:p>
        </w:tc>
        <w:tc>
          <w:tcPr>
            <w:tcW w:w="1888" w:type="dxa"/>
          </w:tcPr>
          <w:p w14:paraId="56D194B0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Classificação</w:t>
            </w:r>
          </w:p>
          <w:p w14:paraId="41420E30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(OMS, 2003)</w:t>
            </w:r>
          </w:p>
        </w:tc>
      </w:tr>
      <w:tr w:rsidR="008E7085" w:rsidRPr="005B5780" w14:paraId="76AFF2E3" w14:textId="77777777" w:rsidTr="005B5780">
        <w:tc>
          <w:tcPr>
            <w:tcW w:w="1845" w:type="dxa"/>
          </w:tcPr>
          <w:p w14:paraId="5BB64F2C" w14:textId="77777777" w:rsidR="008E7085" w:rsidRPr="005B5780" w:rsidRDefault="008E7085" w:rsidP="008E708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Proteína</w:t>
            </w:r>
          </w:p>
        </w:tc>
        <w:tc>
          <w:tcPr>
            <w:tcW w:w="1633" w:type="dxa"/>
          </w:tcPr>
          <w:p w14:paraId="7C0844E4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SM</w:t>
            </w:r>
          </w:p>
          <w:p w14:paraId="6447CCF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B</w:t>
            </w:r>
          </w:p>
          <w:p w14:paraId="318F46B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N</w:t>
            </w:r>
          </w:p>
          <w:p w14:paraId="6099E281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DED</w:t>
            </w:r>
          </w:p>
          <w:p w14:paraId="0A9355E5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DER</w:t>
            </w:r>
          </w:p>
        </w:tc>
        <w:tc>
          <w:tcPr>
            <w:tcW w:w="1879" w:type="dxa"/>
          </w:tcPr>
          <w:p w14:paraId="5152DC4D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 xml:space="preserve">28,49g </w:t>
            </w:r>
          </w:p>
          <w:p w14:paraId="72DA52F5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87,2g</w:t>
            </w:r>
          </w:p>
          <w:p w14:paraId="3CAD6AC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94,75g</w:t>
            </w:r>
          </w:p>
          <w:p w14:paraId="63E72698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73,4g</w:t>
            </w:r>
          </w:p>
          <w:p w14:paraId="35C0732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73,8g</w:t>
            </w:r>
          </w:p>
        </w:tc>
        <w:tc>
          <w:tcPr>
            <w:tcW w:w="1475" w:type="dxa"/>
          </w:tcPr>
          <w:p w14:paraId="330F7D02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9,4</w:t>
            </w:r>
          </w:p>
          <w:p w14:paraId="743B92A3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15,4</w:t>
            </w:r>
          </w:p>
          <w:p w14:paraId="2C755A0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16,4</w:t>
            </w:r>
          </w:p>
          <w:p w14:paraId="2D0C4851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18,4</w:t>
            </w:r>
          </w:p>
          <w:p w14:paraId="4B3F099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15,5</w:t>
            </w:r>
          </w:p>
        </w:tc>
        <w:tc>
          <w:tcPr>
            <w:tcW w:w="1888" w:type="dxa"/>
          </w:tcPr>
          <w:p w14:paraId="4C60C31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Hipoproteíca</w:t>
            </w:r>
            <w:proofErr w:type="spellEnd"/>
          </w:p>
          <w:p w14:paraId="3729619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Hiperproteíca</w:t>
            </w:r>
            <w:proofErr w:type="spellEnd"/>
          </w:p>
          <w:p w14:paraId="49927B1B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Hiperproteíca</w:t>
            </w:r>
            <w:proofErr w:type="spellEnd"/>
          </w:p>
          <w:p w14:paraId="1389A80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Hiperproteíca</w:t>
            </w:r>
            <w:proofErr w:type="spellEnd"/>
          </w:p>
          <w:p w14:paraId="2300F47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Hiperproteica</w:t>
            </w:r>
            <w:proofErr w:type="spellEnd"/>
          </w:p>
        </w:tc>
      </w:tr>
      <w:tr w:rsidR="008E7085" w:rsidRPr="005B5780" w14:paraId="06587309" w14:textId="77777777" w:rsidTr="005B5780">
        <w:tc>
          <w:tcPr>
            <w:tcW w:w="1845" w:type="dxa"/>
          </w:tcPr>
          <w:p w14:paraId="5705F75C" w14:textId="77777777" w:rsidR="008E7085" w:rsidRPr="005B5780" w:rsidRDefault="008E7085" w:rsidP="008E708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t>Carboidrato</w:t>
            </w:r>
          </w:p>
        </w:tc>
        <w:tc>
          <w:tcPr>
            <w:tcW w:w="1633" w:type="dxa"/>
          </w:tcPr>
          <w:p w14:paraId="1AEF58D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SM</w:t>
            </w:r>
          </w:p>
          <w:p w14:paraId="6B310B52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B</w:t>
            </w:r>
          </w:p>
          <w:p w14:paraId="538C3E5A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N</w:t>
            </w:r>
          </w:p>
          <w:p w14:paraId="4640DC62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DED</w:t>
            </w:r>
          </w:p>
          <w:p w14:paraId="415385B3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DER</w:t>
            </w:r>
          </w:p>
        </w:tc>
        <w:tc>
          <w:tcPr>
            <w:tcW w:w="1879" w:type="dxa"/>
          </w:tcPr>
          <w:p w14:paraId="3C3D05A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207,48g</w:t>
            </w:r>
          </w:p>
          <w:p w14:paraId="0C0EF1E0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357,8g</w:t>
            </w:r>
          </w:p>
          <w:p w14:paraId="3461CAC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358,2g</w:t>
            </w:r>
          </w:p>
          <w:p w14:paraId="26AE3607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238,9g</w:t>
            </w:r>
          </w:p>
          <w:p w14:paraId="045B6152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315,8g</w:t>
            </w:r>
          </w:p>
        </w:tc>
        <w:tc>
          <w:tcPr>
            <w:tcW w:w="1475" w:type="dxa"/>
          </w:tcPr>
          <w:p w14:paraId="40B131C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68,7</w:t>
            </w:r>
          </w:p>
          <w:p w14:paraId="68D042FD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63,4</w:t>
            </w:r>
          </w:p>
          <w:p w14:paraId="18A6C29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62,3</w:t>
            </w:r>
          </w:p>
          <w:p w14:paraId="50851804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59,9</w:t>
            </w:r>
          </w:p>
          <w:p w14:paraId="1CF72B85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66,1</w:t>
            </w:r>
          </w:p>
        </w:tc>
        <w:tc>
          <w:tcPr>
            <w:tcW w:w="1888" w:type="dxa"/>
          </w:tcPr>
          <w:p w14:paraId="514D4D87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Normoglicídica</w:t>
            </w:r>
            <w:proofErr w:type="spellEnd"/>
          </w:p>
          <w:p w14:paraId="1DA4276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Normoglicídica</w:t>
            </w:r>
            <w:proofErr w:type="spellEnd"/>
          </w:p>
          <w:p w14:paraId="3D899CA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Normoglicídica</w:t>
            </w:r>
            <w:proofErr w:type="spellEnd"/>
          </w:p>
          <w:p w14:paraId="634C5A0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lastRenderedPageBreak/>
              <w:t>Normoglicídica</w:t>
            </w:r>
            <w:proofErr w:type="spellEnd"/>
          </w:p>
          <w:p w14:paraId="0326E62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Normoglicídica</w:t>
            </w:r>
            <w:proofErr w:type="spellEnd"/>
          </w:p>
        </w:tc>
      </w:tr>
      <w:tr w:rsidR="008E7085" w:rsidRPr="005B5780" w14:paraId="7D4CD8D4" w14:textId="77777777" w:rsidTr="005B5780">
        <w:tc>
          <w:tcPr>
            <w:tcW w:w="1845" w:type="dxa"/>
          </w:tcPr>
          <w:p w14:paraId="0A41E655" w14:textId="77777777" w:rsidR="008E7085" w:rsidRPr="005B5780" w:rsidRDefault="008E7085" w:rsidP="008E708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B5780">
              <w:rPr>
                <w:rFonts w:ascii="Times New Roman" w:hAnsi="Times New Roman" w:cs="Times New Roman"/>
                <w:b/>
                <w:sz w:val="18"/>
              </w:rPr>
              <w:lastRenderedPageBreak/>
              <w:t>Lipídios</w:t>
            </w:r>
          </w:p>
        </w:tc>
        <w:tc>
          <w:tcPr>
            <w:tcW w:w="1633" w:type="dxa"/>
          </w:tcPr>
          <w:p w14:paraId="1D2E0EFD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SM</w:t>
            </w:r>
          </w:p>
          <w:p w14:paraId="0B01B00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B</w:t>
            </w:r>
          </w:p>
          <w:p w14:paraId="5ACB0C71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N</w:t>
            </w:r>
          </w:p>
          <w:p w14:paraId="3AA931F7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DED</w:t>
            </w:r>
          </w:p>
          <w:p w14:paraId="07EEA9F9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DER</w:t>
            </w:r>
          </w:p>
        </w:tc>
        <w:tc>
          <w:tcPr>
            <w:tcW w:w="1879" w:type="dxa"/>
          </w:tcPr>
          <w:p w14:paraId="69FB75B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29,31g</w:t>
            </w:r>
          </w:p>
          <w:p w14:paraId="6EE0F461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52,7g</w:t>
            </w:r>
          </w:p>
          <w:p w14:paraId="470C1ED4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53,9g</w:t>
            </w:r>
          </w:p>
          <w:p w14:paraId="370792F1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38,4g</w:t>
            </w:r>
          </w:p>
          <w:p w14:paraId="389CFEEB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39,2g</w:t>
            </w:r>
          </w:p>
        </w:tc>
        <w:tc>
          <w:tcPr>
            <w:tcW w:w="1475" w:type="dxa"/>
          </w:tcPr>
          <w:p w14:paraId="79EC4F44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21,8</w:t>
            </w:r>
          </w:p>
          <w:p w14:paraId="79A9D1F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21,0</w:t>
            </w:r>
          </w:p>
          <w:p w14:paraId="02EA0BDE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21,1</w:t>
            </w:r>
          </w:p>
          <w:p w14:paraId="67D5EA3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21,6</w:t>
            </w:r>
          </w:p>
          <w:p w14:paraId="1487EE8C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5780">
              <w:rPr>
                <w:rFonts w:ascii="Times New Roman" w:hAnsi="Times New Roman" w:cs="Times New Roman"/>
                <w:sz w:val="18"/>
              </w:rPr>
              <w:t>18,4</w:t>
            </w:r>
          </w:p>
        </w:tc>
        <w:tc>
          <w:tcPr>
            <w:tcW w:w="1888" w:type="dxa"/>
          </w:tcPr>
          <w:p w14:paraId="3DD726CF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Normolipídica</w:t>
            </w:r>
            <w:proofErr w:type="spellEnd"/>
          </w:p>
          <w:p w14:paraId="01F8A4A6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Normolipídica</w:t>
            </w:r>
            <w:proofErr w:type="spellEnd"/>
          </w:p>
          <w:p w14:paraId="3AD138CA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Normolipídica</w:t>
            </w:r>
            <w:proofErr w:type="spellEnd"/>
          </w:p>
          <w:p w14:paraId="077C77FA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Normolipídica</w:t>
            </w:r>
            <w:proofErr w:type="spellEnd"/>
          </w:p>
          <w:p w14:paraId="4D136D17" w14:textId="77777777" w:rsidR="008E7085" w:rsidRPr="005B5780" w:rsidRDefault="008E7085" w:rsidP="008E7085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8"/>
              </w:rPr>
              <w:t>Normolipídica</w:t>
            </w:r>
            <w:proofErr w:type="spellEnd"/>
          </w:p>
        </w:tc>
      </w:tr>
    </w:tbl>
    <w:p w14:paraId="3A660ACD" w14:textId="77777777" w:rsidR="008E7085" w:rsidRDefault="008E7085" w:rsidP="008E7085">
      <w:pPr>
        <w:tabs>
          <w:tab w:val="left" w:pos="660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45CA26" w14:textId="77777777" w:rsidR="008E7085" w:rsidRPr="00E22D6E" w:rsidRDefault="008E7085" w:rsidP="008E7085">
      <w:pPr>
        <w:tabs>
          <w:tab w:val="left" w:pos="6600"/>
        </w:tabs>
        <w:spacing w:line="360" w:lineRule="auto"/>
        <w:jc w:val="both"/>
        <w:rPr>
          <w:rFonts w:ascii="Times New Roman" w:hAnsi="Times New Roman" w:cs="Times New Roman"/>
        </w:rPr>
      </w:pPr>
      <w:r w:rsidRPr="00E22D6E">
        <w:rPr>
          <w:rFonts w:ascii="Times New Roman" w:hAnsi="Times New Roman" w:cs="Times New Roman"/>
          <w:sz w:val="16"/>
          <w:szCs w:val="16"/>
        </w:rPr>
        <w:t>SM: Dieta semilíquida, B: Dieta branda, N: Dieta normal, DED: Dieta especial para diabéticos, DER: Dieta especial para doença renal</w:t>
      </w:r>
      <w:r w:rsidRPr="00E22D6E">
        <w:rPr>
          <w:rFonts w:ascii="Times New Roman" w:hAnsi="Times New Roman" w:cs="Times New Roman"/>
        </w:rPr>
        <w:tab/>
      </w:r>
    </w:p>
    <w:p w14:paraId="3191E990" w14:textId="77777777" w:rsidR="008E7085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  <w:sectPr w:rsidR="008E7085" w:rsidSect="00D4386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2668D1C6" w14:textId="1102C024" w:rsidR="008E7085" w:rsidRPr="00FF2E70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Na tabela 4, é possível observar os valores de micronutrientes das dietas ofertadas comparadas com Necessidade Média Estimada (EAR)</w:t>
      </w:r>
      <w:r>
        <w:rPr>
          <w:sz w:val="22"/>
          <w:szCs w:val="22"/>
          <w:vertAlign w:val="superscript"/>
        </w:rPr>
        <w:t>17</w:t>
      </w:r>
      <w:r w:rsidRPr="00FF2E70">
        <w:rPr>
          <w:sz w:val="22"/>
          <w:szCs w:val="22"/>
        </w:rPr>
        <w:t xml:space="preserve">. As dietas ofertadas possuem pelo menos três micronutrientes que não atendem à </w:t>
      </w:r>
      <w:r w:rsidRPr="00FF2E70">
        <w:rPr>
          <w:sz w:val="22"/>
          <w:szCs w:val="22"/>
        </w:rPr>
        <w:t>recomendação. No entanto a dieta semilíquida foi a que mais apresentou inadequação de micronutrientes, sendo estes: a vitamina E, ácido fólico, cálcio, potássio, fosforo, magnésio, ferro e zinco.</w:t>
      </w:r>
    </w:p>
    <w:p w14:paraId="0E9A4F8D" w14:textId="77777777" w:rsidR="008E7085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sz w:val="22"/>
          <w:szCs w:val="22"/>
        </w:rPr>
        <w:sectPr w:rsidR="008E7085" w:rsidSect="008E7085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1E4454BA" w14:textId="45BA13E7" w:rsidR="008E7085" w:rsidRPr="00E22D6E" w:rsidRDefault="008E7085" w:rsidP="008E7085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5B5780">
        <w:rPr>
          <w:b/>
          <w:sz w:val="22"/>
          <w:szCs w:val="22"/>
        </w:rPr>
        <w:t>Tabela 4</w:t>
      </w:r>
      <w:r w:rsidRPr="00E22D6E">
        <w:rPr>
          <w:sz w:val="22"/>
          <w:szCs w:val="22"/>
        </w:rPr>
        <w:t>. Avaliação dos micronutrientes das dietas padrão oferecidas aos pacientes internados em um hospital público do sudoeste da Bahia.</w:t>
      </w:r>
    </w:p>
    <w:p w14:paraId="1F4AA918" w14:textId="77777777" w:rsidR="008E7085" w:rsidRDefault="008E7085" w:rsidP="00F44A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70"/>
        <w:gridCol w:w="709"/>
        <w:gridCol w:w="850"/>
        <w:gridCol w:w="709"/>
        <w:gridCol w:w="850"/>
        <w:gridCol w:w="709"/>
        <w:gridCol w:w="851"/>
        <w:gridCol w:w="850"/>
        <w:gridCol w:w="709"/>
        <w:gridCol w:w="709"/>
        <w:gridCol w:w="708"/>
      </w:tblGrid>
      <w:tr w:rsidR="008E7085" w:rsidRPr="005B5780" w14:paraId="53DB4858" w14:textId="77777777" w:rsidTr="005B5780">
        <w:tc>
          <w:tcPr>
            <w:tcW w:w="656" w:type="dxa"/>
          </w:tcPr>
          <w:p w14:paraId="6A00AEE1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Dieta</w:t>
            </w:r>
          </w:p>
        </w:tc>
        <w:tc>
          <w:tcPr>
            <w:tcW w:w="870" w:type="dxa"/>
          </w:tcPr>
          <w:p w14:paraId="3741D09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Vit.A</w:t>
            </w:r>
            <w:proofErr w:type="spellEnd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 xml:space="preserve"> (mg)</w:t>
            </w:r>
          </w:p>
        </w:tc>
        <w:tc>
          <w:tcPr>
            <w:tcW w:w="709" w:type="dxa"/>
          </w:tcPr>
          <w:p w14:paraId="72EB3AE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Vit.D</w:t>
            </w:r>
            <w:proofErr w:type="spellEnd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 xml:space="preserve"> (</w:t>
            </w: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mcg</w:t>
            </w:r>
            <w:proofErr w:type="spellEnd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0" w:type="dxa"/>
          </w:tcPr>
          <w:p w14:paraId="454026F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Vit.C</w:t>
            </w:r>
            <w:proofErr w:type="spellEnd"/>
          </w:p>
          <w:p w14:paraId="492359E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709" w:type="dxa"/>
          </w:tcPr>
          <w:p w14:paraId="6C3C9EA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Vit.E</w:t>
            </w:r>
            <w:proofErr w:type="spellEnd"/>
          </w:p>
          <w:p w14:paraId="6CA02FA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850" w:type="dxa"/>
          </w:tcPr>
          <w:p w14:paraId="5852288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Vit.K</w:t>
            </w:r>
            <w:proofErr w:type="spellEnd"/>
          </w:p>
          <w:p w14:paraId="62E8FEA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mcg</w:t>
            </w:r>
            <w:proofErr w:type="spellEnd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709" w:type="dxa"/>
          </w:tcPr>
          <w:p w14:paraId="1F7D6CE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Vit.B9 (</w:t>
            </w:r>
            <w:proofErr w:type="spellStart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mcg</w:t>
            </w:r>
            <w:proofErr w:type="spellEnd"/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851" w:type="dxa"/>
          </w:tcPr>
          <w:p w14:paraId="29C7FB3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Ca</w:t>
            </w:r>
          </w:p>
          <w:p w14:paraId="77FE2FC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850" w:type="dxa"/>
          </w:tcPr>
          <w:p w14:paraId="6D7B85E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P</w:t>
            </w:r>
          </w:p>
          <w:p w14:paraId="36CC2FE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709" w:type="dxa"/>
          </w:tcPr>
          <w:p w14:paraId="5256940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Mg</w:t>
            </w:r>
          </w:p>
          <w:p w14:paraId="5E7A761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709" w:type="dxa"/>
          </w:tcPr>
          <w:p w14:paraId="1B1203A4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Fe</w:t>
            </w:r>
          </w:p>
          <w:p w14:paraId="1D225A8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  <w:tc>
          <w:tcPr>
            <w:tcW w:w="708" w:type="dxa"/>
          </w:tcPr>
          <w:p w14:paraId="49F7F6D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Zn</w:t>
            </w:r>
          </w:p>
          <w:p w14:paraId="48C54B0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(mg)</w:t>
            </w:r>
          </w:p>
        </w:tc>
      </w:tr>
      <w:tr w:rsidR="008E7085" w:rsidRPr="005B5780" w14:paraId="6D3B0F1C" w14:textId="77777777" w:rsidTr="005B5780">
        <w:tc>
          <w:tcPr>
            <w:tcW w:w="656" w:type="dxa"/>
          </w:tcPr>
          <w:p w14:paraId="1E732FC9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EAR</w:t>
            </w:r>
          </w:p>
        </w:tc>
        <w:tc>
          <w:tcPr>
            <w:tcW w:w="870" w:type="dxa"/>
          </w:tcPr>
          <w:p w14:paraId="43FD075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625</w:t>
            </w:r>
          </w:p>
        </w:tc>
        <w:tc>
          <w:tcPr>
            <w:tcW w:w="709" w:type="dxa"/>
          </w:tcPr>
          <w:p w14:paraId="5D10505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850" w:type="dxa"/>
          </w:tcPr>
          <w:p w14:paraId="55E7772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75</w:t>
            </w:r>
          </w:p>
        </w:tc>
        <w:tc>
          <w:tcPr>
            <w:tcW w:w="709" w:type="dxa"/>
          </w:tcPr>
          <w:p w14:paraId="2BD38AB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850" w:type="dxa"/>
          </w:tcPr>
          <w:p w14:paraId="6D7E072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9000</w:t>
            </w:r>
          </w:p>
        </w:tc>
        <w:tc>
          <w:tcPr>
            <w:tcW w:w="709" w:type="dxa"/>
          </w:tcPr>
          <w:p w14:paraId="16E5D14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320</w:t>
            </w:r>
          </w:p>
        </w:tc>
        <w:tc>
          <w:tcPr>
            <w:tcW w:w="851" w:type="dxa"/>
          </w:tcPr>
          <w:p w14:paraId="099AE77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1000</w:t>
            </w:r>
          </w:p>
        </w:tc>
        <w:tc>
          <w:tcPr>
            <w:tcW w:w="850" w:type="dxa"/>
          </w:tcPr>
          <w:p w14:paraId="16AE831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580</w:t>
            </w:r>
          </w:p>
        </w:tc>
        <w:tc>
          <w:tcPr>
            <w:tcW w:w="709" w:type="dxa"/>
          </w:tcPr>
          <w:p w14:paraId="3FE6FDE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330</w:t>
            </w:r>
          </w:p>
        </w:tc>
        <w:tc>
          <w:tcPr>
            <w:tcW w:w="709" w:type="dxa"/>
          </w:tcPr>
          <w:p w14:paraId="1BA7D29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8,1</w:t>
            </w:r>
          </w:p>
        </w:tc>
        <w:tc>
          <w:tcPr>
            <w:tcW w:w="708" w:type="dxa"/>
          </w:tcPr>
          <w:p w14:paraId="10461FB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</w:tr>
      <w:tr w:rsidR="008E7085" w:rsidRPr="005B5780" w14:paraId="23441F0F" w14:textId="77777777" w:rsidTr="005B5780">
        <w:tc>
          <w:tcPr>
            <w:tcW w:w="656" w:type="dxa"/>
          </w:tcPr>
          <w:p w14:paraId="0DBF9365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SM</w:t>
            </w:r>
          </w:p>
          <w:p w14:paraId="098644AA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870" w:type="dxa"/>
          </w:tcPr>
          <w:p w14:paraId="7F04DF5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599</w:t>
            </w:r>
          </w:p>
          <w:p w14:paraId="78F9AFB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95,98</w:t>
            </w:r>
          </w:p>
        </w:tc>
        <w:tc>
          <w:tcPr>
            <w:tcW w:w="709" w:type="dxa"/>
          </w:tcPr>
          <w:p w14:paraId="1DD659C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5,8</w:t>
            </w:r>
          </w:p>
          <w:p w14:paraId="433F8CA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116</w:t>
            </w:r>
          </w:p>
        </w:tc>
        <w:tc>
          <w:tcPr>
            <w:tcW w:w="850" w:type="dxa"/>
          </w:tcPr>
          <w:p w14:paraId="7803963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236.4</w:t>
            </w:r>
          </w:p>
          <w:p w14:paraId="3CA6BAF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3149</w:t>
            </w:r>
          </w:p>
        </w:tc>
        <w:tc>
          <w:tcPr>
            <w:tcW w:w="709" w:type="dxa"/>
          </w:tcPr>
          <w:p w14:paraId="63602AE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9,3</w:t>
            </w:r>
          </w:p>
          <w:p w14:paraId="7B5A426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62</w:t>
            </w:r>
          </w:p>
        </w:tc>
        <w:tc>
          <w:tcPr>
            <w:tcW w:w="850" w:type="dxa"/>
          </w:tcPr>
          <w:p w14:paraId="50B2072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2512 ,2</w:t>
            </w:r>
          </w:p>
          <w:p w14:paraId="58C9B47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27,9</w:t>
            </w:r>
          </w:p>
        </w:tc>
        <w:tc>
          <w:tcPr>
            <w:tcW w:w="709" w:type="dxa"/>
          </w:tcPr>
          <w:p w14:paraId="4D1C394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109,2</w:t>
            </w:r>
          </w:p>
          <w:p w14:paraId="4ECD432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34,1</w:t>
            </w:r>
          </w:p>
        </w:tc>
        <w:tc>
          <w:tcPr>
            <w:tcW w:w="851" w:type="dxa"/>
          </w:tcPr>
          <w:p w14:paraId="33965FD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875,5</w:t>
            </w:r>
          </w:p>
          <w:p w14:paraId="2AE7ED8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87,5</w:t>
            </w:r>
          </w:p>
        </w:tc>
        <w:tc>
          <w:tcPr>
            <w:tcW w:w="850" w:type="dxa"/>
          </w:tcPr>
          <w:p w14:paraId="1E8F80B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734,2</w:t>
            </w:r>
          </w:p>
          <w:p w14:paraId="024A13A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126,5</w:t>
            </w:r>
          </w:p>
        </w:tc>
        <w:tc>
          <w:tcPr>
            <w:tcW w:w="709" w:type="dxa"/>
          </w:tcPr>
          <w:p w14:paraId="6EE083F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197,9</w:t>
            </w:r>
          </w:p>
          <w:p w14:paraId="3634AC6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59,9</w:t>
            </w:r>
          </w:p>
        </w:tc>
        <w:tc>
          <w:tcPr>
            <w:tcW w:w="709" w:type="dxa"/>
          </w:tcPr>
          <w:p w14:paraId="1DC7937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8,1</w:t>
            </w:r>
          </w:p>
          <w:p w14:paraId="0C70E2B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100</w:t>
            </w:r>
          </w:p>
        </w:tc>
        <w:tc>
          <w:tcPr>
            <w:tcW w:w="708" w:type="dxa"/>
          </w:tcPr>
          <w:p w14:paraId="61B77AC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3,7</w:t>
            </w:r>
          </w:p>
          <w:p w14:paraId="56EED3E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46,2</w:t>
            </w:r>
          </w:p>
        </w:tc>
      </w:tr>
      <w:tr w:rsidR="008E7085" w:rsidRPr="005B5780" w14:paraId="09A2DB8C" w14:textId="77777777" w:rsidTr="005B5780">
        <w:tc>
          <w:tcPr>
            <w:tcW w:w="656" w:type="dxa"/>
          </w:tcPr>
          <w:p w14:paraId="076849A3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  <w:p w14:paraId="46DD94C2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870" w:type="dxa"/>
          </w:tcPr>
          <w:p w14:paraId="3DA0A63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848,9</w:t>
            </w:r>
          </w:p>
          <w:p w14:paraId="5714D68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135,7</w:t>
            </w:r>
          </w:p>
        </w:tc>
        <w:tc>
          <w:tcPr>
            <w:tcW w:w="709" w:type="dxa"/>
          </w:tcPr>
          <w:p w14:paraId="5577F23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5,5</w:t>
            </w:r>
          </w:p>
          <w:p w14:paraId="7594A9C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110</w:t>
            </w:r>
          </w:p>
        </w:tc>
        <w:tc>
          <w:tcPr>
            <w:tcW w:w="850" w:type="dxa"/>
          </w:tcPr>
          <w:p w14:paraId="63434503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2129,6</w:t>
            </w:r>
          </w:p>
          <w:p w14:paraId="26BB63A0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2839</w:t>
            </w:r>
          </w:p>
        </w:tc>
        <w:tc>
          <w:tcPr>
            <w:tcW w:w="709" w:type="dxa"/>
          </w:tcPr>
          <w:p w14:paraId="7DE9BB4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7,9</w:t>
            </w:r>
          </w:p>
          <w:p w14:paraId="0AC3726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52,6</w:t>
            </w:r>
          </w:p>
        </w:tc>
        <w:tc>
          <w:tcPr>
            <w:tcW w:w="850" w:type="dxa"/>
          </w:tcPr>
          <w:p w14:paraId="0709D0B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3038,4</w:t>
            </w:r>
          </w:p>
          <w:p w14:paraId="1E998FE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33,76</w:t>
            </w:r>
          </w:p>
        </w:tc>
        <w:tc>
          <w:tcPr>
            <w:tcW w:w="709" w:type="dxa"/>
          </w:tcPr>
          <w:p w14:paraId="0432F920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103,5</w:t>
            </w:r>
          </w:p>
          <w:p w14:paraId="328BF06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32,34</w:t>
            </w:r>
          </w:p>
        </w:tc>
        <w:tc>
          <w:tcPr>
            <w:tcW w:w="851" w:type="dxa"/>
          </w:tcPr>
          <w:p w14:paraId="3D938174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940,7</w:t>
            </w:r>
          </w:p>
          <w:p w14:paraId="5EDA22A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94</w:t>
            </w:r>
          </w:p>
        </w:tc>
        <w:tc>
          <w:tcPr>
            <w:tcW w:w="850" w:type="dxa"/>
          </w:tcPr>
          <w:p w14:paraId="716FF62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1319,6</w:t>
            </w:r>
          </w:p>
          <w:p w14:paraId="6F43D4D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227,5</w:t>
            </w:r>
          </w:p>
        </w:tc>
        <w:tc>
          <w:tcPr>
            <w:tcW w:w="709" w:type="dxa"/>
          </w:tcPr>
          <w:p w14:paraId="18493AA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311,4</w:t>
            </w:r>
          </w:p>
          <w:p w14:paraId="4C5C374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94,2</w:t>
            </w:r>
          </w:p>
        </w:tc>
        <w:tc>
          <w:tcPr>
            <w:tcW w:w="709" w:type="dxa"/>
          </w:tcPr>
          <w:p w14:paraId="08C2002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14,7</w:t>
            </w:r>
          </w:p>
          <w:p w14:paraId="158DA69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181,5</w:t>
            </w:r>
          </w:p>
        </w:tc>
        <w:tc>
          <w:tcPr>
            <w:tcW w:w="708" w:type="dxa"/>
          </w:tcPr>
          <w:p w14:paraId="763C224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8,1</w:t>
            </w:r>
          </w:p>
          <w:p w14:paraId="7BFBE59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101,2</w:t>
            </w:r>
          </w:p>
        </w:tc>
      </w:tr>
      <w:tr w:rsidR="008E7085" w:rsidRPr="005B5780" w14:paraId="7D588119" w14:textId="77777777" w:rsidTr="005B5780">
        <w:tc>
          <w:tcPr>
            <w:tcW w:w="656" w:type="dxa"/>
          </w:tcPr>
          <w:p w14:paraId="47CD44AE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N</w:t>
            </w:r>
          </w:p>
          <w:p w14:paraId="28D0913E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%</w:t>
            </w:r>
          </w:p>
        </w:tc>
        <w:tc>
          <w:tcPr>
            <w:tcW w:w="870" w:type="dxa"/>
          </w:tcPr>
          <w:p w14:paraId="6460BCA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842,9</w:t>
            </w:r>
          </w:p>
          <w:p w14:paraId="6E33522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134,8</w:t>
            </w:r>
          </w:p>
        </w:tc>
        <w:tc>
          <w:tcPr>
            <w:tcW w:w="709" w:type="dxa"/>
          </w:tcPr>
          <w:p w14:paraId="41E36E1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5,5</w:t>
            </w:r>
          </w:p>
          <w:p w14:paraId="4D02828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110</w:t>
            </w:r>
          </w:p>
        </w:tc>
        <w:tc>
          <w:tcPr>
            <w:tcW w:w="850" w:type="dxa"/>
          </w:tcPr>
          <w:p w14:paraId="745654A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2127,5</w:t>
            </w:r>
          </w:p>
          <w:p w14:paraId="2EFA5BD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2836</w:t>
            </w:r>
          </w:p>
        </w:tc>
        <w:tc>
          <w:tcPr>
            <w:tcW w:w="709" w:type="dxa"/>
          </w:tcPr>
          <w:p w14:paraId="55A12FF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7,6</w:t>
            </w:r>
          </w:p>
          <w:p w14:paraId="23BA5580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50,6</w:t>
            </w:r>
          </w:p>
        </w:tc>
        <w:tc>
          <w:tcPr>
            <w:tcW w:w="850" w:type="dxa"/>
          </w:tcPr>
          <w:p w14:paraId="3E6ED48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3128,8</w:t>
            </w:r>
          </w:p>
          <w:p w14:paraId="3CDB643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34,8</w:t>
            </w:r>
          </w:p>
        </w:tc>
        <w:tc>
          <w:tcPr>
            <w:tcW w:w="709" w:type="dxa"/>
          </w:tcPr>
          <w:p w14:paraId="47A0FF94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101,2</w:t>
            </w:r>
          </w:p>
          <w:p w14:paraId="0679A9E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31,6</w:t>
            </w:r>
          </w:p>
        </w:tc>
        <w:tc>
          <w:tcPr>
            <w:tcW w:w="851" w:type="dxa"/>
          </w:tcPr>
          <w:p w14:paraId="0478EF2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949,5</w:t>
            </w:r>
          </w:p>
          <w:p w14:paraId="2E7B368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94,9</w:t>
            </w:r>
          </w:p>
        </w:tc>
        <w:tc>
          <w:tcPr>
            <w:tcW w:w="850" w:type="dxa"/>
          </w:tcPr>
          <w:p w14:paraId="47E8D6C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1382,2</w:t>
            </w:r>
          </w:p>
          <w:p w14:paraId="4A8561E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238,3</w:t>
            </w:r>
          </w:p>
        </w:tc>
        <w:tc>
          <w:tcPr>
            <w:tcW w:w="709" w:type="dxa"/>
          </w:tcPr>
          <w:p w14:paraId="7A0A605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322,7</w:t>
            </w:r>
          </w:p>
          <w:p w14:paraId="7B1EDFF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97,7</w:t>
            </w:r>
          </w:p>
        </w:tc>
        <w:tc>
          <w:tcPr>
            <w:tcW w:w="709" w:type="dxa"/>
          </w:tcPr>
          <w:p w14:paraId="6A83ECC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15,1</w:t>
            </w:r>
          </w:p>
          <w:p w14:paraId="6220C3C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186,4</w:t>
            </w:r>
          </w:p>
        </w:tc>
        <w:tc>
          <w:tcPr>
            <w:tcW w:w="708" w:type="dxa"/>
          </w:tcPr>
          <w:p w14:paraId="1E0459F4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9,0</w:t>
            </w:r>
          </w:p>
          <w:p w14:paraId="27FBAE3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112,5</w:t>
            </w:r>
          </w:p>
        </w:tc>
      </w:tr>
      <w:tr w:rsidR="008E7085" w:rsidRPr="005B5780" w14:paraId="04CBCBD2" w14:textId="77777777" w:rsidTr="005B5780">
        <w:tc>
          <w:tcPr>
            <w:tcW w:w="656" w:type="dxa"/>
          </w:tcPr>
          <w:p w14:paraId="475D9098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DED</w:t>
            </w:r>
          </w:p>
          <w:p w14:paraId="6B810270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870" w:type="dxa"/>
          </w:tcPr>
          <w:p w14:paraId="4F47801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1060</w:t>
            </w:r>
          </w:p>
          <w:p w14:paraId="050ADB4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169,5</w:t>
            </w:r>
          </w:p>
        </w:tc>
        <w:tc>
          <w:tcPr>
            <w:tcW w:w="709" w:type="dxa"/>
          </w:tcPr>
          <w:p w14:paraId="0C8B57F0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6,5</w:t>
            </w:r>
          </w:p>
          <w:p w14:paraId="58B9528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130</w:t>
            </w:r>
          </w:p>
        </w:tc>
        <w:tc>
          <w:tcPr>
            <w:tcW w:w="850" w:type="dxa"/>
          </w:tcPr>
          <w:p w14:paraId="58A0C62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2204,1</w:t>
            </w:r>
          </w:p>
          <w:p w14:paraId="2ADFE68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2936</w:t>
            </w:r>
          </w:p>
        </w:tc>
        <w:tc>
          <w:tcPr>
            <w:tcW w:w="709" w:type="dxa"/>
          </w:tcPr>
          <w:p w14:paraId="6A9C4ACB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6,3</w:t>
            </w:r>
          </w:p>
          <w:p w14:paraId="08EE47F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42</w:t>
            </w:r>
          </w:p>
        </w:tc>
        <w:tc>
          <w:tcPr>
            <w:tcW w:w="850" w:type="dxa"/>
          </w:tcPr>
          <w:p w14:paraId="384B3F4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3367,5</w:t>
            </w:r>
          </w:p>
          <w:p w14:paraId="39C8106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37,41</w:t>
            </w:r>
          </w:p>
        </w:tc>
        <w:tc>
          <w:tcPr>
            <w:tcW w:w="709" w:type="dxa"/>
          </w:tcPr>
          <w:p w14:paraId="4B2A8920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136,3</w:t>
            </w:r>
          </w:p>
          <w:p w14:paraId="39DB699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42,6</w:t>
            </w:r>
          </w:p>
        </w:tc>
        <w:tc>
          <w:tcPr>
            <w:tcW w:w="851" w:type="dxa"/>
          </w:tcPr>
          <w:p w14:paraId="316DAA7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1193,1</w:t>
            </w:r>
          </w:p>
          <w:p w14:paraId="5731089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119,61</w:t>
            </w:r>
          </w:p>
        </w:tc>
        <w:tc>
          <w:tcPr>
            <w:tcW w:w="850" w:type="dxa"/>
          </w:tcPr>
          <w:p w14:paraId="0F24857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1390,4</w:t>
            </w:r>
          </w:p>
          <w:p w14:paraId="0722026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239,72</w:t>
            </w:r>
          </w:p>
        </w:tc>
        <w:tc>
          <w:tcPr>
            <w:tcW w:w="709" w:type="dxa"/>
          </w:tcPr>
          <w:p w14:paraId="3EC3C64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362,5</w:t>
            </w:r>
          </w:p>
          <w:p w14:paraId="779B1C0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109,8</w:t>
            </w:r>
          </w:p>
        </w:tc>
        <w:tc>
          <w:tcPr>
            <w:tcW w:w="709" w:type="dxa"/>
          </w:tcPr>
          <w:p w14:paraId="148E8718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18,3</w:t>
            </w:r>
          </w:p>
          <w:p w14:paraId="3AE15BB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225,9</w:t>
            </w:r>
          </w:p>
        </w:tc>
        <w:tc>
          <w:tcPr>
            <w:tcW w:w="708" w:type="dxa"/>
          </w:tcPr>
          <w:p w14:paraId="7287631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9,5</w:t>
            </w:r>
          </w:p>
          <w:p w14:paraId="4EF0BE92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118,7</w:t>
            </w:r>
          </w:p>
        </w:tc>
      </w:tr>
      <w:tr w:rsidR="008E7085" w:rsidRPr="005B5780" w14:paraId="33129F0B" w14:textId="77777777" w:rsidTr="005B5780">
        <w:tc>
          <w:tcPr>
            <w:tcW w:w="656" w:type="dxa"/>
          </w:tcPr>
          <w:p w14:paraId="1956F688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DER</w:t>
            </w:r>
          </w:p>
          <w:p w14:paraId="383C7E92" w14:textId="77777777" w:rsidR="008E7085" w:rsidRPr="005B5780" w:rsidRDefault="008E7085" w:rsidP="005B5780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870" w:type="dxa"/>
          </w:tcPr>
          <w:p w14:paraId="03D0859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1083,9</w:t>
            </w:r>
          </w:p>
          <w:p w14:paraId="71A22143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173,4</w:t>
            </w:r>
          </w:p>
        </w:tc>
        <w:tc>
          <w:tcPr>
            <w:tcW w:w="709" w:type="dxa"/>
          </w:tcPr>
          <w:p w14:paraId="73E2E9A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5,8</w:t>
            </w:r>
          </w:p>
          <w:p w14:paraId="632A44C4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116</w:t>
            </w:r>
          </w:p>
        </w:tc>
        <w:tc>
          <w:tcPr>
            <w:tcW w:w="850" w:type="dxa"/>
          </w:tcPr>
          <w:p w14:paraId="679D0DB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2188,7</w:t>
            </w:r>
          </w:p>
          <w:p w14:paraId="0F23D84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2918</w:t>
            </w:r>
          </w:p>
        </w:tc>
        <w:tc>
          <w:tcPr>
            <w:tcW w:w="709" w:type="dxa"/>
          </w:tcPr>
          <w:p w14:paraId="6D2D21D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9,3</w:t>
            </w:r>
          </w:p>
          <w:p w14:paraId="77780D38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62</w:t>
            </w:r>
          </w:p>
        </w:tc>
        <w:tc>
          <w:tcPr>
            <w:tcW w:w="850" w:type="dxa"/>
          </w:tcPr>
          <w:p w14:paraId="53A00E8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2850</w:t>
            </w:r>
          </w:p>
          <w:p w14:paraId="3E5B6F79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31,6</w:t>
            </w:r>
          </w:p>
        </w:tc>
        <w:tc>
          <w:tcPr>
            <w:tcW w:w="709" w:type="dxa"/>
          </w:tcPr>
          <w:p w14:paraId="54D04188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112,2</w:t>
            </w:r>
          </w:p>
          <w:p w14:paraId="546EF0AC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35,1</w:t>
            </w:r>
          </w:p>
        </w:tc>
        <w:tc>
          <w:tcPr>
            <w:tcW w:w="851" w:type="dxa"/>
          </w:tcPr>
          <w:p w14:paraId="3F13D06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1063,2</w:t>
            </w:r>
          </w:p>
          <w:p w14:paraId="762EB1B1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106,3</w:t>
            </w:r>
          </w:p>
        </w:tc>
        <w:tc>
          <w:tcPr>
            <w:tcW w:w="850" w:type="dxa"/>
          </w:tcPr>
          <w:p w14:paraId="7863CEEE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1330,1</w:t>
            </w:r>
          </w:p>
          <w:p w14:paraId="2806756D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229,3</w:t>
            </w:r>
          </w:p>
        </w:tc>
        <w:tc>
          <w:tcPr>
            <w:tcW w:w="709" w:type="dxa"/>
          </w:tcPr>
          <w:p w14:paraId="1AD39EE8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322</w:t>
            </w:r>
          </w:p>
          <w:p w14:paraId="4383E89F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97,57</w:t>
            </w:r>
          </w:p>
        </w:tc>
        <w:tc>
          <w:tcPr>
            <w:tcW w:w="709" w:type="dxa"/>
          </w:tcPr>
          <w:p w14:paraId="367FFA66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19,5</w:t>
            </w:r>
          </w:p>
          <w:p w14:paraId="66B5DE57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240</w:t>
            </w:r>
          </w:p>
        </w:tc>
        <w:tc>
          <w:tcPr>
            <w:tcW w:w="708" w:type="dxa"/>
          </w:tcPr>
          <w:p w14:paraId="6A1F8DCA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8,3</w:t>
            </w:r>
          </w:p>
          <w:p w14:paraId="578F6495" w14:textId="77777777" w:rsidR="008E7085" w:rsidRPr="005B5780" w:rsidRDefault="008E7085" w:rsidP="005B5780">
            <w:pPr>
              <w:spacing w:before="240" w:after="120" w:line="36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B5780">
              <w:rPr>
                <w:rFonts w:ascii="Times New Roman" w:hAnsi="Times New Roman" w:cs="Times New Roman"/>
                <w:sz w:val="16"/>
                <w:szCs w:val="20"/>
              </w:rPr>
              <w:t>103,7</w:t>
            </w:r>
          </w:p>
        </w:tc>
      </w:tr>
    </w:tbl>
    <w:p w14:paraId="471F6009" w14:textId="77777777" w:rsidR="00A524A6" w:rsidRDefault="00A524A6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17493" w14:textId="77777777" w:rsidR="00F33889" w:rsidRPr="00E22D6E" w:rsidRDefault="00F33889" w:rsidP="00F3388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2D6E">
        <w:rPr>
          <w:rFonts w:ascii="Times New Roman" w:hAnsi="Times New Roman" w:cs="Times New Roman"/>
          <w:sz w:val="16"/>
          <w:szCs w:val="16"/>
        </w:rPr>
        <w:t xml:space="preserve">EAR: </w:t>
      </w:r>
      <w:proofErr w:type="spellStart"/>
      <w:r w:rsidRPr="00E22D6E">
        <w:rPr>
          <w:rFonts w:ascii="Times New Roman" w:hAnsi="Times New Roman" w:cs="Times New Roman"/>
          <w:i/>
          <w:sz w:val="16"/>
          <w:szCs w:val="16"/>
        </w:rPr>
        <w:t>Estimated</w:t>
      </w:r>
      <w:proofErr w:type="spellEnd"/>
      <w:r w:rsidRPr="00E22D6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E22D6E">
        <w:rPr>
          <w:rFonts w:ascii="Times New Roman" w:hAnsi="Times New Roman" w:cs="Times New Roman"/>
          <w:i/>
          <w:sz w:val="16"/>
          <w:szCs w:val="16"/>
        </w:rPr>
        <w:t>Average</w:t>
      </w:r>
      <w:proofErr w:type="spellEnd"/>
      <w:r w:rsidRPr="00E22D6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E22D6E">
        <w:rPr>
          <w:rFonts w:ascii="Times New Roman" w:hAnsi="Times New Roman" w:cs="Times New Roman"/>
          <w:i/>
          <w:sz w:val="16"/>
          <w:szCs w:val="16"/>
        </w:rPr>
        <w:t>Requirement</w:t>
      </w:r>
      <w:proofErr w:type="spellEnd"/>
      <w:r w:rsidRPr="00E22D6E">
        <w:rPr>
          <w:rFonts w:ascii="Times New Roman" w:hAnsi="Times New Roman" w:cs="Times New Roman"/>
          <w:sz w:val="16"/>
          <w:szCs w:val="16"/>
        </w:rPr>
        <w:t>; SM: Dieta semilíquida, B: Dieta branda, N: Dieta normal</w:t>
      </w:r>
      <w:r>
        <w:rPr>
          <w:rFonts w:ascii="Times New Roman" w:hAnsi="Times New Roman" w:cs="Times New Roman"/>
          <w:sz w:val="16"/>
          <w:szCs w:val="16"/>
        </w:rPr>
        <w:t>, DED: Dieta especial para diabéticos</w:t>
      </w:r>
      <w:r w:rsidRPr="00E22D6E">
        <w:rPr>
          <w:rFonts w:ascii="Times New Roman" w:hAnsi="Times New Roman" w:cs="Times New Roman"/>
          <w:sz w:val="16"/>
          <w:szCs w:val="16"/>
        </w:rPr>
        <w:t>, DER: Dieta especial para doença renal.</w:t>
      </w:r>
    </w:p>
    <w:p w14:paraId="473DB316" w14:textId="77777777" w:rsidR="00F33889" w:rsidRDefault="00F33889" w:rsidP="00F3388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sz w:val="22"/>
          <w:szCs w:val="22"/>
        </w:rPr>
        <w:sectPr w:rsidR="00F33889" w:rsidSect="00D43860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0681DCB6" w14:textId="38FFC537" w:rsidR="00F33889" w:rsidRPr="00E22D6E" w:rsidRDefault="00F33889" w:rsidP="00F3388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sz w:val="22"/>
          <w:szCs w:val="22"/>
        </w:rPr>
      </w:pPr>
      <w:r w:rsidRPr="00E22D6E">
        <w:rPr>
          <w:sz w:val="22"/>
          <w:szCs w:val="22"/>
        </w:rPr>
        <w:t xml:space="preserve">Em relação à análise da média da necessidade das dietas padrão ofertadas, verificou-se inadequação nas dietas do tipo: semilíquida (SM) (45%), branda (B) (15,4), especial para diabético (DED) (42,2%) e especial para doença renal (DER) (10,8%), considerando que a dieta oferecida pelo hospital, não atingia a necessidade individual dos pacientes. Ao analisar a necessidade energética, pode-se observar que 56,25% (n=9) da população estudada não conseguiu atingi-la através da dieta padrão. </w:t>
      </w:r>
      <w:r w:rsidRPr="00E22D6E">
        <w:rPr>
          <w:rFonts w:eastAsiaTheme="minorHAnsi"/>
          <w:bCs/>
          <w:sz w:val="22"/>
          <w:szCs w:val="22"/>
          <w:lang w:eastAsia="en-US"/>
        </w:rPr>
        <w:t>Além disso, detectou-se que 90,9% dos registros alimentares analisados, apontam uma ingestão parcial da dieta padrão ofertada ao paciente, sendo que o percentual de resto alimentar médio por tipo de dietas foi: 59,2% da Normal; 41% da especial para doença renal; 37,7 da branda; 33% da semilíquida e 25,2% da dieta especial para diabético.</w:t>
      </w:r>
      <w:r w:rsidRPr="00E22D6E">
        <w:rPr>
          <w:sz w:val="22"/>
          <w:szCs w:val="22"/>
        </w:rPr>
        <w:t xml:space="preserve"> </w:t>
      </w:r>
    </w:p>
    <w:p w14:paraId="3EFCD329" w14:textId="77777777" w:rsidR="00F33889" w:rsidRDefault="00F33889" w:rsidP="00F33889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B5780">
        <w:rPr>
          <w:rFonts w:ascii="Times New Roman" w:eastAsia="Times New Roman" w:hAnsi="Times New Roman" w:cs="Times New Roman"/>
          <w:b/>
          <w:lang w:eastAsia="pt-BR"/>
        </w:rPr>
        <w:t>Tabela 5.</w:t>
      </w:r>
      <w:r w:rsidRPr="00E22D6E">
        <w:rPr>
          <w:rFonts w:ascii="Times New Roman" w:eastAsia="Times New Roman" w:hAnsi="Times New Roman" w:cs="Times New Roman"/>
          <w:lang w:eastAsia="pt-BR"/>
        </w:rPr>
        <w:t xml:space="preserve"> Análise do valor energético das dietas padrão, necessidade energética dos pacientes e resto ingestão de um hospital público do sudoeste da Bahia.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0"/>
        <w:gridCol w:w="1382"/>
        <w:gridCol w:w="1009"/>
      </w:tblGrid>
      <w:tr w:rsidR="00F33889" w:rsidRPr="005B5780" w14:paraId="56EC3AA1" w14:textId="77777777" w:rsidTr="005B5780">
        <w:tc>
          <w:tcPr>
            <w:tcW w:w="1878" w:type="dxa"/>
          </w:tcPr>
          <w:p w14:paraId="043DA9B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Valor energético médio das dietas padrão</w:t>
            </w:r>
          </w:p>
          <w:p w14:paraId="4CA4481D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SM</w:t>
            </w:r>
          </w:p>
          <w:p w14:paraId="556F65B0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B</w:t>
            </w:r>
          </w:p>
          <w:p w14:paraId="2D9CF305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</w:t>
            </w:r>
          </w:p>
          <w:p w14:paraId="7923D7BC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DED</w:t>
            </w:r>
          </w:p>
          <w:p w14:paraId="6F184E17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DER</w:t>
            </w:r>
          </w:p>
        </w:tc>
        <w:tc>
          <w:tcPr>
            <w:tcW w:w="1456" w:type="dxa"/>
          </w:tcPr>
          <w:p w14:paraId="1278BFD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Valor calórico</w:t>
            </w:r>
          </w:p>
          <w:p w14:paraId="3D6576B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(Kcal)</w:t>
            </w:r>
          </w:p>
          <w:p w14:paraId="78877CB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1.208</w:t>
            </w:r>
          </w:p>
          <w:p w14:paraId="00C7F0C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2.254</w:t>
            </w:r>
          </w:p>
          <w:p w14:paraId="116C4DEC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2.298</w:t>
            </w:r>
          </w:p>
          <w:p w14:paraId="02F60B7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1.595</w:t>
            </w:r>
          </w:p>
          <w:p w14:paraId="3423749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1.911</w:t>
            </w:r>
          </w:p>
        </w:tc>
        <w:tc>
          <w:tcPr>
            <w:tcW w:w="1133" w:type="dxa"/>
          </w:tcPr>
          <w:p w14:paraId="4F3CB39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(N)</w:t>
            </w:r>
          </w:p>
          <w:p w14:paraId="66C18752" w14:textId="77777777" w:rsidR="00F33889" w:rsidRPr="005B5780" w:rsidRDefault="00F33889" w:rsidP="005B578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29713B8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780511E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758D2B7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43C9CFB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3031BA8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7ECE99B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</w:tc>
      </w:tr>
      <w:tr w:rsidR="00F33889" w:rsidRPr="005B5780" w14:paraId="2BC19F8C" w14:textId="77777777" w:rsidTr="005B5780">
        <w:tc>
          <w:tcPr>
            <w:tcW w:w="1878" w:type="dxa"/>
          </w:tcPr>
          <w:p w14:paraId="3F92060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Média da necessidade energética dos pacientes</w:t>
            </w:r>
          </w:p>
          <w:p w14:paraId="5FFE4F0D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SM</w:t>
            </w:r>
          </w:p>
          <w:p w14:paraId="3A2B8003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B</w:t>
            </w:r>
          </w:p>
          <w:p w14:paraId="31DAC836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</w:t>
            </w:r>
          </w:p>
          <w:p w14:paraId="313F8048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DED</w:t>
            </w:r>
          </w:p>
          <w:p w14:paraId="6C291AA0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DER</w:t>
            </w:r>
          </w:p>
        </w:tc>
        <w:tc>
          <w:tcPr>
            <w:tcW w:w="1456" w:type="dxa"/>
          </w:tcPr>
          <w:p w14:paraId="7FEF6F7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(Kcal)</w:t>
            </w:r>
          </w:p>
          <w:p w14:paraId="1F945ED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A06DE2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4866B8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03D79AD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1.755</w:t>
            </w:r>
          </w:p>
          <w:p w14:paraId="015D106B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2.602</w:t>
            </w:r>
          </w:p>
          <w:p w14:paraId="6A4B7D36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2.020</w:t>
            </w:r>
          </w:p>
          <w:p w14:paraId="6D0F5E2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2.348</w:t>
            </w:r>
          </w:p>
          <w:p w14:paraId="019AF14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2.118</w:t>
            </w:r>
          </w:p>
        </w:tc>
        <w:tc>
          <w:tcPr>
            <w:tcW w:w="1133" w:type="dxa"/>
          </w:tcPr>
          <w:p w14:paraId="3028049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(N)</w:t>
            </w:r>
          </w:p>
          <w:p w14:paraId="0A450B1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5C76ED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EF3615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79EA302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</w:t>
            </w:r>
          </w:p>
          <w:p w14:paraId="2845BBF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  <w:p w14:paraId="1649D88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7</w:t>
            </w:r>
          </w:p>
          <w:p w14:paraId="2A04003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  <w:p w14:paraId="768A1E8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</w:t>
            </w:r>
          </w:p>
        </w:tc>
      </w:tr>
      <w:tr w:rsidR="00F33889" w:rsidRPr="005B5780" w14:paraId="2753C3A9" w14:textId="77777777" w:rsidTr="005B5780">
        <w:tc>
          <w:tcPr>
            <w:tcW w:w="1878" w:type="dxa"/>
          </w:tcPr>
          <w:p w14:paraId="3E127F6C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Inadequação do valor energético da dieta padrão ofertada</w:t>
            </w:r>
          </w:p>
          <w:p w14:paraId="66AF2999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SM</w:t>
            </w:r>
          </w:p>
          <w:p w14:paraId="68DBCAD7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B</w:t>
            </w:r>
          </w:p>
          <w:p w14:paraId="53018866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</w:t>
            </w:r>
          </w:p>
          <w:p w14:paraId="7CDA9947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DED</w:t>
            </w:r>
          </w:p>
          <w:p w14:paraId="69372C08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DER</w:t>
            </w:r>
          </w:p>
        </w:tc>
        <w:tc>
          <w:tcPr>
            <w:tcW w:w="1456" w:type="dxa"/>
          </w:tcPr>
          <w:p w14:paraId="04A116B0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Porcentagem</w:t>
            </w:r>
          </w:p>
          <w:p w14:paraId="32F0010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(%)</w:t>
            </w:r>
          </w:p>
          <w:p w14:paraId="3C635D81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4B06E50B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628DC64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45,0</w:t>
            </w:r>
          </w:p>
          <w:p w14:paraId="73FBEE6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15,4</w:t>
            </w:r>
          </w:p>
          <w:p w14:paraId="22F6AFA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0</w:t>
            </w:r>
          </w:p>
          <w:p w14:paraId="6CBC79D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42,2</w:t>
            </w:r>
          </w:p>
          <w:p w14:paraId="159B42D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10,8</w:t>
            </w:r>
          </w:p>
        </w:tc>
        <w:tc>
          <w:tcPr>
            <w:tcW w:w="1133" w:type="dxa"/>
          </w:tcPr>
          <w:p w14:paraId="005EFC4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(N)</w:t>
            </w:r>
          </w:p>
          <w:p w14:paraId="5700298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3C45C057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AF0967B" w14:textId="77777777" w:rsidR="00F33889" w:rsidRPr="005B5780" w:rsidRDefault="00F33889" w:rsidP="005B5780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AC9D47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</w:t>
            </w:r>
          </w:p>
          <w:p w14:paraId="0BE87C4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70F549B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8</w:t>
            </w:r>
          </w:p>
          <w:p w14:paraId="0D1B11E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628BC6B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</w:tc>
      </w:tr>
      <w:tr w:rsidR="00F33889" w:rsidRPr="005B5780" w14:paraId="7827D1FB" w14:textId="77777777" w:rsidTr="005B5780">
        <w:tc>
          <w:tcPr>
            <w:tcW w:w="1878" w:type="dxa"/>
          </w:tcPr>
          <w:p w14:paraId="5385E80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lastRenderedPageBreak/>
              <w:t>Percentual do resto alimentar</w:t>
            </w:r>
          </w:p>
          <w:p w14:paraId="53247418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SM</w:t>
            </w:r>
          </w:p>
          <w:p w14:paraId="3886A518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B</w:t>
            </w:r>
          </w:p>
          <w:p w14:paraId="20786489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N</w:t>
            </w:r>
          </w:p>
          <w:p w14:paraId="45B594F1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DED</w:t>
            </w:r>
          </w:p>
          <w:p w14:paraId="621FABBA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DER</w:t>
            </w:r>
          </w:p>
        </w:tc>
        <w:tc>
          <w:tcPr>
            <w:tcW w:w="1456" w:type="dxa"/>
          </w:tcPr>
          <w:p w14:paraId="740BF807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Porcentagem</w:t>
            </w:r>
          </w:p>
          <w:p w14:paraId="0A370F3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(%)</w:t>
            </w:r>
          </w:p>
          <w:p w14:paraId="7D508A2C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33,0</w:t>
            </w:r>
          </w:p>
          <w:p w14:paraId="15D1B33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37,7</w:t>
            </w:r>
          </w:p>
          <w:p w14:paraId="28D5412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59,2</w:t>
            </w:r>
          </w:p>
          <w:p w14:paraId="1830B4BB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25,2</w:t>
            </w:r>
          </w:p>
          <w:p w14:paraId="1F923BA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41,0</w:t>
            </w:r>
          </w:p>
        </w:tc>
        <w:tc>
          <w:tcPr>
            <w:tcW w:w="1133" w:type="dxa"/>
          </w:tcPr>
          <w:p w14:paraId="4808629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(N)</w:t>
            </w:r>
          </w:p>
          <w:p w14:paraId="04BA4526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78FB689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</w:t>
            </w:r>
          </w:p>
          <w:p w14:paraId="5FE7717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  <w:p w14:paraId="4CF9E17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</w:t>
            </w:r>
          </w:p>
          <w:p w14:paraId="294C55C6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  <w:p w14:paraId="70834CD7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</w:t>
            </w:r>
          </w:p>
        </w:tc>
      </w:tr>
      <w:tr w:rsidR="00F33889" w:rsidRPr="005B5780" w14:paraId="67A000B4" w14:textId="77777777" w:rsidTr="005B5780">
        <w:tc>
          <w:tcPr>
            <w:tcW w:w="1878" w:type="dxa"/>
          </w:tcPr>
          <w:p w14:paraId="2AAF906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Necessidade energético individual não atendido na dieta padrão</w:t>
            </w:r>
          </w:p>
          <w:p w14:paraId="2C42BF5E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Desnutrição</w:t>
            </w:r>
          </w:p>
          <w:p w14:paraId="17B442BB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Eutrofia/sobrepeso</w:t>
            </w:r>
          </w:p>
        </w:tc>
        <w:tc>
          <w:tcPr>
            <w:tcW w:w="1456" w:type="dxa"/>
          </w:tcPr>
          <w:p w14:paraId="7970C1A4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Porcentagem</w:t>
            </w:r>
          </w:p>
          <w:p w14:paraId="75C1BC3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(56,25%)</w:t>
            </w:r>
          </w:p>
          <w:p w14:paraId="245F868B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7FB94B3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0288BE6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52FD3B5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43,75</w:t>
            </w:r>
          </w:p>
          <w:p w14:paraId="57D9CB0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12,5</w:t>
            </w:r>
          </w:p>
        </w:tc>
        <w:tc>
          <w:tcPr>
            <w:tcW w:w="1133" w:type="dxa"/>
          </w:tcPr>
          <w:p w14:paraId="594F91C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(N=9)</w:t>
            </w:r>
          </w:p>
          <w:p w14:paraId="5C987A4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6096C5DC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331763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6B9202E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5B859A8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7</w:t>
            </w:r>
          </w:p>
          <w:p w14:paraId="2F86F634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</w:t>
            </w:r>
          </w:p>
        </w:tc>
      </w:tr>
      <w:tr w:rsidR="00F33889" w:rsidRPr="005B5780" w14:paraId="294F3EED" w14:textId="77777777" w:rsidTr="005B5780">
        <w:tc>
          <w:tcPr>
            <w:tcW w:w="1878" w:type="dxa"/>
          </w:tcPr>
          <w:p w14:paraId="0047F51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Inadequação de resto ingestão em relação ao estado nutricional</w:t>
            </w:r>
          </w:p>
          <w:p w14:paraId="639295A6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Desnutrição</w:t>
            </w:r>
          </w:p>
          <w:p w14:paraId="0983EBC8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Eutrofia/sobrepeso</w:t>
            </w:r>
          </w:p>
        </w:tc>
        <w:tc>
          <w:tcPr>
            <w:tcW w:w="1456" w:type="dxa"/>
          </w:tcPr>
          <w:p w14:paraId="24F91DCB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Porcentagem</w:t>
            </w:r>
          </w:p>
          <w:p w14:paraId="03F8A8D3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(%)</w:t>
            </w:r>
          </w:p>
          <w:p w14:paraId="75716357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9FD05C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AD28E6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81</w:t>
            </w:r>
          </w:p>
          <w:p w14:paraId="1AAE2F0F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9,9</w:t>
            </w:r>
          </w:p>
        </w:tc>
        <w:tc>
          <w:tcPr>
            <w:tcW w:w="1133" w:type="dxa"/>
          </w:tcPr>
          <w:p w14:paraId="27500EEB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(N=21)</w:t>
            </w:r>
          </w:p>
          <w:p w14:paraId="4559174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05DDCFD7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297B199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72907476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18</w:t>
            </w:r>
          </w:p>
          <w:p w14:paraId="2AD0DA30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3</w:t>
            </w:r>
          </w:p>
        </w:tc>
      </w:tr>
      <w:tr w:rsidR="00F33889" w:rsidRPr="005B5780" w14:paraId="25EF7D6D" w14:textId="77777777" w:rsidTr="005B5780">
        <w:tc>
          <w:tcPr>
            <w:tcW w:w="1878" w:type="dxa"/>
          </w:tcPr>
          <w:p w14:paraId="602DDB9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Registro alimentar</w:t>
            </w:r>
          </w:p>
          <w:p w14:paraId="5A4F2E37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Ingestão total da dieta</w:t>
            </w:r>
          </w:p>
          <w:p w14:paraId="2AACCA73" w14:textId="77777777" w:rsidR="00F33889" w:rsidRPr="005B5780" w:rsidRDefault="00F33889" w:rsidP="005B57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Ingestão parcial da dieta</w:t>
            </w:r>
          </w:p>
        </w:tc>
        <w:tc>
          <w:tcPr>
            <w:tcW w:w="1456" w:type="dxa"/>
          </w:tcPr>
          <w:p w14:paraId="41DF68C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(%)</w:t>
            </w:r>
          </w:p>
          <w:p w14:paraId="32C393AE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14053795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9,1</w:t>
            </w:r>
          </w:p>
          <w:p w14:paraId="2731F98A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433EF5A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90,9</w:t>
            </w:r>
          </w:p>
        </w:tc>
        <w:tc>
          <w:tcPr>
            <w:tcW w:w="1133" w:type="dxa"/>
          </w:tcPr>
          <w:p w14:paraId="6161FACD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  <w:t>(N=21)</w:t>
            </w:r>
          </w:p>
          <w:p w14:paraId="06DF7819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pt-BR"/>
              </w:rPr>
            </w:pPr>
          </w:p>
          <w:p w14:paraId="460F0098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2</w:t>
            </w:r>
          </w:p>
          <w:p w14:paraId="489692D2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</w:p>
          <w:p w14:paraId="538B66B1" w14:textId="77777777" w:rsidR="00F33889" w:rsidRPr="005B5780" w:rsidRDefault="00F33889" w:rsidP="005B578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pt-BR"/>
              </w:rPr>
            </w:pPr>
            <w:r w:rsidRPr="005B5780">
              <w:rPr>
                <w:rFonts w:ascii="Times New Roman" w:eastAsia="Times New Roman" w:hAnsi="Times New Roman" w:cs="Times New Roman"/>
                <w:sz w:val="18"/>
                <w:lang w:eastAsia="pt-BR"/>
              </w:rPr>
              <w:t>19</w:t>
            </w:r>
          </w:p>
        </w:tc>
      </w:tr>
    </w:tbl>
    <w:p w14:paraId="241AFCD6" w14:textId="77777777" w:rsidR="00F33889" w:rsidRPr="00E22D6E" w:rsidRDefault="00F33889" w:rsidP="00F3388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22D6E">
        <w:rPr>
          <w:rFonts w:ascii="Times New Roman" w:hAnsi="Times New Roman" w:cs="Times New Roman"/>
          <w:sz w:val="16"/>
          <w:szCs w:val="16"/>
        </w:rPr>
        <w:t>*O valor energético das dietas padrão oferecidas apresenta n=4, pois foram realizadas 4 pesagens diretas e o valor calórico referente a cada uma, é representado pela média destas.</w:t>
      </w:r>
      <w:r>
        <w:rPr>
          <w:rFonts w:ascii="Times New Roman" w:hAnsi="Times New Roman" w:cs="Times New Roman"/>
          <w:sz w:val="16"/>
          <w:szCs w:val="16"/>
        </w:rPr>
        <w:t xml:space="preserve"> **</w:t>
      </w:r>
      <w:r w:rsidRPr="00E22D6E">
        <w:rPr>
          <w:rFonts w:ascii="Times New Roman" w:hAnsi="Times New Roman" w:cs="Times New Roman"/>
          <w:sz w:val="16"/>
          <w:szCs w:val="16"/>
        </w:rPr>
        <w:t>SM: Dieta semilíquida, B: Dieta branda, N: Dieta normal</w:t>
      </w:r>
      <w:r>
        <w:rPr>
          <w:rFonts w:ascii="Times New Roman" w:hAnsi="Times New Roman" w:cs="Times New Roman"/>
          <w:sz w:val="16"/>
          <w:szCs w:val="16"/>
        </w:rPr>
        <w:t>, DED: Dieta especial para diabéticos</w:t>
      </w:r>
      <w:r w:rsidRPr="00E22D6E">
        <w:rPr>
          <w:rFonts w:ascii="Times New Roman" w:hAnsi="Times New Roman" w:cs="Times New Roman"/>
          <w:sz w:val="16"/>
          <w:szCs w:val="16"/>
        </w:rPr>
        <w:t>, DER: Dieta especial para doença renal.</w:t>
      </w:r>
    </w:p>
    <w:p w14:paraId="307122F9" w14:textId="77777777" w:rsidR="00F33889" w:rsidRDefault="00F33889" w:rsidP="00F33889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</w:rPr>
        <w:sectPr w:rsidR="00F33889" w:rsidSect="00F3388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073ADD2F" w14:textId="77777777" w:rsidR="005B5780" w:rsidRDefault="005B5780" w:rsidP="008E7085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</w:p>
    <w:p w14:paraId="63D81786" w14:textId="056177BA" w:rsidR="008E7085" w:rsidRDefault="00F33889" w:rsidP="008E7085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AF3A57" wp14:editId="615DFA17">
                <wp:simplePos x="0" y="0"/>
                <wp:positionH relativeFrom="column">
                  <wp:align>left</wp:align>
                </wp:positionH>
                <wp:positionV relativeFrom="paragraph">
                  <wp:posOffset>247015</wp:posOffset>
                </wp:positionV>
                <wp:extent cx="1447800" cy="9525"/>
                <wp:effectExtent l="19050" t="1905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1A183" id="Conector reto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9.45pt" to="1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" strokecolor="#39f" strokeweight="3pt">
                <v:stroke joinstyle="miter"/>
              </v:line>
            </w:pict>
          </mc:Fallback>
        </mc:AlternateContent>
      </w:r>
      <w:r w:rsidRPr="00A40766">
        <w:rPr>
          <w:rFonts w:ascii="Times New Roman" w:hAnsi="Times New Roman" w:cs="Times New Roman"/>
          <w:b/>
          <w:color w:val="0070C0"/>
          <w:sz w:val="24"/>
        </w:rPr>
        <w:t>Discussão</w:t>
      </w:r>
    </w:p>
    <w:p w14:paraId="6CCC353B" w14:textId="57526D53" w:rsidR="00F33889" w:rsidRPr="00B413EA" w:rsidRDefault="00F33889" w:rsidP="005B5780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B413EA">
        <w:rPr>
          <w:rFonts w:ascii="Times New Roman" w:eastAsia="Times New Roman" w:hAnsi="Times New Roman" w:cs="Times New Roman"/>
          <w:lang w:eastAsia="pt-BR"/>
        </w:rPr>
        <w:t>A amostra predominantemente composta por homens, bem como</w:t>
      </w:r>
      <w:r w:rsidRPr="00B413EA">
        <w:rPr>
          <w:rFonts w:ascii="Times New Roman" w:hAnsi="Times New Roman" w:cs="Times New Roman"/>
        </w:rPr>
        <w:t xml:space="preserve"> a média de idade superior aos 44 anos, corrobora com resultados do estudo de Ferreira</w:t>
      </w:r>
      <w:r w:rsidRPr="00B413EA">
        <w:rPr>
          <w:rFonts w:ascii="Times New Roman" w:hAnsi="Times New Roman" w:cs="Times New Roman"/>
          <w:vertAlign w:val="superscript"/>
        </w:rPr>
        <w:t>19</w:t>
      </w:r>
      <w:r w:rsidRPr="00B413EA">
        <w:rPr>
          <w:rFonts w:ascii="Times New Roman" w:hAnsi="Times New Roman" w:cs="Times New Roman"/>
        </w:rPr>
        <w:t>, que possuía uma amostra composta por 50 homens e 34 mulheres, com idade média de 63 anos, sendo estes avaliados em um Centro médico de Portugal, como participantes de um rastreio de desnutrição hospitalar. O presente estudo também evidenciou que o tempo de internamento pode ser um fator de risco, considerando que a maior parte dos indivíduos permaneceram internados por período igual ou superior a cinco dias, dado este diferente do encontrado no estudo de Sokoronczek</w:t>
      </w:r>
      <w:r w:rsidRPr="00B413EA">
        <w:rPr>
          <w:rFonts w:ascii="Times New Roman" w:hAnsi="Times New Roman" w:cs="Times New Roman"/>
          <w:vertAlign w:val="superscript"/>
        </w:rPr>
        <w:t>2</w:t>
      </w:r>
      <w:r w:rsidRPr="00B413EA">
        <w:rPr>
          <w:rFonts w:ascii="Times New Roman" w:hAnsi="Times New Roman" w:cs="Times New Roman"/>
        </w:rPr>
        <w:t xml:space="preserve">, que avaliou a evolução nutricional em pacientes </w:t>
      </w:r>
      <w:r w:rsidRPr="00B413EA">
        <w:rPr>
          <w:rFonts w:ascii="Times New Roman" w:hAnsi="Times New Roman" w:cs="Times New Roman"/>
        </w:rPr>
        <w:t>desnutridos realizado em Ponta Grossa, no Paraná e obteve tempo médio de internação de três dias. Quanto à patologia que levou ao internamento, é possível avaliar que aquelas que necessitam de procedimento cirúrgico foram mais numerosas neste estudo (n=13), fato não concordante com o achado de Nascimento</w:t>
      </w:r>
      <w:r w:rsidRPr="00B413EA">
        <w:rPr>
          <w:rFonts w:ascii="Times New Roman" w:hAnsi="Times New Roman" w:cs="Times New Roman"/>
          <w:vertAlign w:val="superscript"/>
        </w:rPr>
        <w:t>20</w:t>
      </w:r>
      <w:r w:rsidRPr="00B413EA">
        <w:rPr>
          <w:rFonts w:ascii="Times New Roman" w:hAnsi="Times New Roman" w:cs="Times New Roman"/>
        </w:rPr>
        <w:t xml:space="preserve">, que ao comparar métodos de detecção de desnutrição hospitalar, evidenciou que a clínica médica era detentora da maior parte dos indivíduos internados (62,6%). </w:t>
      </w:r>
    </w:p>
    <w:p w14:paraId="71231722" w14:textId="77777777" w:rsidR="00F33889" w:rsidRPr="00FF2E70" w:rsidRDefault="00F33889" w:rsidP="005B578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É sabido que nos pacientes cirúrgicos, a desnutrição deve ser considerada com atenção pela equipe, devido a sua influência no período pré e pós-operatório. Desse modo, a avaliação do estado nutricional realizada de maneira criteriosa, permite a identificação precoce deste </w:t>
      </w:r>
      <w:r w:rsidRPr="00FF2E70">
        <w:rPr>
          <w:sz w:val="22"/>
          <w:szCs w:val="22"/>
        </w:rPr>
        <w:lastRenderedPageBreak/>
        <w:t>agravante e a consequente intervenção clínica-nutricional adequada</w:t>
      </w:r>
      <w:r>
        <w:rPr>
          <w:sz w:val="22"/>
          <w:szCs w:val="22"/>
          <w:vertAlign w:val="superscript"/>
        </w:rPr>
        <w:t>5</w:t>
      </w:r>
      <w:r w:rsidRPr="00FF2E70">
        <w:rPr>
          <w:sz w:val="22"/>
          <w:szCs w:val="22"/>
        </w:rPr>
        <w:t xml:space="preserve">. </w:t>
      </w:r>
    </w:p>
    <w:p w14:paraId="6A3B798C" w14:textId="77777777" w:rsidR="00F33889" w:rsidRDefault="00F33889" w:rsidP="005B578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A avaliação antropométrica evidenciou que através </w:t>
      </w:r>
      <w:r w:rsidRPr="00326791">
        <w:rPr>
          <w:sz w:val="22"/>
          <w:szCs w:val="22"/>
        </w:rPr>
        <w:t xml:space="preserve">do IMC, a maioria dos pacientes encontravam-se em estado nutricional de eutrofia/sobrepeso, no entanto, os resultados da PCT e CP foram contrários, apontando a presença de desnutrição e redução de massa magra na amostra estudada. </w:t>
      </w:r>
      <w:r w:rsidRPr="00CE1E6C">
        <w:rPr>
          <w:sz w:val="22"/>
          <w:szCs w:val="22"/>
        </w:rPr>
        <w:t>Este resultado é semelhante ao encontrado no estudo de Paiva</w:t>
      </w:r>
      <w:r w:rsidRPr="00CE1E6C">
        <w:rPr>
          <w:sz w:val="22"/>
          <w:szCs w:val="22"/>
          <w:vertAlign w:val="superscript"/>
        </w:rPr>
        <w:t>5</w:t>
      </w:r>
      <w:r w:rsidRPr="00CE1E6C">
        <w:rPr>
          <w:sz w:val="22"/>
          <w:szCs w:val="22"/>
        </w:rPr>
        <w:t xml:space="preserve">. </w:t>
      </w:r>
      <w:proofErr w:type="gramStart"/>
      <w:r w:rsidRPr="00CE1E6C">
        <w:rPr>
          <w:sz w:val="22"/>
          <w:szCs w:val="22"/>
        </w:rPr>
        <w:t>que</w:t>
      </w:r>
      <w:proofErr w:type="gramEnd"/>
      <w:r w:rsidRPr="00CE1E6C">
        <w:rPr>
          <w:sz w:val="22"/>
          <w:szCs w:val="22"/>
        </w:rPr>
        <w:t xml:space="preserve"> avaliou a desnutrição em pacientes pré-cirúrgicos e que através do IMC classificou 4,3% dos pacientes com desnutrição, mas através PCT observou a presença de desnutrição em 24,2% dos pacientes, sendo 7,1% com desnutrição grave. </w:t>
      </w:r>
      <w:r w:rsidRPr="00FF2E70">
        <w:rPr>
          <w:sz w:val="22"/>
          <w:szCs w:val="22"/>
        </w:rPr>
        <w:t xml:space="preserve">Em relação à CP, o </w:t>
      </w:r>
      <w:r w:rsidRPr="00A367D8">
        <w:rPr>
          <w:color w:val="000000" w:themeColor="text1"/>
          <w:sz w:val="22"/>
          <w:szCs w:val="22"/>
        </w:rPr>
        <w:t>estudo de Henrichsen</w:t>
      </w:r>
      <w:r w:rsidRPr="00A367D8">
        <w:rPr>
          <w:color w:val="000000" w:themeColor="text1"/>
          <w:sz w:val="22"/>
          <w:szCs w:val="22"/>
          <w:vertAlign w:val="superscript"/>
        </w:rPr>
        <w:t>21</w:t>
      </w:r>
      <w:r w:rsidRPr="00A367D8">
        <w:rPr>
          <w:rStyle w:val="Refdecomentrio"/>
          <w:rFonts w:eastAsiaTheme="minorHAnsi" w:cstheme="minorBidi"/>
          <w:color w:val="000000" w:themeColor="text1"/>
          <w:lang w:eastAsia="en-US"/>
        </w:rPr>
        <w:t xml:space="preserve"> </w:t>
      </w:r>
      <w:r>
        <w:rPr>
          <w:sz w:val="22"/>
          <w:szCs w:val="22"/>
        </w:rPr>
        <w:t>ta</w:t>
      </w:r>
      <w:r w:rsidRPr="00FF2E70">
        <w:rPr>
          <w:sz w:val="22"/>
          <w:szCs w:val="22"/>
        </w:rPr>
        <w:t>mbém identificou através desta medida o estado nutricional inadequado (25,7%) do grupo avaliado.</w:t>
      </w:r>
    </w:p>
    <w:p w14:paraId="15C8147E" w14:textId="09DFF680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Apesar de ainda não haver um consenso para a definição do conceito de desnutrição, os estudos consideram que existem seis critérios para diagnosticá-la e a associação de dois confirmará o diagnóstico. Sendo estes: a baixa ingestão energética, perda de peso, perda de massa muscular, perda de gordu</w:t>
      </w:r>
      <w:r w:rsidR="00B413EA">
        <w:rPr>
          <w:sz w:val="22"/>
          <w:szCs w:val="22"/>
        </w:rPr>
        <w:t>ra subcutânea, acumulo</w:t>
      </w:r>
      <w:r w:rsidRPr="00FF2E70">
        <w:rPr>
          <w:sz w:val="22"/>
          <w:szCs w:val="22"/>
        </w:rPr>
        <w:t xml:space="preserve"> de líquidos e diminu</w:t>
      </w:r>
      <w:r>
        <w:rPr>
          <w:sz w:val="22"/>
          <w:szCs w:val="22"/>
        </w:rPr>
        <w:t>i</w:t>
      </w:r>
      <w:r w:rsidRPr="00FF2E70">
        <w:rPr>
          <w:sz w:val="22"/>
          <w:szCs w:val="22"/>
        </w:rPr>
        <w:t xml:space="preserve">ção da função (avaliada pela força de preensão manual). A </w:t>
      </w:r>
      <w:r w:rsidRPr="00FF2E70">
        <w:rPr>
          <w:sz w:val="22"/>
          <w:szCs w:val="22"/>
        </w:rPr>
        <w:t>classificação é imprescindível pa</w:t>
      </w:r>
      <w:r>
        <w:rPr>
          <w:sz w:val="22"/>
          <w:szCs w:val="22"/>
        </w:rPr>
        <w:t xml:space="preserve">ra aumentar a conscientização, </w:t>
      </w:r>
      <w:r w:rsidRPr="00FF2E70">
        <w:rPr>
          <w:sz w:val="22"/>
          <w:szCs w:val="22"/>
        </w:rPr>
        <w:t>melhorar o rastreio de doentes em risco nutricional e garantir a assistência</w:t>
      </w:r>
      <w:r>
        <w:rPr>
          <w:sz w:val="22"/>
          <w:szCs w:val="22"/>
          <w:vertAlign w:val="superscript"/>
        </w:rPr>
        <w:t>19</w:t>
      </w:r>
      <w:r w:rsidRPr="00FF2E70">
        <w:rPr>
          <w:sz w:val="22"/>
          <w:szCs w:val="22"/>
        </w:rPr>
        <w:t>.</w:t>
      </w:r>
    </w:p>
    <w:p w14:paraId="37C6E77D" w14:textId="700034F5" w:rsidR="00F33889" w:rsidRPr="00FF2E70" w:rsidRDefault="00F33889" w:rsidP="005B578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A respeito dos sintomas gastrointestinais, os resultados obtidos demonstram que náuseas e vômitos prevaleceram em valor percentual (42,86%), corroborando com o estudo de Miranda</w:t>
      </w:r>
      <w:r>
        <w:rPr>
          <w:sz w:val="22"/>
          <w:szCs w:val="22"/>
          <w:vertAlign w:val="superscript"/>
        </w:rPr>
        <w:t>22</w:t>
      </w:r>
      <w:r w:rsidRPr="00FF2E70">
        <w:rPr>
          <w:sz w:val="22"/>
          <w:szCs w:val="22"/>
        </w:rPr>
        <w:t xml:space="preserve"> que avaliou </w:t>
      </w:r>
      <w:r w:rsidR="00B413EA">
        <w:rPr>
          <w:sz w:val="22"/>
          <w:szCs w:val="22"/>
        </w:rPr>
        <w:t xml:space="preserve">as alterações gastrointestinais </w:t>
      </w:r>
      <w:r w:rsidRPr="00FF2E70">
        <w:rPr>
          <w:sz w:val="22"/>
          <w:szCs w:val="22"/>
        </w:rPr>
        <w:t xml:space="preserve">em pacientes </w:t>
      </w:r>
      <w:proofErr w:type="spellStart"/>
      <w:r w:rsidRPr="00FF2E70">
        <w:rPr>
          <w:sz w:val="22"/>
          <w:szCs w:val="22"/>
        </w:rPr>
        <w:t>imunossuprimidos</w:t>
      </w:r>
      <w:proofErr w:type="spellEnd"/>
      <w:r w:rsidRPr="00FF2E70">
        <w:rPr>
          <w:sz w:val="22"/>
          <w:szCs w:val="22"/>
        </w:rPr>
        <w:t xml:space="preserve"> e identificou que 25,92% dos pacientes apresentaram estes sintomas. Este mesmo estudo considerou a associação dos sintomas, incluindo a diarreia e distensão abdominal, ainda assim, náuseas e vômitos se apresenta</w:t>
      </w:r>
      <w:r w:rsidR="00B413EA">
        <w:rPr>
          <w:sz w:val="22"/>
          <w:szCs w:val="22"/>
        </w:rPr>
        <w:t>ra</w:t>
      </w:r>
      <w:r w:rsidRPr="00FF2E70">
        <w:rPr>
          <w:sz w:val="22"/>
          <w:szCs w:val="22"/>
        </w:rPr>
        <w:t xml:space="preserve">m como o mais comum na população estudada. </w:t>
      </w:r>
    </w:p>
    <w:p w14:paraId="64AB6559" w14:textId="567733B8" w:rsidR="00F33889" w:rsidRPr="00FF2E70" w:rsidRDefault="00F33889" w:rsidP="005B5780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É importante considerar que </w:t>
      </w:r>
      <w:r w:rsidR="00F97C5A" w:rsidRPr="00FF2E70">
        <w:rPr>
          <w:sz w:val="22"/>
          <w:szCs w:val="22"/>
        </w:rPr>
        <w:t>a presença das sintomatologias do trato gastrointestinal está</w:t>
      </w:r>
      <w:r w:rsidR="00F97C5A">
        <w:rPr>
          <w:sz w:val="22"/>
          <w:szCs w:val="22"/>
        </w:rPr>
        <w:t xml:space="preserve"> comumente presente</w:t>
      </w:r>
      <w:r w:rsidRPr="00FF2E70">
        <w:rPr>
          <w:sz w:val="22"/>
          <w:szCs w:val="22"/>
        </w:rPr>
        <w:t xml:space="preserve"> em pacientes hospitalizados e devem ser avaliados de forma adequada e criteriosa, visando à intervenção precoce e monitora</w:t>
      </w:r>
      <w:r w:rsidRPr="00FF2E70">
        <w:rPr>
          <w:sz w:val="22"/>
          <w:szCs w:val="22"/>
        </w:rPr>
        <w:softHyphen/>
        <w:t>mento constante. Estudos já evidenciaram que desnutrição, perda de peso e presença sintomas gastroin</w:t>
      </w:r>
      <w:r w:rsidRPr="00FF2E70">
        <w:rPr>
          <w:sz w:val="22"/>
          <w:szCs w:val="22"/>
        </w:rPr>
        <w:softHyphen/>
        <w:t>testinais estão integradas</w:t>
      </w:r>
      <w:r>
        <w:rPr>
          <w:sz w:val="22"/>
          <w:szCs w:val="22"/>
          <w:vertAlign w:val="superscript"/>
        </w:rPr>
        <w:t>7</w:t>
      </w:r>
      <w:r w:rsidRPr="00FF2E70">
        <w:rPr>
          <w:sz w:val="22"/>
          <w:szCs w:val="22"/>
        </w:rPr>
        <w:t>.</w:t>
      </w:r>
    </w:p>
    <w:p w14:paraId="1E5BF75A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No que se refere aos parâmetros bioquímicos analisados, foi possível determinar a hemoglobina e hematócrito como abaixo do </w:t>
      </w:r>
      <w:r w:rsidRPr="00FF2E70">
        <w:rPr>
          <w:sz w:val="22"/>
          <w:szCs w:val="22"/>
        </w:rPr>
        <w:lastRenderedPageBreak/>
        <w:t>normal segundo as referências, desfecho semelhante ao do estudo de Paiva</w:t>
      </w:r>
      <w:r>
        <w:rPr>
          <w:sz w:val="22"/>
          <w:szCs w:val="22"/>
          <w:vertAlign w:val="superscript"/>
        </w:rPr>
        <w:t>5</w:t>
      </w:r>
      <w:r w:rsidRPr="00FF2E70">
        <w:rPr>
          <w:sz w:val="22"/>
          <w:szCs w:val="22"/>
        </w:rPr>
        <w:t xml:space="preserve"> e Oliveira</w:t>
      </w:r>
      <w:r>
        <w:rPr>
          <w:sz w:val="22"/>
          <w:szCs w:val="22"/>
          <w:vertAlign w:val="superscript"/>
        </w:rPr>
        <w:t>23</w:t>
      </w:r>
      <w:r w:rsidRPr="00FF2E70">
        <w:rPr>
          <w:sz w:val="22"/>
          <w:szCs w:val="22"/>
        </w:rPr>
        <w:t xml:space="preserve">, de modo que, ambos avaliavam a relação desses indicadores com o perfil nutricional de pacientes internados. </w:t>
      </w:r>
    </w:p>
    <w:p w14:paraId="492D0060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Apesar das vantagens oferecidas pelos métodos bioquímicos de detecção precoce de desordens nutricionais, identificação de excessos ou deficiências de nutrientes, antes de qualquer sinal ou sintoma, além de permitirem o monitoramento do indivíduo em tratamento, é necessário ter cautela, pois este método deve ser usado de forma complementar na avaliação nutricional, devido às limitações na aplicação. Como exemplo, a baixa especificidade para problemas de ordem nutricional, influência da doença de base, interação com uso de fármacos e custo mais elevado em comparação com a antropometria</w:t>
      </w:r>
      <w:r>
        <w:rPr>
          <w:sz w:val="22"/>
          <w:szCs w:val="22"/>
          <w:vertAlign w:val="superscript"/>
        </w:rPr>
        <w:t>23</w:t>
      </w:r>
      <w:r w:rsidRPr="00FF2E70">
        <w:rPr>
          <w:sz w:val="22"/>
          <w:szCs w:val="22"/>
        </w:rPr>
        <w:t xml:space="preserve">. </w:t>
      </w:r>
    </w:p>
    <w:p w14:paraId="5E74440E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A análise de adequação dos macronutrientes das dietas hospitalares oferecidas aos pacientes evidenciou que todas foram classificadas como </w:t>
      </w:r>
      <w:proofErr w:type="spellStart"/>
      <w:r w:rsidRPr="00FF2E70">
        <w:rPr>
          <w:sz w:val="22"/>
          <w:szCs w:val="22"/>
        </w:rPr>
        <w:t>hiperproteicas</w:t>
      </w:r>
      <w:proofErr w:type="spellEnd"/>
      <w:r w:rsidRPr="00FF2E70">
        <w:rPr>
          <w:sz w:val="22"/>
          <w:szCs w:val="22"/>
        </w:rPr>
        <w:t>, assim como no estudo de Molinari</w:t>
      </w:r>
      <w:r>
        <w:rPr>
          <w:sz w:val="22"/>
          <w:szCs w:val="22"/>
          <w:vertAlign w:val="superscript"/>
        </w:rPr>
        <w:t>24</w:t>
      </w:r>
      <w:r w:rsidRPr="00FF2E70">
        <w:rPr>
          <w:sz w:val="22"/>
          <w:szCs w:val="22"/>
        </w:rPr>
        <w:t xml:space="preserve"> que avaliou a adequação dos macronutrientes de dietas hospitalares em diferentes consistências. A dieta semilíquida diferiu das demais e além de ser </w:t>
      </w:r>
      <w:proofErr w:type="spellStart"/>
      <w:r w:rsidRPr="00FF2E70">
        <w:rPr>
          <w:sz w:val="22"/>
          <w:szCs w:val="22"/>
        </w:rPr>
        <w:t>hipoproteica</w:t>
      </w:r>
      <w:proofErr w:type="spellEnd"/>
      <w:r w:rsidRPr="00FF2E70">
        <w:rPr>
          <w:sz w:val="22"/>
          <w:szCs w:val="22"/>
        </w:rPr>
        <w:t xml:space="preserve">, também era hipocalórica. Em </w:t>
      </w:r>
      <w:r w:rsidRPr="00FF2E70">
        <w:rPr>
          <w:sz w:val="22"/>
          <w:szCs w:val="22"/>
        </w:rPr>
        <w:t>relação ao teor lipídico e glicídico, as demais estavam dentro da classificação normal. Ademais, as dietas especiais para paciente diabético e paciente renal, diferiam na quantidade e qualidade dos carboidratos ofertados.</w:t>
      </w:r>
    </w:p>
    <w:p w14:paraId="2D63BD7B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Através da avaliação dos micronutrientes foi possível identificar a inadequação de pelo menos três micronutrientes em cada tipo de dieta oferecida, além disso, a semilíquida também se mostrou como a dieta com maior número de micronutrientes inadequados. De forma geral, a vitamina E, vitamina K, vitamina B9, magnésio e cálcio foram os que mais estiveram abaixo dos valores de EAR. O estudo de Souza</w:t>
      </w:r>
      <w:r>
        <w:rPr>
          <w:sz w:val="22"/>
          <w:szCs w:val="22"/>
          <w:vertAlign w:val="superscript"/>
        </w:rPr>
        <w:t>25</w:t>
      </w:r>
      <w:r w:rsidRPr="00FF2E70">
        <w:rPr>
          <w:sz w:val="22"/>
          <w:szCs w:val="22"/>
        </w:rPr>
        <w:t xml:space="preserve"> também avaliou a adequação de minerais em refeições hospitalares e de forma semelhante, encontrou inadequação da quantidade de cálcio, magnésio, apesar da vitamina K apresentar valores adequados.</w:t>
      </w:r>
    </w:p>
    <w:p w14:paraId="6668DCD7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 xml:space="preserve">É sabido que o estado nutricional inadequado, principalmente no quadro de desnutrição, é prejudicial ao sistema imune. Desse modo, é importante se atentar à proporção e dimensão da carência nutricional, bem como, entender por qual mecanismo os micronutrientes auxiliam na manutenção do </w:t>
      </w:r>
      <w:r w:rsidRPr="00FF2E70">
        <w:rPr>
          <w:sz w:val="22"/>
          <w:szCs w:val="22"/>
        </w:rPr>
        <w:lastRenderedPageBreak/>
        <w:t xml:space="preserve">estado nutricional e do metabolismo. Sendo assim, entende-se que há implicações na resposta imunológica quando a nutrição não é suficiente, ou seja, a </w:t>
      </w:r>
      <w:proofErr w:type="spellStart"/>
      <w:r w:rsidRPr="00FF2E70">
        <w:rPr>
          <w:sz w:val="22"/>
          <w:szCs w:val="22"/>
        </w:rPr>
        <w:t>imunocompetência</w:t>
      </w:r>
      <w:proofErr w:type="spellEnd"/>
      <w:r w:rsidRPr="00FF2E70">
        <w:rPr>
          <w:sz w:val="22"/>
          <w:szCs w:val="22"/>
        </w:rPr>
        <w:t xml:space="preserve"> está relacionada ao estado nutricional do indivíduo</w:t>
      </w:r>
      <w:r>
        <w:rPr>
          <w:sz w:val="22"/>
          <w:szCs w:val="22"/>
          <w:vertAlign w:val="superscript"/>
        </w:rPr>
        <w:t>26</w:t>
      </w:r>
      <w:r w:rsidRPr="00FF2E70">
        <w:rPr>
          <w:sz w:val="22"/>
          <w:szCs w:val="22"/>
        </w:rPr>
        <w:t>.</w:t>
      </w:r>
    </w:p>
    <w:p w14:paraId="5FED170B" w14:textId="77777777" w:rsidR="00F33889" w:rsidRPr="00FF2E70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F2E70">
        <w:rPr>
          <w:sz w:val="22"/>
          <w:szCs w:val="22"/>
        </w:rPr>
        <w:t>No que concerne à avaliação do valor energético das dietas é evidente que a maioria das dietas não atendeu a necessidade média do paciente, sendo que, a dieta semilíquida apresentou maior porcentagem de inadequação (45%)</w:t>
      </w:r>
      <w:r>
        <w:rPr>
          <w:sz w:val="22"/>
          <w:szCs w:val="22"/>
        </w:rPr>
        <w:t>, assim como a dieta de consistência normal que apresentou maior percentual de resto alimentar (59,2%)</w:t>
      </w:r>
      <w:r w:rsidRPr="00FF2E70">
        <w:rPr>
          <w:sz w:val="22"/>
          <w:szCs w:val="22"/>
        </w:rPr>
        <w:t xml:space="preserve">. Estes resultados impactam diretamente </w:t>
      </w:r>
      <w:r>
        <w:rPr>
          <w:sz w:val="22"/>
          <w:szCs w:val="22"/>
        </w:rPr>
        <w:t>no estado nutricional do paciente,</w:t>
      </w:r>
      <w:r w:rsidRPr="00FF2E70">
        <w:rPr>
          <w:sz w:val="22"/>
          <w:szCs w:val="22"/>
        </w:rPr>
        <w:t xml:space="preserve"> ainda mais, quando se co</w:t>
      </w:r>
      <w:r>
        <w:rPr>
          <w:sz w:val="22"/>
          <w:szCs w:val="22"/>
        </w:rPr>
        <w:t xml:space="preserve">nsidera os valores obtidos pelos registros alimentares, que demonstraram a ingestão parcial das dietas em </w:t>
      </w:r>
      <w:r w:rsidRPr="00FF2E70">
        <w:rPr>
          <w:sz w:val="22"/>
          <w:szCs w:val="22"/>
        </w:rPr>
        <w:t xml:space="preserve">90,9% de pacientes. </w:t>
      </w:r>
      <w:r>
        <w:rPr>
          <w:sz w:val="22"/>
          <w:szCs w:val="22"/>
        </w:rPr>
        <w:t>Desse modo, entende-se que existem dois agravantes, além da dieta não atingir a necessidade dos pacientes, a maior parte destes não consome o que é oferecido.</w:t>
      </w:r>
    </w:p>
    <w:p w14:paraId="2599F344" w14:textId="77777777" w:rsidR="00F33889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  <w:vertAlign w:val="superscript"/>
        </w:rPr>
      </w:pPr>
      <w:r w:rsidRPr="00FF2E70">
        <w:rPr>
          <w:sz w:val="22"/>
          <w:szCs w:val="22"/>
        </w:rPr>
        <w:t xml:space="preserve">Considerando que a deficiência de nutrientes leva à desnutrição, é essencial ter conhecimento do quanto o paciente consome da dieta diária. Muitas vezes, pacientes hospitalizados tem alterações em seu apetite, bem como no processo de digestão, e absorção. </w:t>
      </w:r>
      <w:r w:rsidRPr="00FF2E70">
        <w:rPr>
          <w:sz w:val="22"/>
          <w:szCs w:val="22"/>
        </w:rPr>
        <w:t>Avaliar o consumo alimentar possibilita identificar pacientes em risco nutricional e auxilia diretamente na prevenção da desnutrição, reduzindo complicações clínicas, tempo de internação e os custos hospitalares</w:t>
      </w:r>
      <w:r>
        <w:rPr>
          <w:sz w:val="22"/>
          <w:szCs w:val="22"/>
          <w:vertAlign w:val="superscript"/>
        </w:rPr>
        <w:t>27.</w:t>
      </w:r>
    </w:p>
    <w:p w14:paraId="1E162B42" w14:textId="77777777" w:rsidR="00F33889" w:rsidRPr="007A1F96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</w:pPr>
      <w:r>
        <w:t xml:space="preserve">Entre as limitações do estudo destaca-se a impossibilidade de acompanhar a evolução nutricional dos pacientes por mais tempo, bem como ampliar a população do estudo, que foi limitada devido aos critérios de inclusão necessários para realizar a avaliação antropométrica através da bioimpedância elétrica, dados que não foram considerados neste estudo por não apresentarem relevância. Como pontos fortes, destaca-se a possibilidade de avaliar muitas variáveis relacionadas ao estado nutricional de pacientes hospitalizados, além de demonstrar o impacto que estas podem causar na evolução durante o período de internação. Por fim, esta pesquisa possibilita mostrar a importância do cuidado nutricional na assistência ao paciente hospitalizado. </w:t>
      </w:r>
    </w:p>
    <w:p w14:paraId="53863541" w14:textId="77777777" w:rsidR="00F33889" w:rsidRPr="00296C29" w:rsidRDefault="00F33889" w:rsidP="00F33889">
      <w:pPr>
        <w:spacing w:after="0" w:line="48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02011" wp14:editId="35EB129B">
                <wp:simplePos x="0" y="0"/>
                <wp:positionH relativeFrom="column">
                  <wp:align>left</wp:align>
                </wp:positionH>
                <wp:positionV relativeFrom="paragraph">
                  <wp:posOffset>256540</wp:posOffset>
                </wp:positionV>
                <wp:extent cx="1447800" cy="9525"/>
                <wp:effectExtent l="19050" t="19050" r="19050" b="2857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67D1" id="Conector re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20.2pt" to="11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" strokecolor="#39f" strokeweight="3pt">
                <v:stroke joinstyle="miter"/>
              </v:line>
            </w:pict>
          </mc:Fallback>
        </mc:AlternateContent>
      </w:r>
      <w:r w:rsidRPr="00296C29">
        <w:rPr>
          <w:rFonts w:ascii="Times New Roman" w:hAnsi="Times New Roman" w:cs="Times New Roman"/>
          <w:b/>
          <w:color w:val="0070C0"/>
          <w:sz w:val="24"/>
        </w:rPr>
        <w:t>Conclusão</w:t>
      </w:r>
    </w:p>
    <w:p w14:paraId="5EB5D3E1" w14:textId="77777777" w:rsidR="00F33889" w:rsidRPr="00FD5CA3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D5CA3">
        <w:rPr>
          <w:sz w:val="22"/>
          <w:szCs w:val="22"/>
        </w:rPr>
        <w:lastRenderedPageBreak/>
        <w:t xml:space="preserve">A avalição dos fatores relacionados à desnutrição evidenciou que existem métodos diversos para identificá-la dentro do contexto hospitalar e que estes são complementares, ou seja, a avaliação nutricional necessita de uma abordagem ampla, que envolva a avaliação antropométrica, avaliação dos sintomas gastrointestinais, avaliação dos exames bioquímicos, bem como considere as variáveis relacionadas à ingestão alimentar. </w:t>
      </w:r>
    </w:p>
    <w:p w14:paraId="008E53B5" w14:textId="77777777" w:rsidR="00F33889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D5CA3">
        <w:rPr>
          <w:sz w:val="22"/>
          <w:szCs w:val="22"/>
        </w:rPr>
        <w:t>Através dos resultados obtidos, pode-se considerar que a antropometria é o método mais utilizado e confiável para o diagnóstico da desnutrição, no entanto, a avaliação da ingestão alimentar evidencia que a própria dieta ofertada no hospital pode ser a responsável, ou a agravante do</w:t>
      </w:r>
      <w:r>
        <w:rPr>
          <w:sz w:val="22"/>
          <w:szCs w:val="22"/>
        </w:rPr>
        <w:t xml:space="preserve"> quadro, desse modo, </w:t>
      </w:r>
      <w:r w:rsidRPr="00FD5CA3">
        <w:rPr>
          <w:sz w:val="22"/>
          <w:szCs w:val="22"/>
        </w:rPr>
        <w:t xml:space="preserve">as </w:t>
      </w:r>
      <w:r>
        <w:rPr>
          <w:sz w:val="22"/>
          <w:szCs w:val="22"/>
        </w:rPr>
        <w:t>demais</w:t>
      </w:r>
      <w:r w:rsidRPr="00FD5CA3">
        <w:rPr>
          <w:sz w:val="22"/>
          <w:szCs w:val="22"/>
        </w:rPr>
        <w:t xml:space="preserve"> avaliações v</w:t>
      </w:r>
      <w:r>
        <w:rPr>
          <w:sz w:val="22"/>
          <w:szCs w:val="22"/>
        </w:rPr>
        <w:t xml:space="preserve">ão </w:t>
      </w:r>
      <w:r w:rsidRPr="00FD5CA3">
        <w:rPr>
          <w:sz w:val="22"/>
          <w:szCs w:val="22"/>
        </w:rPr>
        <w:t>garantir um melhor diagnóstico, além de auxiliar na escolha da conduta de terapia nutricional.</w:t>
      </w:r>
    </w:p>
    <w:p w14:paraId="6F2DE89E" w14:textId="77777777" w:rsidR="00F33889" w:rsidRPr="00F94996" w:rsidRDefault="00F33889" w:rsidP="00F97C5A">
      <w:pPr>
        <w:pStyle w:val="NormalWeb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2"/>
          <w:szCs w:val="22"/>
        </w:rPr>
      </w:pPr>
      <w:r w:rsidRPr="00FD5CA3">
        <w:rPr>
          <w:sz w:val="22"/>
          <w:szCs w:val="22"/>
        </w:rPr>
        <w:t xml:space="preserve">Desse modo, sugere-se que outros estudos sejam feitos para verificar a aplicabilidade desse modelo de avaliação nutricional, bem como a relevância das avaliações na identificação do perfil nutricional do paciente, além disso, comprovar a importância do acompanhamento nutricional </w:t>
      </w:r>
      <w:r w:rsidRPr="00FD5CA3">
        <w:rPr>
          <w:sz w:val="22"/>
          <w:szCs w:val="22"/>
        </w:rPr>
        <w:t>precoce e do impacto desse cuidado na evolução positiva do paciente.</w:t>
      </w:r>
    </w:p>
    <w:p w14:paraId="4F41F97F" w14:textId="77777777" w:rsidR="00F33889" w:rsidRDefault="00F33889" w:rsidP="00F33889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70C0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35837A" wp14:editId="1E019785">
                <wp:simplePos x="0" y="0"/>
                <wp:positionH relativeFrom="margin">
                  <wp:posOffset>2990850</wp:posOffset>
                </wp:positionH>
                <wp:positionV relativeFrom="paragraph">
                  <wp:posOffset>236220</wp:posOffset>
                </wp:positionV>
                <wp:extent cx="1447800" cy="9525"/>
                <wp:effectExtent l="19050" t="19050" r="19050" b="2857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370C" id="Conector reto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5pt,18.6pt" to="34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" strokecolor="#39f" strokeweight="3pt">
                <v:stroke joinstyle="miter"/>
                <w10:wrap anchorx="margin"/>
              </v:line>
            </w:pict>
          </mc:Fallback>
        </mc:AlternateContent>
      </w:r>
      <w:r w:rsidRPr="00F44A02">
        <w:rPr>
          <w:rFonts w:ascii="Times New Roman" w:hAnsi="Times New Roman" w:cs="Times New Roman"/>
          <w:b/>
          <w:bCs/>
          <w:color w:val="0070C0"/>
          <w:sz w:val="24"/>
        </w:rPr>
        <w:t>Referências</w:t>
      </w:r>
    </w:p>
    <w:p w14:paraId="310D6B5C" w14:textId="77777777" w:rsidR="00F33889" w:rsidRPr="00C7796C" w:rsidRDefault="00F33889" w:rsidP="00D21595">
      <w:pPr>
        <w:spacing w:before="240" w:after="240" w:line="240" w:lineRule="auto"/>
        <w:jc w:val="both"/>
        <w:rPr>
          <w:rFonts w:ascii="Times New Roman" w:hAnsi="Times New Roman" w:cs="Times New Roman"/>
          <w:color w:val="0070C0"/>
          <w:sz w:val="24"/>
        </w:rPr>
      </w:pPr>
      <w:r w:rsidRPr="005D6076">
        <w:rPr>
          <w:rFonts w:ascii="Times New Roman" w:hAnsi="Times New Roman" w:cs="Times New Roman"/>
        </w:rPr>
        <w:t>[1]</w:t>
      </w:r>
      <w:r w:rsidRPr="00C7796C">
        <w:rPr>
          <w:rFonts w:ascii="Times New Roman" w:hAnsi="Times New Roman" w:cs="Times New Roman"/>
        </w:rPr>
        <w:t xml:space="preserve"> Barbosa CM, Salomon AL. A avaliação nutricional como fator interveniente na redução da prevalência de desnutrição hospitalar [Trabalho de conclusão de curso]. Brasília: Centro universitário de </w:t>
      </w:r>
      <w:proofErr w:type="spellStart"/>
      <w:r w:rsidRPr="00C7796C">
        <w:rPr>
          <w:rFonts w:ascii="Times New Roman" w:hAnsi="Times New Roman" w:cs="Times New Roman"/>
        </w:rPr>
        <w:t>Brasilia</w:t>
      </w:r>
      <w:proofErr w:type="spellEnd"/>
      <w:r w:rsidRPr="00C7796C">
        <w:rPr>
          <w:rFonts w:ascii="Times New Roman" w:hAnsi="Times New Roman" w:cs="Times New Roman"/>
        </w:rPr>
        <w:t>, Faculdade de ciências da educação e saúde; 2020 [</w:t>
      </w:r>
      <w:proofErr w:type="spellStart"/>
      <w:r w:rsidRPr="00C7796C">
        <w:rPr>
          <w:rFonts w:ascii="Times New Roman" w:hAnsi="Times New Roman" w:cs="Times New Roman"/>
        </w:rPr>
        <w:t>cited</w:t>
      </w:r>
      <w:proofErr w:type="spellEnd"/>
      <w:r w:rsidRPr="00C7796C">
        <w:rPr>
          <w:rFonts w:ascii="Times New Roman" w:hAnsi="Times New Roman" w:cs="Times New Roman"/>
        </w:rPr>
        <w:t xml:space="preserve"> 2021 </w:t>
      </w:r>
      <w:proofErr w:type="spellStart"/>
      <w:r w:rsidRPr="00C7796C">
        <w:rPr>
          <w:rFonts w:ascii="Times New Roman" w:hAnsi="Times New Roman" w:cs="Times New Roman"/>
        </w:rPr>
        <w:t>Feb</w:t>
      </w:r>
      <w:proofErr w:type="spellEnd"/>
      <w:r w:rsidRPr="00C7796C">
        <w:rPr>
          <w:rFonts w:ascii="Times New Roman" w:hAnsi="Times New Roman" w:cs="Times New Roman"/>
        </w:rPr>
        <w:t xml:space="preserve"> 3]. 25 p. </w:t>
      </w:r>
      <w:proofErr w:type="spellStart"/>
      <w:r w:rsidRPr="00C7796C">
        <w:rPr>
          <w:rFonts w:ascii="Times New Roman" w:hAnsi="Times New Roman" w:cs="Times New Roman"/>
        </w:rPr>
        <w:t>Available</w:t>
      </w:r>
      <w:proofErr w:type="spellEnd"/>
      <w:r w:rsidRPr="00C7796C">
        <w:rPr>
          <w:rFonts w:ascii="Times New Roman" w:hAnsi="Times New Roman" w:cs="Times New Roman"/>
        </w:rPr>
        <w:t xml:space="preserve"> </w:t>
      </w:r>
      <w:proofErr w:type="spellStart"/>
      <w:r w:rsidRPr="00C7796C">
        <w:rPr>
          <w:rFonts w:ascii="Times New Roman" w:hAnsi="Times New Roman" w:cs="Times New Roman"/>
        </w:rPr>
        <w:t>from</w:t>
      </w:r>
      <w:proofErr w:type="spellEnd"/>
      <w:r w:rsidRPr="00C7796C">
        <w:rPr>
          <w:rFonts w:ascii="Times New Roman" w:hAnsi="Times New Roman" w:cs="Times New Roman"/>
        </w:rPr>
        <w:t>: http://www.cescage.com.br/revistas/index.php/nutrir/article/view/1016/pdf</w:t>
      </w:r>
    </w:p>
    <w:p w14:paraId="6ADC6350" w14:textId="77777777" w:rsidR="00F33889" w:rsidRPr="005D6076" w:rsidRDefault="00F33889" w:rsidP="00D21595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D6076">
        <w:rPr>
          <w:sz w:val="22"/>
          <w:szCs w:val="22"/>
        </w:rPr>
        <w:t xml:space="preserve">[2] </w:t>
      </w:r>
      <w:proofErr w:type="spellStart"/>
      <w:r w:rsidRPr="00C7796C">
        <w:rPr>
          <w:sz w:val="22"/>
          <w:szCs w:val="22"/>
        </w:rPr>
        <w:t>Sokoronczek</w:t>
      </w:r>
      <w:proofErr w:type="spellEnd"/>
      <w:r w:rsidRPr="00C7796C">
        <w:rPr>
          <w:sz w:val="22"/>
          <w:szCs w:val="22"/>
        </w:rPr>
        <w:t xml:space="preserve"> KA, </w:t>
      </w:r>
      <w:proofErr w:type="spellStart"/>
      <w:r w:rsidRPr="00C7796C">
        <w:rPr>
          <w:sz w:val="22"/>
          <w:szCs w:val="22"/>
        </w:rPr>
        <w:t>Szczerepa</w:t>
      </w:r>
      <w:proofErr w:type="spellEnd"/>
      <w:r w:rsidRPr="00C7796C">
        <w:rPr>
          <w:sz w:val="22"/>
          <w:szCs w:val="22"/>
        </w:rPr>
        <w:t xml:space="preserve"> SB. Evolução nutricional de pacientes desnutridos em um hospital público da cidade de Ponta Grossa. Revista Nutrir [Internet]. 2017 </w:t>
      </w:r>
      <w:proofErr w:type="spellStart"/>
      <w:r w:rsidRPr="00C7796C">
        <w:rPr>
          <w:sz w:val="22"/>
          <w:szCs w:val="22"/>
        </w:rPr>
        <w:t>jul</w:t>
      </w:r>
      <w:proofErr w:type="spellEnd"/>
      <w:r w:rsidRPr="00C7796C">
        <w:rPr>
          <w:sz w:val="22"/>
          <w:szCs w:val="22"/>
        </w:rPr>
        <w:t>/dez [</w:t>
      </w:r>
      <w:proofErr w:type="spellStart"/>
      <w:r w:rsidRPr="00C7796C">
        <w:rPr>
          <w:sz w:val="22"/>
          <w:szCs w:val="22"/>
        </w:rPr>
        <w:t>cited</w:t>
      </w:r>
      <w:proofErr w:type="spellEnd"/>
      <w:r w:rsidRPr="00C7796C">
        <w:rPr>
          <w:sz w:val="22"/>
          <w:szCs w:val="22"/>
        </w:rPr>
        <w:t xml:space="preserve"> 2021 </w:t>
      </w:r>
      <w:proofErr w:type="spellStart"/>
      <w:r w:rsidRPr="00C7796C">
        <w:rPr>
          <w:sz w:val="22"/>
          <w:szCs w:val="22"/>
        </w:rPr>
        <w:t>Feb</w:t>
      </w:r>
      <w:proofErr w:type="spellEnd"/>
      <w:r w:rsidRPr="00C7796C">
        <w:rPr>
          <w:sz w:val="22"/>
          <w:szCs w:val="22"/>
        </w:rPr>
        <w:t xml:space="preserve"> 3];1(8) </w:t>
      </w:r>
      <w:proofErr w:type="spellStart"/>
      <w:r w:rsidRPr="00C7796C">
        <w:rPr>
          <w:sz w:val="22"/>
          <w:szCs w:val="22"/>
        </w:rPr>
        <w:t>Available</w:t>
      </w:r>
      <w:proofErr w:type="spellEnd"/>
      <w:r w:rsidRPr="00C7796C">
        <w:rPr>
          <w:sz w:val="22"/>
          <w:szCs w:val="22"/>
        </w:rPr>
        <w:t xml:space="preserve"> </w:t>
      </w:r>
      <w:proofErr w:type="spellStart"/>
      <w:r w:rsidRPr="00C7796C">
        <w:rPr>
          <w:sz w:val="22"/>
          <w:szCs w:val="22"/>
        </w:rPr>
        <w:t>from</w:t>
      </w:r>
      <w:proofErr w:type="spellEnd"/>
      <w:r w:rsidRPr="00C7796C">
        <w:rPr>
          <w:sz w:val="22"/>
          <w:szCs w:val="22"/>
        </w:rPr>
        <w:t>: http://www.cescage.com.br/revistas/index.php/nutrir/article/view/1016/pdf</w:t>
      </w:r>
    </w:p>
    <w:p w14:paraId="23DAEB6D" w14:textId="77777777" w:rsidR="00F33889" w:rsidRPr="005D6076" w:rsidRDefault="00F33889" w:rsidP="00D21595">
      <w:pPr>
        <w:pStyle w:val="NormalWeb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5D6076">
        <w:rPr>
          <w:sz w:val="22"/>
          <w:szCs w:val="22"/>
        </w:rPr>
        <w:t xml:space="preserve">[3] </w:t>
      </w:r>
      <w:r w:rsidRPr="00C7796C">
        <w:rPr>
          <w:sz w:val="22"/>
          <w:szCs w:val="22"/>
        </w:rPr>
        <w:t xml:space="preserve">Borba CS, Benetti F, Fagundes RA. Prevalência de desnutrição em pacientes adultos internados em um hospital filantrópico de Frederico Westphalen-RS. Revista perspectiva. 2017 </w:t>
      </w:r>
      <w:proofErr w:type="spellStart"/>
      <w:r w:rsidRPr="00C7796C">
        <w:rPr>
          <w:sz w:val="22"/>
          <w:szCs w:val="22"/>
        </w:rPr>
        <w:t>Feb</w:t>
      </w:r>
      <w:proofErr w:type="spellEnd"/>
      <w:r w:rsidRPr="00C7796C">
        <w:rPr>
          <w:sz w:val="22"/>
          <w:szCs w:val="22"/>
        </w:rPr>
        <w:t xml:space="preserve"> 02;41(153):61-71.</w:t>
      </w:r>
    </w:p>
    <w:p w14:paraId="208675B6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[4] Marques VG. Prevalência de desnutrição e hiperglicemia em pacientes críticos. Pesquisa, sociedade e desenvolvimento [Internet]. 2020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Jun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10 [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cited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2021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Feb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19];9(8) DOI http://dx.doi.org/10.33448/rsd-v9i8.5226.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Available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https://www.researchgate.net/publication/342592098_Prevalencia_de_desnutricao_e_hiperglicemia_em_pacientes_criticos</w:t>
      </w:r>
    </w:p>
    <w:p w14:paraId="615E9B09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[5] Paiva TS, et al.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Brazilian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Journal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Development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Desnutrição em pacientes pré cirúrgicos do trato gastrointestinal [Internet]. 2020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Sep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14 [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cited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2021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Feb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25];6(9) DOI DOI:10.34117/bjdv6n9-286.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Available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https://www.brazilianjournals.com/index.php/BRJD/article/view/16540</w:t>
      </w:r>
    </w:p>
    <w:p w14:paraId="056E92E5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[6] SBNPE; ASBRAN - Sociedade Brasileira de Nutrição Parenteral e Enteral; Associação Brasileira de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Nutrologia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. Triagem e avaliação do estado nutricional. São Paulo: AMB; CFM (Projeto Diretrizes), 2011.16p.</w:t>
      </w:r>
    </w:p>
    <w:p w14:paraId="7E0620DF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lastRenderedPageBreak/>
        <w:t>[7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Cavichiolo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MO,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Osaida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LN,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Schneide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F,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Vayego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SA. Estado nutricional e sintomas gastrointestinais de pacientes oncológicos em cuidados paliativos. BRASPEN J. 2017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Feb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03;32(1):25-29.</w:t>
      </w:r>
    </w:p>
    <w:p w14:paraId="4C28085E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[8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] Soares HM. Alterações bioquímicas na desnutrição [Trabalho de conclusão de curso]. Porto: Faculdade de Ciências da Saúde, Universidade Fernando Pessoa; 2018.</w:t>
      </w:r>
    </w:p>
    <w:p w14:paraId="36D5D3A4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[9]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Lohman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TG, Roche AF,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Matorell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R.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Anthropometric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standardization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reference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manual.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Abriged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 1991. 90 p.</w:t>
      </w:r>
    </w:p>
    <w:p w14:paraId="44251E15" w14:textId="477F3BFD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[10]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Chumlea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WC, Roche AF,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Steinbaugh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ML.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Estimating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stature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knee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height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for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persons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60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90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years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age.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Journal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American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Geriatrics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Society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1985 </w:t>
      </w:r>
      <w:proofErr w:type="spellStart"/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fev</w:t>
      </w:r>
      <w:proofErr w:type="spellEnd"/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 33(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2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); 116-120.</w:t>
      </w:r>
    </w:p>
    <w:p w14:paraId="5EFFEDDC" w14:textId="5FAFA926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[11]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Chumlea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WC,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Guo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S, Roche AF,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Steingbaugh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ML. et al.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Prediction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body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weight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for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nonambulatory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elderly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anthropometry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Journal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American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Dietetic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Association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</w:t>
      </w:r>
      <w:r w:rsidR="00B65820"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1988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may</w:t>
      </w:r>
      <w:proofErr w:type="spellEnd"/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 88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(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5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):564-568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.</w:t>
      </w:r>
    </w:p>
    <w:p w14:paraId="1B54EFC9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[12]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Frisancho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AR.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Anthropometric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standards for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assessment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growth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nutricional status. Ann Arbor,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Mich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: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University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Michigan Press, 1990.</w:t>
      </w:r>
    </w:p>
    <w:p w14:paraId="247FA3D9" w14:textId="62216AEC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[13] Blackburn GL, Thornton PA.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Nutritional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assessment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hospitalized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patient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Clin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North Am. </w:t>
      </w:r>
      <w:r w:rsidR="00B65820"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1979; 63:11103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-15.</w:t>
      </w:r>
    </w:p>
    <w:p w14:paraId="4FBD8DA7" w14:textId="11747B0D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[14] Barbosa-silva TG;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Bielemann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RM;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Gonzales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MC; Menezes AM.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Prevalence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sarcopenia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among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community-dwelling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elderly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a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medium-sized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South American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city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: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Results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COMO VAI?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Study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Jornal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Cachexia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Sarcopenia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Muscle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</w:t>
      </w:r>
      <w:r w:rsidR="00B65820"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2016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; 7(2): 136-143.</w:t>
      </w:r>
    </w:p>
    <w:p w14:paraId="35F026FF" w14:textId="3459842E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[15] Peixoto LG; Barbosa CD;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Nahas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PC;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Rossato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LT; Oliveira EP. A circunferência da panturrilha está associada com a massa muscular de indivíduos hospitalizados. Revista Brasileira de Nutrição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Clinica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</w:t>
      </w:r>
      <w:r w:rsidR="00B65820"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2016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31(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2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); 167-171.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</w:p>
    <w:p w14:paraId="5914CA9E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[16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] OMS (Organização Mundial da Saúde), 1995. 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Physical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Status: The Use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Interpretation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Anthropometry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. (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Technical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Report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Series, 854). Genebra: OMS.</w:t>
      </w:r>
    </w:p>
    <w:p w14:paraId="0DAE0244" w14:textId="77777777" w:rsidR="00F33889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[17]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Institute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of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Medicine.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Dietary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reference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intakes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;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the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essential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guide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to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nutriente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requirements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Washington (DC):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National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Academy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Press; 2006.</w:t>
      </w:r>
    </w:p>
    <w:p w14:paraId="6799AFA3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[18] World Health Organization (WHO). Diet,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nutrition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and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prevention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os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chronic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diseases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: reporto f a joint WHO/FAO expert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consultation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Geneva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, 2003. </w:t>
      </w:r>
    </w:p>
    <w:p w14:paraId="0DF3DE41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[19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Desnutrição hospitalar, aplicação da ferramenta de rastreio nutricional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Nutritional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Risk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Screnning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2002 (NRS 2002), aos doentes internados no Serviço de Medicina Interna, do Centro Hospitalar do Tâmega e Sousa, E.P.E [Dissertação]. Faculdade de Ciências da Nutrição e Alimentação da Universidade do Porto; 2019. 91 p.</w:t>
      </w:r>
    </w:p>
    <w:p w14:paraId="5FA21584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[20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Nascimento NC,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Sostisso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CF,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Schieferdecker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ME,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Rabito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EI, Vilela RM. Comparação de métodos de detecção da desnutrição no ambiente hospitalar.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Nutrición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Clínica y Dietética Hospitalar [Internet]. 2017 Jan 07 [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cited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2021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Feb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18]; 37(1):34-40.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Available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DOI: 10.12873/371cavassim.</w:t>
      </w:r>
    </w:p>
    <w:p w14:paraId="682041BE" w14:textId="092899BF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[21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Henrichsen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J, Moraes FS,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Schauren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BC. Prevalência de desnutrição em pacientes adultos que ingressam na emergência de um hospital público.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Nutrición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Clínica y Dietética Hospitalar. 2017 Jan 07; 37(2)</w:t>
      </w:r>
      <w:r w:rsidR="00B65820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132-138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.</w:t>
      </w:r>
    </w:p>
    <w:p w14:paraId="3886F93B" w14:textId="7245250A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[22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Miranda RN,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Kauffmann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LK, Pinto AF, Gonçalves RS, Guterres AS. Caracterização antropométrica, dietética e alterações gastrointestinais de pacientes hospitalizados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imunodeprimidos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. Pará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research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medial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journal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[Internet]. 2019; 2(3)</w:t>
      </w:r>
      <w:r w:rsidR="00284A25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e24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Available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DOI: 10.4322/prmj.2019.024</w:t>
      </w:r>
    </w:p>
    <w:p w14:paraId="2D1412CB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[23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] Oliveira AC. Perfil nutricional de pacientes de pacientes internados em uma unidade de terapia intensiva [Trabalho de conclusão de curso]. Cuiabá-MT. Universidade Federal de Mato Grosso; 2018.</w:t>
      </w:r>
    </w:p>
    <w:p w14:paraId="7621BEB9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[24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Molinari L,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Swarchz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K, Moura PN, Silva TK. Avaliação do cardápio das dietas especiais de uma UAN hospitalar. Visão acadêmica. 2017 Dec;18(4):116-134.</w:t>
      </w:r>
    </w:p>
    <w:p w14:paraId="079EBC44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[25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] Souza AC, Moreira DC. Avaliação do teor de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macrominerais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em refeições hospitalares com e sem uso de módulos de nutrientes. 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lastRenderedPageBreak/>
        <w:t xml:space="preserve">Revista da associação brasileira de nutrição [Internet]. 2020;11(1):95-114.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Available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 xml:space="preserve"> </w:t>
      </w:r>
      <w:proofErr w:type="spellStart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from</w:t>
      </w:r>
      <w:proofErr w:type="spellEnd"/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: DOI: 10.47320/rasbran.2020.1380</w:t>
      </w:r>
    </w:p>
    <w:p w14:paraId="6FA93652" w14:textId="77777777" w:rsidR="00F33889" w:rsidRPr="00C7796C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[26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] Costa AS. Estratégias para a promoção da ingestão alimentar nos hospitais. Faculdade de Ciências da Nutrição e Alimentação da Universidade do Porto. Porto. 2019.</w:t>
      </w:r>
    </w:p>
    <w:p w14:paraId="744B97C7" w14:textId="77777777" w:rsidR="0093675B" w:rsidRDefault="00F33889" w:rsidP="00D21595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[27</w:t>
      </w:r>
      <w:r w:rsidRPr="00C7796C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] Silva MP. Elaboração, aprimoramento e validação do conteúdo de instrumentos para avaliar a aceitação e a qualidade das dietas hospitalares. [Dissertaçã</w:t>
      </w:r>
      <w:r w:rsidR="0093675B"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  <w:t>o]. Fundação Oswaldo Cruz; 2017.</w:t>
      </w:r>
    </w:p>
    <w:p w14:paraId="151D4207" w14:textId="3215B1F0" w:rsidR="00F33889" w:rsidRPr="0093675B" w:rsidRDefault="00F33889" w:rsidP="0093675B">
      <w:pPr>
        <w:pStyle w:val="Default"/>
        <w:spacing w:line="48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pt-BR"/>
        </w:rPr>
      </w:pPr>
      <w:r>
        <w:rPr>
          <w:rFonts w:ascii="Times New Roman" w:hAnsi="Times New Roman" w:cs="Times New Roman"/>
          <w:b/>
          <w:bCs/>
        </w:rPr>
        <w:t>Agradecimentos</w:t>
      </w:r>
      <w:r w:rsidR="00C03AE9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2562A5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Cs/>
        </w:rPr>
        <w:t xml:space="preserve"> Gostaríamos de agradecer </w:t>
      </w:r>
      <w:proofErr w:type="gramStart"/>
      <w:r>
        <w:rPr>
          <w:rFonts w:ascii="Times New Roman" w:hAnsi="Times New Roman" w:cs="Times New Roman"/>
          <w:bCs/>
        </w:rPr>
        <w:t>à</w:t>
      </w:r>
      <w:proofErr w:type="gramEnd"/>
      <w:r>
        <w:rPr>
          <w:rFonts w:ascii="Times New Roman" w:hAnsi="Times New Roman" w:cs="Times New Roman"/>
          <w:bCs/>
        </w:rPr>
        <w:t xml:space="preserve"> todos que contribuíram na construção e realização do projeto</w:t>
      </w:r>
      <w:r w:rsidRPr="002562A5">
        <w:rPr>
          <w:rFonts w:ascii="Times New Roman" w:hAnsi="Times New Roman" w:cs="Times New Roman"/>
          <w:bCs/>
        </w:rPr>
        <w:t>.</w:t>
      </w:r>
    </w:p>
    <w:p w14:paraId="1E7ACD21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81C2282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33B87">
        <w:rPr>
          <w:rFonts w:ascii="Times New Roman" w:hAnsi="Times New Roman" w:cs="Times New Roman"/>
          <w:b/>
          <w:bCs/>
        </w:rPr>
        <w:t>Financiamento</w:t>
      </w:r>
      <w:r>
        <w:rPr>
          <w:rFonts w:ascii="Times New Roman" w:hAnsi="Times New Roman" w:cs="Times New Roman"/>
          <w:bCs/>
        </w:rPr>
        <w:t xml:space="preserve"> – Não houve financiamento. </w:t>
      </w:r>
    </w:p>
    <w:p w14:paraId="1A64C5EC" w14:textId="77777777" w:rsidR="00F33889" w:rsidRPr="002562A5" w:rsidRDefault="00F33889" w:rsidP="00F338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709A968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B4B6E0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87CC8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AA20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E85A2" wp14:editId="33F97A29">
                <wp:simplePos x="0" y="0"/>
                <wp:positionH relativeFrom="column">
                  <wp:posOffset>143013</wp:posOffset>
                </wp:positionH>
                <wp:positionV relativeFrom="paragraph">
                  <wp:posOffset>83323</wp:posOffset>
                </wp:positionV>
                <wp:extent cx="3140710" cy="914234"/>
                <wp:effectExtent l="0" t="0" r="21590" b="1968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9142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557BE" id="Retângulo 12" o:spid="_x0000_s1026" style="position:absolute;margin-left:11.25pt;margin-top:6.55pt;width:247.3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" filled="f" strokecolor="black [3213]" strokeweight="1pt"/>
            </w:pict>
          </mc:Fallback>
        </mc:AlternateContent>
      </w:r>
    </w:p>
    <w:p w14:paraId="4D863A35" w14:textId="77777777" w:rsidR="00F33889" w:rsidRDefault="00F33889" w:rsidP="00F338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Reservado aos Editores</w:t>
      </w:r>
    </w:p>
    <w:p w14:paraId="3173E004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65CE59" w14:textId="5A1BFBED" w:rsidR="00F33889" w:rsidRDefault="00F33889" w:rsidP="00F33889">
      <w:pPr>
        <w:spacing w:after="0" w:line="240" w:lineRule="auto"/>
        <w:ind w:left="708" w:firstLine="708"/>
        <w:rPr>
          <w:rFonts w:ascii="Times New Roman" w:hAnsi="Times New Roman" w:cs="Times New Roman"/>
          <w:sz w:val="18"/>
        </w:rPr>
      </w:pPr>
      <w:r w:rsidRPr="002562A5">
        <w:rPr>
          <w:rFonts w:ascii="Times New Roman" w:hAnsi="Times New Roman" w:cs="Times New Roman"/>
          <w:sz w:val="18"/>
        </w:rPr>
        <w:t xml:space="preserve">Data de submissão: </w:t>
      </w:r>
      <w:r w:rsidR="00F97C5A">
        <w:rPr>
          <w:rFonts w:ascii="Times New Roman" w:hAnsi="Times New Roman" w:cs="Times New Roman"/>
          <w:sz w:val="18"/>
        </w:rPr>
        <w:t>15/06</w:t>
      </w:r>
      <w:r w:rsidRPr="002562A5">
        <w:rPr>
          <w:rFonts w:ascii="Times New Roman" w:hAnsi="Times New Roman" w:cs="Times New Roman"/>
          <w:sz w:val="18"/>
        </w:rPr>
        <w:t>/20</w:t>
      </w:r>
      <w:r>
        <w:rPr>
          <w:rFonts w:ascii="Times New Roman" w:hAnsi="Times New Roman" w:cs="Times New Roman"/>
          <w:sz w:val="18"/>
        </w:rPr>
        <w:t>20</w:t>
      </w:r>
    </w:p>
    <w:p w14:paraId="6DA9FE73" w14:textId="77777777" w:rsidR="00F33889" w:rsidRPr="002562A5" w:rsidRDefault="00F33889" w:rsidP="00F33889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2D9384FA" w14:textId="25E9DB07" w:rsidR="00F33889" w:rsidRPr="002562A5" w:rsidRDefault="00F97C5A" w:rsidP="00F33889">
      <w:pPr>
        <w:spacing w:after="0" w:line="240" w:lineRule="auto"/>
        <w:ind w:left="70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Data de apr</w:t>
      </w:r>
      <w:r w:rsidR="00D21595">
        <w:rPr>
          <w:rFonts w:ascii="Times New Roman" w:hAnsi="Times New Roman" w:cs="Times New Roman"/>
          <w:sz w:val="18"/>
        </w:rPr>
        <w:t>ovação: 02</w:t>
      </w:r>
      <w:r>
        <w:rPr>
          <w:rFonts w:ascii="Times New Roman" w:hAnsi="Times New Roman" w:cs="Times New Roman"/>
          <w:sz w:val="18"/>
        </w:rPr>
        <w:t>/</w:t>
      </w:r>
      <w:r w:rsidR="00D21595">
        <w:rPr>
          <w:rFonts w:ascii="Times New Roman" w:hAnsi="Times New Roman" w:cs="Times New Roman"/>
          <w:sz w:val="18"/>
        </w:rPr>
        <w:t>/07</w:t>
      </w:r>
      <w:r w:rsidR="00F33889">
        <w:rPr>
          <w:rFonts w:ascii="Times New Roman" w:hAnsi="Times New Roman" w:cs="Times New Roman"/>
          <w:sz w:val="18"/>
        </w:rPr>
        <w:t>/2020</w:t>
      </w:r>
    </w:p>
    <w:p w14:paraId="0F6146C3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45573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ECF81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9BA4B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  <w:sectPr w:rsidR="00F33889" w:rsidSect="00F33889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14:paraId="005B6095" w14:textId="7F5767E5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4EA00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1F2D9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E1F77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9C749" w14:textId="77777777" w:rsidR="00F3388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F180E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ACE70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BE9A78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38CA22" w14:textId="77777777" w:rsidR="00F33889" w:rsidRPr="00500CD9" w:rsidRDefault="00F33889" w:rsidP="00F338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A553A" w14:textId="77777777" w:rsidR="00453A18" w:rsidRDefault="00453A18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9C0D39" w14:textId="456079FF" w:rsidR="001D1D73" w:rsidRPr="00500CD9" w:rsidRDefault="001D1D73" w:rsidP="00F44A0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D1D73" w:rsidRPr="00500CD9" w:rsidSect="00D43860"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48D1" w14:textId="77777777" w:rsidR="008B1187" w:rsidRDefault="008B1187" w:rsidP="00D43860">
      <w:pPr>
        <w:spacing w:after="0" w:line="240" w:lineRule="auto"/>
      </w:pPr>
      <w:r>
        <w:separator/>
      </w:r>
    </w:p>
  </w:endnote>
  <w:endnote w:type="continuationSeparator" w:id="0">
    <w:p w14:paraId="42416BA5" w14:textId="77777777" w:rsidR="008B1187" w:rsidRDefault="008B1187" w:rsidP="00D4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277188"/>
      <w:docPartObj>
        <w:docPartGallery w:val="Page Numbers (Bottom of Page)"/>
        <w:docPartUnique/>
      </w:docPartObj>
    </w:sdtPr>
    <w:sdtContent>
      <w:p w14:paraId="6234C22F" w14:textId="33E1F9A4" w:rsidR="005B5780" w:rsidRDefault="005B57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E9">
          <w:rPr>
            <w:noProof/>
          </w:rPr>
          <w:t>1</w:t>
        </w:r>
        <w:r>
          <w:fldChar w:fldCharType="end"/>
        </w:r>
      </w:p>
    </w:sdtContent>
  </w:sdt>
  <w:p w14:paraId="1D0A6A61" w14:textId="5A2D379D" w:rsidR="005B5780" w:rsidRPr="00F44A02" w:rsidRDefault="005B5780">
    <w:pPr>
      <w:pStyle w:val="Rodap"/>
      <w:rPr>
        <w:rFonts w:ascii="Monotype Corsiva" w:hAnsi="Monotype Corsiva"/>
        <w:sz w:val="18"/>
        <w:szCs w:val="16"/>
        <w:lang w:val="en-US"/>
      </w:rPr>
    </w:pPr>
    <w:r w:rsidRPr="00D43860">
      <w:rPr>
        <w:rFonts w:ascii="Monotype Corsiva" w:hAnsi="Monotype Corsiva" w:cs="Times New Roman"/>
        <w:i/>
        <w:sz w:val="18"/>
        <w:szCs w:val="16"/>
        <w:lang w:val="en-US"/>
      </w:rPr>
      <w:t>Act. El</w:t>
    </w:r>
    <w:r>
      <w:rPr>
        <w:rFonts w:ascii="Monotype Corsiva" w:hAnsi="Monotype Corsiva" w:cs="Times New Roman"/>
        <w:i/>
        <w:sz w:val="18"/>
        <w:szCs w:val="16"/>
        <w:lang w:val="en-US"/>
      </w:rPr>
      <w:t>i</w:t>
    </w:r>
    <w:r w:rsidRPr="00D43860">
      <w:rPr>
        <w:rFonts w:ascii="Monotype Corsiva" w:hAnsi="Monotype Corsiva" w:cs="Times New Roman"/>
        <w:i/>
        <w:sz w:val="18"/>
        <w:szCs w:val="16"/>
        <w:lang w:val="en-US"/>
      </w:rPr>
      <w:t>. Sal</w:t>
    </w:r>
    <w:r w:rsidRPr="00D43860">
      <w:rPr>
        <w:rFonts w:ascii="Monotype Corsiva" w:hAnsi="Monotype Corsiva"/>
        <w:sz w:val="18"/>
        <w:szCs w:val="16"/>
        <w:lang w:val="en-US"/>
      </w:rPr>
      <w:t xml:space="preserve">. </w:t>
    </w:r>
    <w:r w:rsidRPr="00F44A02">
      <w:rPr>
        <w:rFonts w:ascii="Monotype Corsiva" w:hAnsi="Monotype Corsiva"/>
        <w:sz w:val="18"/>
        <w:szCs w:val="16"/>
        <w:lang w:val="en-US"/>
      </w:rPr>
      <w:t>(</w:t>
    </w:r>
    <w:r w:rsidR="00375FBD">
      <w:rPr>
        <w:rFonts w:ascii="Monotype Corsiva" w:hAnsi="Monotype Corsiva"/>
        <w:sz w:val="18"/>
        <w:szCs w:val="16"/>
        <w:lang w:val="en-US"/>
      </w:rPr>
      <w:t>2021</w:t>
    </w:r>
    <w:r w:rsidRPr="00F44A02">
      <w:rPr>
        <w:rFonts w:ascii="Monotype Corsiva" w:hAnsi="Monotype Corsiva"/>
        <w:sz w:val="18"/>
        <w:szCs w:val="16"/>
        <w:lang w:val="en-US"/>
      </w:rPr>
      <w:t xml:space="preserve">) </w:t>
    </w:r>
    <w:r>
      <w:rPr>
        <w:rFonts w:ascii="Monotype Corsiva" w:hAnsi="Monotype Corsiva"/>
        <w:sz w:val="18"/>
        <w:szCs w:val="16"/>
        <w:lang w:val="en-US"/>
      </w:rPr>
      <w:t xml:space="preserve">– ISSN online </w:t>
    </w:r>
    <w:r>
      <w:rPr>
        <w:rFonts w:ascii="Monotype Corsiva" w:hAnsi="Monotype Corsiva" w:cs="Times New Roman"/>
        <w:sz w:val="18"/>
      </w:rPr>
      <w:t>2675-1208</w:t>
    </w:r>
    <w:r>
      <w:rPr>
        <w:rFonts w:ascii="Monotype Corsiva" w:hAnsi="Monotype Corsiva"/>
        <w:sz w:val="18"/>
        <w:szCs w:val="16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158474"/>
      <w:docPartObj>
        <w:docPartGallery w:val="Page Numbers (Bottom of Page)"/>
        <w:docPartUnique/>
      </w:docPartObj>
    </w:sdtPr>
    <w:sdtContent>
      <w:p w14:paraId="0C3722B7" w14:textId="4AB7A734" w:rsidR="005B5780" w:rsidRDefault="005B57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E9">
          <w:rPr>
            <w:noProof/>
          </w:rPr>
          <w:t>17</w:t>
        </w:r>
        <w:r>
          <w:fldChar w:fldCharType="end"/>
        </w:r>
      </w:p>
    </w:sdtContent>
  </w:sdt>
  <w:p w14:paraId="3A3B8EB6" w14:textId="1037671A" w:rsidR="005B5780" w:rsidRPr="00F44A02" w:rsidRDefault="00375FBD">
    <w:pPr>
      <w:pStyle w:val="Rodap"/>
      <w:rPr>
        <w:rFonts w:ascii="Monotype Corsiva" w:hAnsi="Monotype Corsiva"/>
        <w:sz w:val="18"/>
        <w:szCs w:val="16"/>
        <w:lang w:val="en-US"/>
      </w:rPr>
    </w:pPr>
    <w:r w:rsidRPr="00D43860">
      <w:rPr>
        <w:rFonts w:ascii="Monotype Corsiva" w:hAnsi="Monotype Corsiva" w:cs="Times New Roman"/>
        <w:i/>
        <w:sz w:val="18"/>
        <w:szCs w:val="16"/>
        <w:lang w:val="en-US"/>
      </w:rPr>
      <w:t>Act. El</w:t>
    </w:r>
    <w:r>
      <w:rPr>
        <w:rFonts w:ascii="Monotype Corsiva" w:hAnsi="Monotype Corsiva" w:cs="Times New Roman"/>
        <w:i/>
        <w:sz w:val="18"/>
        <w:szCs w:val="16"/>
        <w:lang w:val="en-US"/>
      </w:rPr>
      <w:t>i</w:t>
    </w:r>
    <w:r w:rsidRPr="00D43860">
      <w:rPr>
        <w:rFonts w:ascii="Monotype Corsiva" w:hAnsi="Monotype Corsiva" w:cs="Times New Roman"/>
        <w:i/>
        <w:sz w:val="18"/>
        <w:szCs w:val="16"/>
        <w:lang w:val="en-US"/>
      </w:rPr>
      <w:t>. Sal</w:t>
    </w:r>
    <w:r w:rsidRPr="00D43860">
      <w:rPr>
        <w:rFonts w:ascii="Monotype Corsiva" w:hAnsi="Monotype Corsiva"/>
        <w:sz w:val="18"/>
        <w:szCs w:val="16"/>
        <w:lang w:val="en-US"/>
      </w:rPr>
      <w:t xml:space="preserve">. </w:t>
    </w:r>
    <w:r w:rsidRPr="00F44A02">
      <w:rPr>
        <w:rFonts w:ascii="Monotype Corsiva" w:hAnsi="Monotype Corsiva"/>
        <w:sz w:val="18"/>
        <w:szCs w:val="16"/>
        <w:lang w:val="en-US"/>
      </w:rPr>
      <w:t>(</w:t>
    </w:r>
    <w:r>
      <w:rPr>
        <w:rFonts w:ascii="Monotype Corsiva" w:hAnsi="Monotype Corsiva"/>
        <w:sz w:val="18"/>
        <w:szCs w:val="16"/>
        <w:lang w:val="en-US"/>
      </w:rPr>
      <w:t>2021</w:t>
    </w:r>
    <w:r w:rsidRPr="00F44A02">
      <w:rPr>
        <w:rFonts w:ascii="Monotype Corsiva" w:hAnsi="Monotype Corsiva"/>
        <w:sz w:val="18"/>
        <w:szCs w:val="16"/>
        <w:lang w:val="en-US"/>
      </w:rPr>
      <w:t xml:space="preserve">) </w:t>
    </w:r>
    <w:r>
      <w:rPr>
        <w:rFonts w:ascii="Monotype Corsiva" w:hAnsi="Monotype Corsiva"/>
        <w:sz w:val="18"/>
        <w:szCs w:val="16"/>
        <w:lang w:val="en-US"/>
      </w:rPr>
      <w:t xml:space="preserve">– ISSN online </w:t>
    </w:r>
    <w:r>
      <w:rPr>
        <w:rFonts w:ascii="Monotype Corsiva" w:hAnsi="Monotype Corsiva" w:cs="Times New Roman"/>
        <w:sz w:val="18"/>
      </w:rPr>
      <w:t>2675-1208</w:t>
    </w:r>
    <w:r>
      <w:rPr>
        <w:rFonts w:ascii="Monotype Corsiva" w:hAnsi="Monotype Corsiva"/>
        <w:sz w:val="18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C628" w14:textId="77777777" w:rsidR="008B1187" w:rsidRDefault="008B1187" w:rsidP="00D43860">
      <w:pPr>
        <w:spacing w:after="0" w:line="240" w:lineRule="auto"/>
      </w:pPr>
      <w:r>
        <w:separator/>
      </w:r>
    </w:p>
  </w:footnote>
  <w:footnote w:type="continuationSeparator" w:id="0">
    <w:p w14:paraId="5E1C15FE" w14:textId="77777777" w:rsidR="008B1187" w:rsidRDefault="008B1187" w:rsidP="00D4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7A6E3" w14:textId="5F770843" w:rsidR="005B5780" w:rsidRPr="00D43860" w:rsidRDefault="005B5780">
    <w:pPr>
      <w:pStyle w:val="Cabealho"/>
      <w:rPr>
        <w:rFonts w:ascii="Monotype Corsiva" w:hAnsi="Monotype Corsiva" w:cs="Times New Roman"/>
        <w:sz w:val="20"/>
      </w:rPr>
    </w:pPr>
    <w:r w:rsidRPr="00D43860">
      <w:rPr>
        <w:rFonts w:ascii="Monotype Corsiva" w:hAnsi="Monotype Corsiva" w:cs="Times New Roman"/>
        <w:sz w:val="20"/>
      </w:rPr>
      <w:ptab w:relativeTo="margin" w:alignment="right" w:leader="none"/>
    </w:r>
    <w:r w:rsidR="00375FBD">
      <w:rPr>
        <w:rFonts w:ascii="Monotype Corsiva" w:hAnsi="Monotype Corsiva" w:cs="Times New Roman"/>
        <w:sz w:val="20"/>
      </w:rPr>
      <w:t xml:space="preserve">Acta Elit Salutis- AES – (2021) </w:t>
    </w:r>
    <w:r w:rsidR="00D21595">
      <w:rPr>
        <w:rFonts w:ascii="Monotype Corsiva" w:hAnsi="Monotype Corsiva" w:cs="Times New Roman"/>
        <w:sz w:val="20"/>
      </w:rPr>
      <w:t>V</w:t>
    </w:r>
    <w:r w:rsidR="00375FBD">
      <w:rPr>
        <w:rFonts w:ascii="Monotype Corsiva" w:hAnsi="Monotype Corsiva" w:cs="Times New Roman"/>
        <w:sz w:val="20"/>
      </w:rPr>
      <w:t>.5(1)</w:t>
    </w:r>
  </w:p>
  <w:p w14:paraId="356A3898" w14:textId="522056CF" w:rsidR="005B5780" w:rsidRPr="00D43860" w:rsidRDefault="005B5780">
    <w:pPr>
      <w:pStyle w:val="Cabealho"/>
      <w:rPr>
        <w:rFonts w:ascii="Monotype Corsiva" w:hAnsi="Monotype Corsiva" w:cs="Times New Roman"/>
        <w:sz w:val="18"/>
      </w:rPr>
    </w:pPr>
    <w:r w:rsidRPr="00D43860">
      <w:rPr>
        <w:rFonts w:ascii="Monotype Corsiva" w:hAnsi="Monotype Corsiva" w:cs="Times New Roman"/>
        <w:sz w:val="18"/>
      </w:rPr>
      <w:ptab w:relativeTo="margin" w:alignment="right" w:leader="none"/>
    </w:r>
    <w:r w:rsidRPr="00D43860">
      <w:rPr>
        <w:rFonts w:ascii="Monotype Corsiva" w:hAnsi="Monotype Corsiva" w:cs="Times New Roman"/>
        <w:sz w:val="18"/>
      </w:rPr>
      <w:t xml:space="preserve">ISSN online </w:t>
    </w:r>
    <w:r>
      <w:rPr>
        <w:rFonts w:ascii="Monotype Corsiva" w:hAnsi="Monotype Corsiva" w:cs="Times New Roman"/>
        <w:sz w:val="18"/>
      </w:rPr>
      <w:t>2675-1208</w:t>
    </w:r>
    <w:r w:rsidRPr="00D43860">
      <w:rPr>
        <w:rFonts w:ascii="Monotype Corsiva" w:hAnsi="Monotype Corsiva" w:cs="Times New Roman"/>
        <w:sz w:val="18"/>
      </w:rPr>
      <w:t xml:space="preserve"> - Artigo Original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48719" w14:textId="4469BA5D" w:rsidR="00375FBD" w:rsidRPr="00D43860" w:rsidRDefault="00375FBD" w:rsidP="00375FBD">
    <w:pPr>
      <w:pStyle w:val="Cabealho"/>
      <w:rPr>
        <w:rFonts w:ascii="Monotype Corsiva" w:hAnsi="Monotype Corsiva" w:cs="Times New Roman"/>
        <w:sz w:val="20"/>
      </w:rPr>
    </w:pPr>
    <w:r w:rsidRPr="00D43860">
      <w:rPr>
        <w:rFonts w:ascii="Monotype Corsiva" w:hAnsi="Monotype Corsiva" w:cs="Times New Roman"/>
        <w:sz w:val="20"/>
      </w:rPr>
      <w:ptab w:relativeTo="margin" w:alignment="right" w:leader="none"/>
    </w:r>
    <w:r>
      <w:rPr>
        <w:rFonts w:ascii="Monotype Corsiva" w:hAnsi="Monotype Corsiva" w:cs="Times New Roman"/>
        <w:sz w:val="20"/>
      </w:rPr>
      <w:t xml:space="preserve">Acta Elit Salutis- AES – (2021) </w:t>
    </w:r>
    <w:r w:rsidR="00D21595">
      <w:rPr>
        <w:rFonts w:ascii="Monotype Corsiva" w:hAnsi="Monotype Corsiva" w:cs="Times New Roman"/>
        <w:sz w:val="20"/>
      </w:rPr>
      <w:t xml:space="preserve">V. </w:t>
    </w:r>
    <w:r>
      <w:rPr>
        <w:rFonts w:ascii="Monotype Corsiva" w:hAnsi="Monotype Corsiva" w:cs="Times New Roman"/>
        <w:sz w:val="20"/>
      </w:rPr>
      <w:t>5(1)</w:t>
    </w:r>
  </w:p>
  <w:p w14:paraId="176F9D68" w14:textId="77777777" w:rsidR="00375FBD" w:rsidRPr="00D43860" w:rsidRDefault="00375FBD" w:rsidP="00375FBD">
    <w:pPr>
      <w:pStyle w:val="Cabealho"/>
      <w:rPr>
        <w:rFonts w:ascii="Monotype Corsiva" w:hAnsi="Monotype Corsiva" w:cs="Times New Roman"/>
        <w:sz w:val="18"/>
      </w:rPr>
    </w:pPr>
    <w:r w:rsidRPr="00D43860">
      <w:rPr>
        <w:rFonts w:ascii="Monotype Corsiva" w:hAnsi="Monotype Corsiva" w:cs="Times New Roman"/>
        <w:sz w:val="18"/>
      </w:rPr>
      <w:ptab w:relativeTo="margin" w:alignment="right" w:leader="none"/>
    </w:r>
    <w:r w:rsidRPr="00D43860">
      <w:rPr>
        <w:rFonts w:ascii="Monotype Corsiva" w:hAnsi="Monotype Corsiva" w:cs="Times New Roman"/>
        <w:sz w:val="18"/>
      </w:rPr>
      <w:t xml:space="preserve">ISSN online </w:t>
    </w:r>
    <w:r>
      <w:rPr>
        <w:rFonts w:ascii="Monotype Corsiva" w:hAnsi="Monotype Corsiva" w:cs="Times New Roman"/>
        <w:sz w:val="18"/>
      </w:rPr>
      <w:t>2675-1208</w:t>
    </w:r>
    <w:r w:rsidRPr="00D43860">
      <w:rPr>
        <w:rFonts w:ascii="Monotype Corsiva" w:hAnsi="Monotype Corsiva" w:cs="Times New Roman"/>
        <w:sz w:val="18"/>
      </w:rPr>
      <w:t xml:space="preserve"> - Artigo Original</w:t>
    </w:r>
  </w:p>
  <w:p w14:paraId="5074D1AC" w14:textId="15677EB4" w:rsidR="005B5780" w:rsidRPr="00375FBD" w:rsidRDefault="005B5780" w:rsidP="00375F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99B"/>
    <w:multiLevelType w:val="hybridMultilevel"/>
    <w:tmpl w:val="DF348C2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F5015"/>
    <w:multiLevelType w:val="multilevel"/>
    <w:tmpl w:val="EAA6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32A4B"/>
    <w:multiLevelType w:val="hybridMultilevel"/>
    <w:tmpl w:val="2E340F60"/>
    <w:lvl w:ilvl="0" w:tplc="6986ABD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A30BF"/>
    <w:multiLevelType w:val="hybridMultilevel"/>
    <w:tmpl w:val="67B613D0"/>
    <w:lvl w:ilvl="0" w:tplc="81B8DD6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60D2"/>
    <w:multiLevelType w:val="hybridMultilevel"/>
    <w:tmpl w:val="A86A930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810FB"/>
    <w:multiLevelType w:val="multilevel"/>
    <w:tmpl w:val="2DDA5E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5024C1"/>
    <w:multiLevelType w:val="hybridMultilevel"/>
    <w:tmpl w:val="23F0F8B6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6"/>
    <w:rsid w:val="0001228F"/>
    <w:rsid w:val="00033B87"/>
    <w:rsid w:val="000557EC"/>
    <w:rsid w:val="000721D2"/>
    <w:rsid w:val="000A68D5"/>
    <w:rsid w:val="000E1CE0"/>
    <w:rsid w:val="00121E6C"/>
    <w:rsid w:val="001575DE"/>
    <w:rsid w:val="001C59F1"/>
    <w:rsid w:val="001D1D73"/>
    <w:rsid w:val="00241906"/>
    <w:rsid w:val="002562A5"/>
    <w:rsid w:val="00284A25"/>
    <w:rsid w:val="0028698D"/>
    <w:rsid w:val="00296C29"/>
    <w:rsid w:val="002A34C3"/>
    <w:rsid w:val="00300CBE"/>
    <w:rsid w:val="003401CD"/>
    <w:rsid w:val="003420DB"/>
    <w:rsid w:val="00351B14"/>
    <w:rsid w:val="00375FBD"/>
    <w:rsid w:val="00390E38"/>
    <w:rsid w:val="003958E6"/>
    <w:rsid w:val="004414C0"/>
    <w:rsid w:val="00453A18"/>
    <w:rsid w:val="00455367"/>
    <w:rsid w:val="004565FE"/>
    <w:rsid w:val="00474121"/>
    <w:rsid w:val="004761A1"/>
    <w:rsid w:val="004D6752"/>
    <w:rsid w:val="004D6A54"/>
    <w:rsid w:val="00500CD9"/>
    <w:rsid w:val="00524094"/>
    <w:rsid w:val="00524EC7"/>
    <w:rsid w:val="005B5780"/>
    <w:rsid w:val="00600CAE"/>
    <w:rsid w:val="0064736E"/>
    <w:rsid w:val="00653585"/>
    <w:rsid w:val="006A483A"/>
    <w:rsid w:val="006A71EB"/>
    <w:rsid w:val="006D3534"/>
    <w:rsid w:val="00722339"/>
    <w:rsid w:val="007A1F96"/>
    <w:rsid w:val="007A2ADB"/>
    <w:rsid w:val="00816787"/>
    <w:rsid w:val="00827FF8"/>
    <w:rsid w:val="008373A5"/>
    <w:rsid w:val="008561D9"/>
    <w:rsid w:val="00866A4D"/>
    <w:rsid w:val="008B1187"/>
    <w:rsid w:val="008E7085"/>
    <w:rsid w:val="0093675B"/>
    <w:rsid w:val="00936DA7"/>
    <w:rsid w:val="0099546F"/>
    <w:rsid w:val="009C0184"/>
    <w:rsid w:val="009D7204"/>
    <w:rsid w:val="00A40766"/>
    <w:rsid w:val="00A524A6"/>
    <w:rsid w:val="00A56341"/>
    <w:rsid w:val="00A76244"/>
    <w:rsid w:val="00A977F1"/>
    <w:rsid w:val="00AA57E2"/>
    <w:rsid w:val="00AE5AAE"/>
    <w:rsid w:val="00AE744C"/>
    <w:rsid w:val="00AF36CB"/>
    <w:rsid w:val="00B413EA"/>
    <w:rsid w:val="00B50D71"/>
    <w:rsid w:val="00B52D61"/>
    <w:rsid w:val="00B54353"/>
    <w:rsid w:val="00B56B61"/>
    <w:rsid w:val="00B630CC"/>
    <w:rsid w:val="00B65820"/>
    <w:rsid w:val="00BC4208"/>
    <w:rsid w:val="00BD0A7A"/>
    <w:rsid w:val="00BD2109"/>
    <w:rsid w:val="00BD34E1"/>
    <w:rsid w:val="00C03AE9"/>
    <w:rsid w:val="00C1535C"/>
    <w:rsid w:val="00C31C2B"/>
    <w:rsid w:val="00C7608D"/>
    <w:rsid w:val="00C7796C"/>
    <w:rsid w:val="00C8555C"/>
    <w:rsid w:val="00CB0BF2"/>
    <w:rsid w:val="00D1064A"/>
    <w:rsid w:val="00D21595"/>
    <w:rsid w:val="00D33903"/>
    <w:rsid w:val="00D43860"/>
    <w:rsid w:val="00DD65B3"/>
    <w:rsid w:val="00E22D6E"/>
    <w:rsid w:val="00E53728"/>
    <w:rsid w:val="00E84775"/>
    <w:rsid w:val="00EA0144"/>
    <w:rsid w:val="00EC30F0"/>
    <w:rsid w:val="00F1173C"/>
    <w:rsid w:val="00F26821"/>
    <w:rsid w:val="00F33889"/>
    <w:rsid w:val="00F44A02"/>
    <w:rsid w:val="00F94996"/>
    <w:rsid w:val="00F97C5A"/>
    <w:rsid w:val="00FA0ADD"/>
    <w:rsid w:val="00F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56E1"/>
  <w15:docId w15:val="{AC36783D-E3F0-491E-9833-EA4DF03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860"/>
  </w:style>
  <w:style w:type="paragraph" w:styleId="Rodap">
    <w:name w:val="footer"/>
    <w:basedOn w:val="Normal"/>
    <w:link w:val="RodapChar"/>
    <w:uiPriority w:val="99"/>
    <w:unhideWhenUsed/>
    <w:rsid w:val="00D43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860"/>
  </w:style>
  <w:style w:type="table" w:styleId="Tabelacomgrade">
    <w:name w:val="Table Grid"/>
    <w:basedOn w:val="Tabelanormal"/>
    <w:uiPriority w:val="59"/>
    <w:rsid w:val="0045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A0144"/>
    <w:rPr>
      <w:color w:val="0000FF"/>
      <w:u w:val="single"/>
    </w:rPr>
  </w:style>
  <w:style w:type="character" w:customStyle="1" w:styleId="A-Title1Char">
    <w:name w:val="A-Title1 Char"/>
    <w:link w:val="A-Title1"/>
    <w:locked/>
    <w:rsid w:val="007A1F96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7A1F96"/>
    <w:pPr>
      <w:widowControl w:val="0"/>
      <w:numPr>
        <w:numId w:val="1"/>
      </w:numPr>
      <w:spacing w:beforeLines="100" w:afterLines="50" w:after="0" w:line="240" w:lineRule="exact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7A1F96"/>
    <w:pPr>
      <w:widowControl w:val="0"/>
      <w:numPr>
        <w:ilvl w:val="1"/>
        <w:numId w:val="1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table" w:customStyle="1" w:styleId="TabelaSimples31">
    <w:name w:val="Tabela Simples 31"/>
    <w:basedOn w:val="Tabelanormal"/>
    <w:uiPriority w:val="43"/>
    <w:rsid w:val="00A40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7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244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2419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6A483A"/>
  </w:style>
  <w:style w:type="character" w:customStyle="1" w:styleId="UnresolvedMention">
    <w:name w:val="Unresolved Mention"/>
    <w:basedOn w:val="Fontepargpadro"/>
    <w:uiPriority w:val="99"/>
    <w:semiHidden/>
    <w:unhideWhenUsed/>
    <w:rsid w:val="0072233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4736E"/>
    <w:rPr>
      <w:i/>
      <w:iCs/>
    </w:rPr>
  </w:style>
  <w:style w:type="paragraph" w:styleId="PargrafodaLista">
    <w:name w:val="List Paragraph"/>
    <w:basedOn w:val="Normal"/>
    <w:uiPriority w:val="34"/>
    <w:qFormat/>
    <w:rsid w:val="00C153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E38"/>
    <w:rPr>
      <w:sz w:val="16"/>
      <w:szCs w:val="16"/>
    </w:rPr>
  </w:style>
  <w:style w:type="paragraph" w:customStyle="1" w:styleId="Default">
    <w:name w:val="Default"/>
    <w:rsid w:val="00C77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rd-text">
    <w:name w:val="card-text"/>
    <w:basedOn w:val="Normal"/>
    <w:rsid w:val="00C7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">
    <w:name w:val="estilo 1"/>
    <w:basedOn w:val="Normal"/>
    <w:qFormat/>
    <w:rsid w:val="00C7796C"/>
    <w:pPr>
      <w:spacing w:after="200" w:line="360" w:lineRule="auto"/>
      <w:jc w:val="both"/>
    </w:pPr>
    <w:rPr>
      <w:rFonts w:ascii="Times New Roman" w:hAnsi="Times New Roman" w:cs="Times New Roman"/>
      <w:b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65CACACF72C74A908BDE31F3317617" ma:contentTypeVersion="10" ma:contentTypeDescription="Crie um novo documento." ma:contentTypeScope="" ma:versionID="fe3c04618bac96623b1b1b609a91a0ea">
  <xsd:schema xmlns:xsd="http://www.w3.org/2001/XMLSchema" xmlns:xs="http://www.w3.org/2001/XMLSchema" xmlns:p="http://schemas.microsoft.com/office/2006/metadata/properties" xmlns:ns3="792d76e3-ca0f-4f73-a748-984eb24a3e67" xmlns:ns4="db117742-cf0e-40f3-b696-1441b07f5e83" targetNamespace="http://schemas.microsoft.com/office/2006/metadata/properties" ma:root="true" ma:fieldsID="412e74236ff1459bccd754a362aaf7f7" ns3:_="" ns4:_="">
    <xsd:import namespace="792d76e3-ca0f-4f73-a748-984eb24a3e67"/>
    <xsd:import namespace="db117742-cf0e-40f3-b696-1441b07f5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76e3-ca0f-4f73-a748-984eb24a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7742-cf0e-40f3-b696-1441b07f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3BD00-93ED-414A-A36E-48C6B227E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74753-4D65-4C84-A918-C7C048127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A9422-4FCF-424A-B83E-76E17E62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d76e3-ca0f-4f73-a748-984eb24a3e67"/>
    <ds:schemaRef ds:uri="db117742-cf0e-40f3-b696-1441b07f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8D106F-6255-4F51-AC66-5C5E63BC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5886</Words>
  <Characters>31788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Emilio Vicentini</dc:creator>
  <cp:keywords/>
  <dc:description/>
  <cp:lastModifiedBy>anônimo</cp:lastModifiedBy>
  <cp:revision>3</cp:revision>
  <cp:lastPrinted>2019-08-21T14:11:00Z</cp:lastPrinted>
  <dcterms:created xsi:type="dcterms:W3CDTF">2021-06-21T14:38:00Z</dcterms:created>
  <dcterms:modified xsi:type="dcterms:W3CDTF">2021-06-21T14:38:00Z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0x0101004965CACACF72C74A908BDE31F3317617</vt:lpwstr>
  </property>
</Properties>
</file>