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6C8" w:rsidRDefault="009366C8" w:rsidP="009366C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drawing>
          <wp:inline distT="0" distB="0" distL="0" distR="0">
            <wp:extent cx="5486400" cy="358140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6C8" w:rsidRDefault="009366C8" w:rsidP="009366C8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Figura 1.</w:t>
      </w:r>
      <w:r>
        <w:rPr>
          <w:rFonts w:ascii="Times New Roman" w:hAnsi="Times New Roman"/>
          <w:szCs w:val="24"/>
        </w:rPr>
        <w:t xml:space="preserve"> Processo de produção de biodiesel. Fonte: Rodrigues &amp; </w:t>
      </w:r>
      <w:proofErr w:type="spellStart"/>
      <w:r>
        <w:rPr>
          <w:rFonts w:ascii="Times New Roman" w:hAnsi="Times New Roman"/>
          <w:szCs w:val="24"/>
        </w:rPr>
        <w:t>Rondina</w:t>
      </w:r>
      <w:proofErr w:type="spellEnd"/>
      <w:r>
        <w:rPr>
          <w:rFonts w:ascii="Times New Roman" w:hAnsi="Times New Roman"/>
          <w:szCs w:val="24"/>
        </w:rPr>
        <w:t xml:space="preserve"> (2013</w:t>
      </w:r>
      <w:proofErr w:type="gramStart"/>
      <w:r>
        <w:rPr>
          <w:rFonts w:ascii="Times New Roman" w:hAnsi="Times New Roman"/>
          <w:szCs w:val="24"/>
        </w:rPr>
        <w:t>)</w:t>
      </w:r>
      <w:proofErr w:type="gramEnd"/>
      <w:r>
        <w:rPr>
          <w:rFonts w:ascii="Times New Roman" w:hAnsi="Times New Roman"/>
          <w:szCs w:val="24"/>
        </w:rPr>
        <w:br w:type="page"/>
      </w:r>
    </w:p>
    <w:p w:rsidR="009366C8" w:rsidRDefault="009366C8" w:rsidP="009366C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lastRenderedPageBreak/>
        <w:drawing>
          <wp:inline distT="0" distB="0" distL="0" distR="0">
            <wp:extent cx="4714875" cy="3171825"/>
            <wp:effectExtent l="1905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6C8" w:rsidRDefault="009366C8" w:rsidP="009366C8">
      <w:pPr>
        <w:spacing w:line="48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Figura 2.</w:t>
      </w:r>
      <w:r>
        <w:rPr>
          <w:rFonts w:ascii="Times New Roman" w:hAnsi="Times New Roman"/>
          <w:szCs w:val="24"/>
        </w:rPr>
        <w:t xml:space="preserve"> Representação da molécula de Glicerol. Fonte: Adaptado de Arruda </w:t>
      </w:r>
      <w:proofErr w:type="spellStart"/>
      <w:proofErr w:type="gramStart"/>
      <w:r>
        <w:rPr>
          <w:rFonts w:ascii="Times New Roman" w:hAnsi="Times New Roman"/>
          <w:szCs w:val="24"/>
        </w:rPr>
        <w:t>et</w:t>
      </w:r>
      <w:proofErr w:type="spellEnd"/>
      <w:proofErr w:type="gramEnd"/>
      <w:r>
        <w:rPr>
          <w:rFonts w:ascii="Times New Roman" w:hAnsi="Times New Roman"/>
          <w:szCs w:val="24"/>
        </w:rPr>
        <w:t xml:space="preserve"> al. (2007)</w:t>
      </w:r>
      <w:r>
        <w:rPr>
          <w:rFonts w:ascii="Times New Roman" w:hAnsi="Times New Roman"/>
          <w:szCs w:val="24"/>
        </w:rPr>
        <w:br w:type="page"/>
      </w:r>
    </w:p>
    <w:p w:rsidR="009366C8" w:rsidRDefault="009366C8" w:rsidP="009366C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lastRenderedPageBreak/>
        <w:drawing>
          <wp:inline distT="0" distB="0" distL="0" distR="0">
            <wp:extent cx="5038725" cy="3762375"/>
            <wp:effectExtent l="19050" t="0" r="9525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6C8" w:rsidRDefault="009366C8" w:rsidP="009366C8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Figura 3.</w:t>
      </w:r>
      <w:r>
        <w:rPr>
          <w:rFonts w:ascii="Times New Roman" w:hAnsi="Times New Roman"/>
          <w:szCs w:val="24"/>
        </w:rPr>
        <w:t xml:space="preserve"> Metabolismo do Glicerol. Fonte: Adaptado de Best (2006</w:t>
      </w:r>
      <w:proofErr w:type="gramStart"/>
      <w:r>
        <w:rPr>
          <w:rFonts w:ascii="Times New Roman" w:hAnsi="Times New Roman"/>
          <w:szCs w:val="24"/>
        </w:rPr>
        <w:t>)</w:t>
      </w:r>
      <w:proofErr w:type="gramEnd"/>
      <w:r>
        <w:rPr>
          <w:b/>
          <w:szCs w:val="24"/>
        </w:rPr>
        <w:br w:type="page"/>
      </w:r>
    </w:p>
    <w:p w:rsidR="009366C8" w:rsidRDefault="009366C8" w:rsidP="009366C8">
      <w:pPr>
        <w:pStyle w:val="Ttulo2"/>
        <w:numPr>
          <w:ilvl w:val="0"/>
          <w:numId w:val="0"/>
        </w:numPr>
        <w:tabs>
          <w:tab w:val="left" w:pos="708"/>
        </w:tabs>
        <w:ind w:left="578" w:hanging="578"/>
        <w:jc w:val="both"/>
        <w:rPr>
          <w:szCs w:val="24"/>
        </w:rPr>
      </w:pPr>
      <w:r>
        <w:rPr>
          <w:b/>
          <w:szCs w:val="24"/>
        </w:rPr>
        <w:lastRenderedPageBreak/>
        <w:t>Tabela 1.</w:t>
      </w:r>
      <w:r>
        <w:rPr>
          <w:szCs w:val="24"/>
        </w:rPr>
        <w:t xml:space="preserve"> Composição das glicerinas utilizadas em experimentos</w:t>
      </w:r>
    </w:p>
    <w:tbl>
      <w:tblPr>
        <w:tblW w:w="0" w:type="auto"/>
        <w:tblCellMar>
          <w:left w:w="70" w:type="dxa"/>
          <w:right w:w="70" w:type="dxa"/>
        </w:tblCellMar>
        <w:tblLook w:val="04A0"/>
      </w:tblPr>
      <w:tblGrid>
        <w:gridCol w:w="927"/>
        <w:gridCol w:w="1087"/>
        <w:gridCol w:w="1150"/>
        <w:gridCol w:w="560"/>
        <w:gridCol w:w="1360"/>
        <w:gridCol w:w="1060"/>
        <w:gridCol w:w="1060"/>
        <w:gridCol w:w="1440"/>
      </w:tblGrid>
      <w:tr w:rsidR="009366C8" w:rsidTr="009366C8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6C8" w:rsidRDefault="009366C8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Glicerol</w:t>
            </w:r>
          </w:p>
          <w:p w:rsidR="009366C8" w:rsidRDefault="009366C8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(%)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366C8" w:rsidRDefault="009366C8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Definição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366C8" w:rsidRDefault="009366C8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AGTotais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 xml:space="preserve"> (%)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366C8" w:rsidRDefault="009366C8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Na</w:t>
            </w:r>
          </w:p>
          <w:p w:rsidR="009366C8" w:rsidRDefault="009366C8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(%)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366C8" w:rsidRDefault="009366C8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Metanol (%)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366C8" w:rsidRDefault="009366C8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ED</w:t>
            </w:r>
          </w:p>
          <w:p w:rsidR="009366C8" w:rsidRDefault="009366C8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(Kcal/kg)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366C8" w:rsidRDefault="009366C8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EM</w:t>
            </w:r>
          </w:p>
          <w:p w:rsidR="009366C8" w:rsidRDefault="009366C8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(Kcal/kg)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6C8" w:rsidRDefault="009366C8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Referências</w:t>
            </w:r>
          </w:p>
        </w:tc>
      </w:tr>
      <w:tr w:rsidR="009366C8" w:rsidTr="009366C8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366C8" w:rsidRDefault="009366C8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55,45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366C8" w:rsidRDefault="009366C8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GBM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366C8" w:rsidRDefault="009366C8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21,5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366C8" w:rsidRDefault="009366C8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1,99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366C8" w:rsidRDefault="009366C8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5,05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366C8" w:rsidRDefault="009366C8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366C8" w:rsidRDefault="009366C8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5.242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366C8" w:rsidRDefault="009366C8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 xml:space="preserve">Carvalho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et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 xml:space="preserve"> al. (2013)</w:t>
            </w:r>
          </w:p>
        </w:tc>
      </w:tr>
      <w:tr w:rsidR="009366C8" w:rsidTr="009366C8">
        <w:trPr>
          <w:trHeight w:val="269"/>
        </w:trPr>
        <w:tc>
          <w:tcPr>
            <w:tcW w:w="0" w:type="auto"/>
            <w:vAlign w:val="bottom"/>
            <w:hideMark/>
          </w:tcPr>
          <w:p w:rsidR="009366C8" w:rsidRDefault="009366C8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55,95</w:t>
            </w:r>
          </w:p>
        </w:tc>
        <w:tc>
          <w:tcPr>
            <w:tcW w:w="0" w:type="auto"/>
            <w:noWrap/>
            <w:vAlign w:val="bottom"/>
            <w:hideMark/>
          </w:tcPr>
          <w:p w:rsidR="009366C8" w:rsidRDefault="009366C8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GBV</w:t>
            </w:r>
          </w:p>
        </w:tc>
        <w:tc>
          <w:tcPr>
            <w:tcW w:w="0" w:type="auto"/>
          </w:tcPr>
          <w:p w:rsidR="009366C8" w:rsidRDefault="009366C8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  <w:p w:rsidR="009366C8" w:rsidRDefault="009366C8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23,3</w:t>
            </w:r>
          </w:p>
        </w:tc>
        <w:tc>
          <w:tcPr>
            <w:tcW w:w="0" w:type="auto"/>
            <w:noWrap/>
            <w:vAlign w:val="bottom"/>
            <w:hideMark/>
          </w:tcPr>
          <w:p w:rsidR="009366C8" w:rsidRDefault="009366C8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1,62</w:t>
            </w:r>
          </w:p>
        </w:tc>
        <w:tc>
          <w:tcPr>
            <w:tcW w:w="0" w:type="auto"/>
            <w:noWrap/>
            <w:vAlign w:val="bottom"/>
            <w:hideMark/>
          </w:tcPr>
          <w:p w:rsidR="009366C8" w:rsidRDefault="009366C8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10,96</w:t>
            </w:r>
          </w:p>
        </w:tc>
        <w:tc>
          <w:tcPr>
            <w:tcW w:w="0" w:type="auto"/>
            <w:noWrap/>
            <w:vAlign w:val="bottom"/>
            <w:hideMark/>
          </w:tcPr>
          <w:p w:rsidR="009366C8" w:rsidRDefault="009366C8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---</w:t>
            </w:r>
          </w:p>
        </w:tc>
        <w:tc>
          <w:tcPr>
            <w:tcW w:w="0" w:type="auto"/>
            <w:noWrap/>
            <w:vAlign w:val="bottom"/>
            <w:hideMark/>
          </w:tcPr>
          <w:p w:rsidR="009366C8" w:rsidRDefault="009366C8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5.247</w:t>
            </w:r>
          </w:p>
        </w:tc>
        <w:tc>
          <w:tcPr>
            <w:tcW w:w="0" w:type="auto"/>
            <w:vAlign w:val="bottom"/>
            <w:hideMark/>
          </w:tcPr>
          <w:p w:rsidR="009366C8" w:rsidRDefault="009366C8">
            <w:pPr>
              <w:spacing w:before="240"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 xml:space="preserve">Carvalho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et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 xml:space="preserve"> al. (2013)</w:t>
            </w:r>
          </w:p>
        </w:tc>
      </w:tr>
      <w:tr w:rsidR="009366C8" w:rsidTr="009366C8">
        <w:trPr>
          <w:trHeight w:val="300"/>
        </w:trPr>
        <w:tc>
          <w:tcPr>
            <w:tcW w:w="0" w:type="auto"/>
            <w:vAlign w:val="bottom"/>
            <w:hideMark/>
          </w:tcPr>
          <w:p w:rsidR="009366C8" w:rsidRDefault="009366C8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68,66</w:t>
            </w:r>
          </w:p>
        </w:tc>
        <w:tc>
          <w:tcPr>
            <w:tcW w:w="0" w:type="auto"/>
            <w:noWrap/>
            <w:vAlign w:val="bottom"/>
            <w:hideMark/>
          </w:tcPr>
          <w:p w:rsidR="009366C8" w:rsidRDefault="009366C8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GSM</w:t>
            </w:r>
          </w:p>
        </w:tc>
        <w:tc>
          <w:tcPr>
            <w:tcW w:w="0" w:type="auto"/>
          </w:tcPr>
          <w:p w:rsidR="009366C8" w:rsidRDefault="009366C8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  <w:p w:rsidR="009366C8" w:rsidRDefault="009366C8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5,1</w:t>
            </w:r>
          </w:p>
        </w:tc>
        <w:tc>
          <w:tcPr>
            <w:tcW w:w="0" w:type="auto"/>
            <w:noWrap/>
            <w:vAlign w:val="bottom"/>
            <w:hideMark/>
          </w:tcPr>
          <w:p w:rsidR="009366C8" w:rsidRDefault="009366C8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---</w:t>
            </w:r>
          </w:p>
        </w:tc>
        <w:tc>
          <w:tcPr>
            <w:tcW w:w="0" w:type="auto"/>
            <w:noWrap/>
            <w:vAlign w:val="bottom"/>
            <w:hideMark/>
          </w:tcPr>
          <w:p w:rsidR="009366C8" w:rsidRDefault="009366C8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6,28</w:t>
            </w:r>
          </w:p>
        </w:tc>
        <w:tc>
          <w:tcPr>
            <w:tcW w:w="0" w:type="auto"/>
            <w:noWrap/>
            <w:vAlign w:val="bottom"/>
            <w:hideMark/>
          </w:tcPr>
          <w:p w:rsidR="009366C8" w:rsidRDefault="009366C8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3.090</w:t>
            </w:r>
          </w:p>
        </w:tc>
        <w:tc>
          <w:tcPr>
            <w:tcW w:w="0" w:type="auto"/>
            <w:noWrap/>
            <w:vAlign w:val="bottom"/>
            <w:hideMark/>
          </w:tcPr>
          <w:p w:rsidR="009366C8" w:rsidRDefault="009366C8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2.210</w:t>
            </w:r>
          </w:p>
        </w:tc>
        <w:tc>
          <w:tcPr>
            <w:tcW w:w="0" w:type="auto"/>
            <w:vAlign w:val="bottom"/>
            <w:hideMark/>
          </w:tcPr>
          <w:p w:rsidR="009366C8" w:rsidRDefault="009366C8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 xml:space="preserve">Gonçalves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et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 xml:space="preserve"> al. (2014)</w:t>
            </w:r>
          </w:p>
        </w:tc>
      </w:tr>
      <w:tr w:rsidR="009366C8" w:rsidTr="009366C8">
        <w:trPr>
          <w:trHeight w:val="300"/>
        </w:trPr>
        <w:tc>
          <w:tcPr>
            <w:tcW w:w="0" w:type="auto"/>
            <w:vAlign w:val="bottom"/>
            <w:hideMark/>
          </w:tcPr>
          <w:p w:rsidR="009366C8" w:rsidRDefault="009366C8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74,4</w:t>
            </w:r>
          </w:p>
        </w:tc>
        <w:tc>
          <w:tcPr>
            <w:tcW w:w="0" w:type="auto"/>
            <w:noWrap/>
            <w:vAlign w:val="bottom"/>
            <w:hideMark/>
          </w:tcPr>
          <w:p w:rsidR="009366C8" w:rsidRDefault="009366C8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GB</w:t>
            </w:r>
          </w:p>
        </w:tc>
        <w:tc>
          <w:tcPr>
            <w:tcW w:w="0" w:type="auto"/>
            <w:hideMark/>
          </w:tcPr>
          <w:p w:rsidR="009366C8" w:rsidRDefault="009366C8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---</w:t>
            </w:r>
          </w:p>
        </w:tc>
        <w:tc>
          <w:tcPr>
            <w:tcW w:w="0" w:type="auto"/>
            <w:noWrap/>
            <w:vAlign w:val="bottom"/>
            <w:hideMark/>
          </w:tcPr>
          <w:p w:rsidR="009366C8" w:rsidRDefault="009366C8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2,8</w:t>
            </w:r>
          </w:p>
        </w:tc>
        <w:tc>
          <w:tcPr>
            <w:tcW w:w="0" w:type="auto"/>
            <w:noWrap/>
            <w:vAlign w:val="bottom"/>
            <w:hideMark/>
          </w:tcPr>
          <w:p w:rsidR="009366C8" w:rsidRDefault="009366C8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---</w:t>
            </w:r>
          </w:p>
        </w:tc>
        <w:tc>
          <w:tcPr>
            <w:tcW w:w="0" w:type="auto"/>
            <w:noWrap/>
            <w:vAlign w:val="bottom"/>
            <w:hideMark/>
          </w:tcPr>
          <w:p w:rsidR="009366C8" w:rsidRDefault="009366C8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---</w:t>
            </w:r>
          </w:p>
        </w:tc>
        <w:tc>
          <w:tcPr>
            <w:tcW w:w="0" w:type="auto"/>
            <w:noWrap/>
            <w:vAlign w:val="bottom"/>
            <w:hideMark/>
          </w:tcPr>
          <w:p w:rsidR="009366C8" w:rsidRDefault="009366C8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---</w:t>
            </w:r>
          </w:p>
        </w:tc>
        <w:tc>
          <w:tcPr>
            <w:tcW w:w="0" w:type="auto"/>
            <w:vAlign w:val="bottom"/>
            <w:hideMark/>
          </w:tcPr>
          <w:p w:rsidR="009366C8" w:rsidRDefault="009366C8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 xml:space="preserve">Oliveira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et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 xml:space="preserve"> al. (2013)</w:t>
            </w:r>
          </w:p>
        </w:tc>
      </w:tr>
      <w:tr w:rsidR="009366C8" w:rsidTr="009366C8">
        <w:trPr>
          <w:trHeight w:val="300"/>
        </w:trPr>
        <w:tc>
          <w:tcPr>
            <w:tcW w:w="0" w:type="auto"/>
            <w:vAlign w:val="bottom"/>
            <w:hideMark/>
          </w:tcPr>
          <w:p w:rsidR="009366C8" w:rsidRDefault="009366C8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74,94</w:t>
            </w:r>
          </w:p>
        </w:tc>
        <w:tc>
          <w:tcPr>
            <w:tcW w:w="0" w:type="auto"/>
            <w:noWrap/>
            <w:vAlign w:val="bottom"/>
            <w:hideMark/>
          </w:tcPr>
          <w:p w:rsidR="009366C8" w:rsidRDefault="009366C8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GSV</w:t>
            </w:r>
          </w:p>
        </w:tc>
        <w:tc>
          <w:tcPr>
            <w:tcW w:w="0" w:type="auto"/>
          </w:tcPr>
          <w:p w:rsidR="009366C8" w:rsidRDefault="009366C8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  <w:p w:rsidR="009366C8" w:rsidRDefault="009366C8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9</w:t>
            </w:r>
            <w:proofErr w:type="gramEnd"/>
          </w:p>
        </w:tc>
        <w:tc>
          <w:tcPr>
            <w:tcW w:w="0" w:type="auto"/>
            <w:noWrap/>
            <w:vAlign w:val="bottom"/>
            <w:hideMark/>
          </w:tcPr>
          <w:p w:rsidR="009366C8" w:rsidRDefault="009366C8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---</w:t>
            </w:r>
          </w:p>
        </w:tc>
        <w:tc>
          <w:tcPr>
            <w:tcW w:w="0" w:type="auto"/>
            <w:noWrap/>
            <w:vAlign w:val="bottom"/>
            <w:hideMark/>
          </w:tcPr>
          <w:p w:rsidR="009366C8" w:rsidRDefault="009366C8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10,32</w:t>
            </w:r>
          </w:p>
        </w:tc>
        <w:tc>
          <w:tcPr>
            <w:tcW w:w="0" w:type="auto"/>
            <w:noWrap/>
            <w:vAlign w:val="bottom"/>
            <w:hideMark/>
          </w:tcPr>
          <w:p w:rsidR="009366C8" w:rsidRDefault="009366C8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3.777</w:t>
            </w:r>
          </w:p>
        </w:tc>
        <w:tc>
          <w:tcPr>
            <w:tcW w:w="0" w:type="auto"/>
            <w:noWrap/>
            <w:vAlign w:val="bottom"/>
            <w:hideMark/>
          </w:tcPr>
          <w:p w:rsidR="009366C8" w:rsidRDefault="009366C8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2.731</w:t>
            </w:r>
          </w:p>
        </w:tc>
        <w:tc>
          <w:tcPr>
            <w:tcW w:w="0" w:type="auto"/>
            <w:vAlign w:val="bottom"/>
            <w:hideMark/>
          </w:tcPr>
          <w:p w:rsidR="009366C8" w:rsidRDefault="009366C8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 xml:space="preserve">Gonçalves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et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 xml:space="preserve"> al. (2014)</w:t>
            </w:r>
          </w:p>
        </w:tc>
      </w:tr>
      <w:tr w:rsidR="009366C8" w:rsidTr="009366C8">
        <w:trPr>
          <w:trHeight w:val="300"/>
        </w:trPr>
        <w:tc>
          <w:tcPr>
            <w:tcW w:w="0" w:type="auto"/>
            <w:vAlign w:val="bottom"/>
            <w:hideMark/>
          </w:tcPr>
          <w:p w:rsidR="009366C8" w:rsidRDefault="009366C8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80,2</w:t>
            </w:r>
          </w:p>
        </w:tc>
        <w:tc>
          <w:tcPr>
            <w:tcW w:w="0" w:type="auto"/>
            <w:noWrap/>
            <w:vAlign w:val="bottom"/>
            <w:hideMark/>
          </w:tcPr>
          <w:p w:rsidR="009366C8" w:rsidRDefault="009366C8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GSPN</w:t>
            </w:r>
          </w:p>
        </w:tc>
        <w:tc>
          <w:tcPr>
            <w:tcW w:w="0" w:type="auto"/>
            <w:hideMark/>
          </w:tcPr>
          <w:p w:rsidR="009366C8" w:rsidRDefault="009366C8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---</w:t>
            </w:r>
          </w:p>
        </w:tc>
        <w:tc>
          <w:tcPr>
            <w:tcW w:w="0" w:type="auto"/>
            <w:noWrap/>
            <w:vAlign w:val="bottom"/>
            <w:hideMark/>
          </w:tcPr>
          <w:p w:rsidR="009366C8" w:rsidRDefault="009366C8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3,52</w:t>
            </w:r>
          </w:p>
        </w:tc>
        <w:tc>
          <w:tcPr>
            <w:tcW w:w="0" w:type="auto"/>
            <w:noWrap/>
            <w:vAlign w:val="bottom"/>
            <w:hideMark/>
          </w:tcPr>
          <w:p w:rsidR="009366C8" w:rsidRDefault="009366C8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0,01</w:t>
            </w:r>
          </w:p>
        </w:tc>
        <w:tc>
          <w:tcPr>
            <w:tcW w:w="0" w:type="auto"/>
            <w:noWrap/>
            <w:vAlign w:val="bottom"/>
            <w:hideMark/>
          </w:tcPr>
          <w:p w:rsidR="009366C8" w:rsidRDefault="009366C8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3.298</w:t>
            </w:r>
          </w:p>
        </w:tc>
        <w:tc>
          <w:tcPr>
            <w:tcW w:w="0" w:type="auto"/>
            <w:noWrap/>
            <w:vAlign w:val="bottom"/>
            <w:hideMark/>
          </w:tcPr>
          <w:p w:rsidR="009366C8" w:rsidRDefault="009366C8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2.531</w:t>
            </w:r>
          </w:p>
        </w:tc>
        <w:tc>
          <w:tcPr>
            <w:tcW w:w="0" w:type="auto"/>
            <w:vAlign w:val="bottom"/>
            <w:hideMark/>
          </w:tcPr>
          <w:p w:rsidR="009366C8" w:rsidRDefault="009366C8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Gallegoet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 xml:space="preserve"> al. (2014)</w:t>
            </w:r>
          </w:p>
        </w:tc>
      </w:tr>
      <w:tr w:rsidR="009366C8" w:rsidTr="009366C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6C8" w:rsidRDefault="009366C8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366C8" w:rsidRDefault="009366C8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GB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66C8" w:rsidRDefault="009366C8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366C8" w:rsidRDefault="009366C8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366C8" w:rsidRDefault="009366C8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366C8" w:rsidRDefault="009366C8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366C8" w:rsidRDefault="009366C8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6C8" w:rsidRDefault="009366C8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 xml:space="preserve">Melo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et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 xml:space="preserve"> al. (2014)</w:t>
            </w:r>
          </w:p>
        </w:tc>
      </w:tr>
    </w:tbl>
    <w:p w:rsidR="009366C8" w:rsidRDefault="009366C8" w:rsidP="009366C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GBV = glicerina bruta vegetal; GBM = glicerina bruta mista; GSPN = glicerina </w:t>
      </w:r>
      <w:proofErr w:type="spellStart"/>
      <w:r>
        <w:rPr>
          <w:rFonts w:ascii="Times New Roman" w:hAnsi="Times New Roman"/>
          <w:szCs w:val="24"/>
        </w:rPr>
        <w:t>semipurificada</w:t>
      </w:r>
      <w:proofErr w:type="spellEnd"/>
      <w:r>
        <w:rPr>
          <w:rFonts w:ascii="Times New Roman" w:hAnsi="Times New Roman"/>
          <w:szCs w:val="24"/>
        </w:rPr>
        <w:t xml:space="preserve"> neutralizada; GSV = glicerina </w:t>
      </w:r>
      <w:proofErr w:type="spellStart"/>
      <w:r>
        <w:rPr>
          <w:rFonts w:ascii="Times New Roman" w:hAnsi="Times New Roman"/>
          <w:szCs w:val="24"/>
        </w:rPr>
        <w:t>semipurificada</w:t>
      </w:r>
      <w:proofErr w:type="spellEnd"/>
      <w:r>
        <w:rPr>
          <w:rFonts w:ascii="Times New Roman" w:hAnsi="Times New Roman"/>
          <w:szCs w:val="24"/>
        </w:rPr>
        <w:t xml:space="preserve"> vegetal; GSM = glicerina </w:t>
      </w:r>
      <w:proofErr w:type="spellStart"/>
      <w:r>
        <w:rPr>
          <w:rFonts w:ascii="Times New Roman" w:hAnsi="Times New Roman"/>
          <w:szCs w:val="24"/>
        </w:rPr>
        <w:t>semipurificada</w:t>
      </w:r>
      <w:proofErr w:type="spellEnd"/>
      <w:r>
        <w:rPr>
          <w:rFonts w:ascii="Times New Roman" w:hAnsi="Times New Roman"/>
          <w:szCs w:val="24"/>
        </w:rPr>
        <w:t xml:space="preserve"> mista; GB = glicerina bruta; Na = Sódio; ED = energia digestível para suínos; EM = energia metabolizável para suínos.</w:t>
      </w:r>
      <w:r>
        <w:rPr>
          <w:rFonts w:ascii="Times New Roman" w:hAnsi="Times New Roman"/>
          <w:b/>
          <w:szCs w:val="24"/>
        </w:rPr>
        <w:br w:type="page"/>
      </w:r>
    </w:p>
    <w:p w:rsidR="009366C8" w:rsidRDefault="009366C8" w:rsidP="009366C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Tabela 2.</w:t>
      </w:r>
      <w:r>
        <w:rPr>
          <w:rFonts w:ascii="Times New Roman" w:hAnsi="Times New Roman"/>
          <w:szCs w:val="24"/>
        </w:rPr>
        <w:t xml:space="preserve"> Valores médios e variações observadas no </w:t>
      </w:r>
      <w:proofErr w:type="gramStart"/>
      <w:r>
        <w:rPr>
          <w:rFonts w:ascii="Times New Roman" w:hAnsi="Times New Roman"/>
          <w:szCs w:val="24"/>
        </w:rPr>
        <w:t>pH</w:t>
      </w:r>
      <w:proofErr w:type="gramEnd"/>
      <w:r>
        <w:rPr>
          <w:rFonts w:ascii="Times New Roman" w:hAnsi="Times New Roman"/>
          <w:szCs w:val="24"/>
        </w:rPr>
        <w:t xml:space="preserve"> e principais componentes da glicerina produzida em 16 usinas de Biodiesel do Brasil</w:t>
      </w:r>
    </w:p>
    <w:tbl>
      <w:tblPr>
        <w:tblW w:w="5000" w:type="pct"/>
        <w:jc w:val="center"/>
        <w:tblLook w:val="04A0"/>
      </w:tblPr>
      <w:tblGrid>
        <w:gridCol w:w="5025"/>
        <w:gridCol w:w="1465"/>
        <w:gridCol w:w="1200"/>
        <w:gridCol w:w="1030"/>
      </w:tblGrid>
      <w:tr w:rsidR="009366C8" w:rsidTr="009366C8">
        <w:trPr>
          <w:jc w:val="center"/>
        </w:trPr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366C8" w:rsidRDefault="009366C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Parâmetro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366C8" w:rsidRDefault="009366C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Média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366C8" w:rsidRDefault="009366C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Mínimo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366C8" w:rsidRDefault="009366C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Máximo</w:t>
            </w:r>
          </w:p>
        </w:tc>
      </w:tr>
      <w:tr w:rsidR="009366C8" w:rsidTr="009366C8">
        <w:trPr>
          <w:jc w:val="center"/>
        </w:trPr>
        <w:tc>
          <w:tcPr>
            <w:tcW w:w="288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366C8" w:rsidRDefault="009366C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Cs w:val="24"/>
                <w:lang w:eastAsia="en-US"/>
              </w:rPr>
              <w:t>Glicerol(</w:t>
            </w:r>
            <w:proofErr w:type="gramEnd"/>
            <w:r>
              <w:rPr>
                <w:rFonts w:ascii="Times New Roman" w:hAnsi="Times New Roman"/>
                <w:szCs w:val="24"/>
                <w:lang w:eastAsia="en-US"/>
              </w:rPr>
              <w:t>%)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366C8" w:rsidRDefault="009366C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74,4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366C8" w:rsidRDefault="009366C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30,4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366C8" w:rsidRDefault="009366C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90,1</w:t>
            </w:r>
          </w:p>
        </w:tc>
      </w:tr>
      <w:tr w:rsidR="009366C8" w:rsidTr="009366C8">
        <w:trPr>
          <w:jc w:val="center"/>
        </w:trPr>
        <w:tc>
          <w:tcPr>
            <w:tcW w:w="2882" w:type="pct"/>
            <w:hideMark/>
          </w:tcPr>
          <w:p w:rsidR="009366C8" w:rsidRDefault="009366C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Cs w:val="24"/>
                <w:lang w:eastAsia="en-US"/>
              </w:rPr>
              <w:t>Umidade(</w:t>
            </w:r>
            <w:proofErr w:type="gramEnd"/>
            <w:r>
              <w:rPr>
                <w:rFonts w:ascii="Times New Roman" w:hAnsi="Times New Roman"/>
                <w:szCs w:val="24"/>
                <w:lang w:eastAsia="en-US"/>
              </w:rPr>
              <w:t>%)</w:t>
            </w:r>
          </w:p>
        </w:tc>
        <w:tc>
          <w:tcPr>
            <w:tcW w:w="840" w:type="pct"/>
            <w:hideMark/>
          </w:tcPr>
          <w:p w:rsidR="009366C8" w:rsidRDefault="009366C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9,7</w:t>
            </w:r>
          </w:p>
        </w:tc>
        <w:tc>
          <w:tcPr>
            <w:tcW w:w="688" w:type="pct"/>
            <w:hideMark/>
          </w:tcPr>
          <w:p w:rsidR="009366C8" w:rsidRDefault="009366C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0,8</w:t>
            </w:r>
          </w:p>
        </w:tc>
        <w:tc>
          <w:tcPr>
            <w:tcW w:w="590" w:type="pct"/>
            <w:hideMark/>
          </w:tcPr>
          <w:p w:rsidR="009366C8" w:rsidRDefault="009366C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26,6</w:t>
            </w:r>
          </w:p>
        </w:tc>
      </w:tr>
      <w:tr w:rsidR="009366C8" w:rsidTr="009366C8">
        <w:trPr>
          <w:jc w:val="center"/>
        </w:trPr>
        <w:tc>
          <w:tcPr>
            <w:tcW w:w="2882" w:type="pct"/>
            <w:hideMark/>
          </w:tcPr>
          <w:p w:rsidR="009366C8" w:rsidRDefault="009366C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Lipídios </w:t>
            </w:r>
            <w:proofErr w:type="gramStart"/>
            <w:r>
              <w:rPr>
                <w:rFonts w:ascii="Times New Roman" w:hAnsi="Times New Roman"/>
                <w:szCs w:val="24"/>
                <w:lang w:eastAsia="en-US"/>
              </w:rPr>
              <w:t>Totais(</w:t>
            </w:r>
            <w:proofErr w:type="gramEnd"/>
            <w:r>
              <w:rPr>
                <w:rFonts w:ascii="Times New Roman" w:hAnsi="Times New Roman"/>
                <w:szCs w:val="24"/>
                <w:lang w:eastAsia="en-US"/>
              </w:rPr>
              <w:t>%)</w:t>
            </w:r>
          </w:p>
        </w:tc>
        <w:tc>
          <w:tcPr>
            <w:tcW w:w="840" w:type="pct"/>
            <w:hideMark/>
          </w:tcPr>
          <w:p w:rsidR="009366C8" w:rsidRDefault="009366C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7,8</w:t>
            </w:r>
          </w:p>
        </w:tc>
        <w:tc>
          <w:tcPr>
            <w:tcW w:w="688" w:type="pct"/>
            <w:hideMark/>
          </w:tcPr>
          <w:p w:rsidR="009366C8" w:rsidRDefault="009366C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Cs w:val="24"/>
                <w:lang w:eastAsia="en-US"/>
              </w:rPr>
              <w:t>0</w:t>
            </w:r>
            <w:proofErr w:type="gramEnd"/>
          </w:p>
        </w:tc>
        <w:tc>
          <w:tcPr>
            <w:tcW w:w="590" w:type="pct"/>
            <w:hideMark/>
          </w:tcPr>
          <w:p w:rsidR="009366C8" w:rsidRDefault="009366C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37,7</w:t>
            </w:r>
          </w:p>
        </w:tc>
      </w:tr>
      <w:tr w:rsidR="009366C8" w:rsidTr="009366C8">
        <w:trPr>
          <w:jc w:val="center"/>
        </w:trPr>
        <w:tc>
          <w:tcPr>
            <w:tcW w:w="2882" w:type="pct"/>
            <w:hideMark/>
          </w:tcPr>
          <w:p w:rsidR="009366C8" w:rsidRDefault="009366C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Cs w:val="24"/>
                <w:lang w:eastAsia="en-US"/>
              </w:rPr>
              <w:t>Cinzas(</w:t>
            </w:r>
            <w:proofErr w:type="gramEnd"/>
            <w:r>
              <w:rPr>
                <w:rFonts w:ascii="Times New Roman" w:hAnsi="Times New Roman"/>
                <w:szCs w:val="24"/>
                <w:lang w:eastAsia="en-US"/>
              </w:rPr>
              <w:t>%)</w:t>
            </w:r>
          </w:p>
        </w:tc>
        <w:tc>
          <w:tcPr>
            <w:tcW w:w="840" w:type="pct"/>
            <w:hideMark/>
          </w:tcPr>
          <w:p w:rsidR="009366C8" w:rsidRDefault="009366C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5,3</w:t>
            </w:r>
          </w:p>
        </w:tc>
        <w:tc>
          <w:tcPr>
            <w:tcW w:w="688" w:type="pct"/>
            <w:hideMark/>
          </w:tcPr>
          <w:p w:rsidR="009366C8" w:rsidRDefault="009366C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2,3</w:t>
            </w:r>
          </w:p>
        </w:tc>
        <w:tc>
          <w:tcPr>
            <w:tcW w:w="590" w:type="pct"/>
            <w:hideMark/>
          </w:tcPr>
          <w:p w:rsidR="009366C8" w:rsidRDefault="009366C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12,1</w:t>
            </w:r>
          </w:p>
        </w:tc>
      </w:tr>
      <w:tr w:rsidR="009366C8" w:rsidTr="009366C8">
        <w:trPr>
          <w:jc w:val="center"/>
        </w:trPr>
        <w:tc>
          <w:tcPr>
            <w:tcW w:w="2882" w:type="pct"/>
            <w:hideMark/>
          </w:tcPr>
          <w:p w:rsidR="009366C8" w:rsidRDefault="009366C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Cs w:val="24"/>
                <w:lang w:eastAsia="en-US"/>
              </w:rPr>
              <w:t>Sódio(</w:t>
            </w:r>
            <w:proofErr w:type="gramEnd"/>
            <w:r>
              <w:rPr>
                <w:rFonts w:ascii="Times New Roman" w:hAnsi="Times New Roman"/>
                <w:szCs w:val="24"/>
                <w:lang w:eastAsia="en-US"/>
              </w:rPr>
              <w:t>g kg-</w:t>
            </w:r>
            <w:r>
              <w:rPr>
                <w:rFonts w:ascii="Times New Roman" w:hAnsi="Times New Roman"/>
                <w:szCs w:val="24"/>
                <w:vertAlign w:val="superscript"/>
                <w:lang w:eastAsia="en-US"/>
              </w:rPr>
              <w:t>1</w:t>
            </w:r>
            <w:r>
              <w:rPr>
                <w:rFonts w:ascii="Times New Roman" w:hAnsi="Times New Roman"/>
                <w:szCs w:val="24"/>
                <w:lang w:eastAsia="en-US"/>
              </w:rPr>
              <w:t>)</w:t>
            </w:r>
          </w:p>
        </w:tc>
        <w:tc>
          <w:tcPr>
            <w:tcW w:w="840" w:type="pct"/>
            <w:hideMark/>
          </w:tcPr>
          <w:p w:rsidR="009366C8" w:rsidRDefault="009366C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20,8</w:t>
            </w:r>
          </w:p>
        </w:tc>
        <w:tc>
          <w:tcPr>
            <w:tcW w:w="688" w:type="pct"/>
            <w:hideMark/>
          </w:tcPr>
          <w:p w:rsidR="009366C8" w:rsidRDefault="009366C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6,1</w:t>
            </w:r>
          </w:p>
        </w:tc>
        <w:tc>
          <w:tcPr>
            <w:tcW w:w="590" w:type="pct"/>
            <w:hideMark/>
          </w:tcPr>
          <w:p w:rsidR="009366C8" w:rsidRDefault="009366C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28,2</w:t>
            </w:r>
          </w:p>
        </w:tc>
      </w:tr>
      <w:tr w:rsidR="009366C8" w:rsidTr="009366C8">
        <w:trPr>
          <w:jc w:val="center"/>
        </w:trPr>
        <w:tc>
          <w:tcPr>
            <w:tcW w:w="2882" w:type="pct"/>
            <w:hideMark/>
          </w:tcPr>
          <w:p w:rsidR="009366C8" w:rsidRDefault="009366C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Cs w:val="24"/>
                <w:lang w:eastAsia="en-US"/>
              </w:rPr>
              <w:t>Fósforo(</w:t>
            </w:r>
            <w:proofErr w:type="spellStart"/>
            <w:proofErr w:type="gramEnd"/>
            <w:r>
              <w:rPr>
                <w:rFonts w:ascii="Times New Roman" w:hAnsi="Times New Roman"/>
                <w:szCs w:val="24"/>
                <w:lang w:eastAsia="en-US"/>
              </w:rPr>
              <w:t>mg</w:t>
            </w:r>
            <w:proofErr w:type="spellEnd"/>
            <w:r>
              <w:rPr>
                <w:rFonts w:ascii="Times New Roman" w:hAnsi="Times New Roman"/>
                <w:szCs w:val="24"/>
                <w:lang w:eastAsia="en-US"/>
              </w:rPr>
              <w:t xml:space="preserve"> kg-</w:t>
            </w:r>
            <w:r>
              <w:rPr>
                <w:rFonts w:ascii="Times New Roman" w:hAnsi="Times New Roman"/>
                <w:szCs w:val="24"/>
                <w:vertAlign w:val="superscript"/>
                <w:lang w:eastAsia="en-US"/>
              </w:rPr>
              <w:t>1</w:t>
            </w:r>
            <w:r>
              <w:rPr>
                <w:rFonts w:ascii="Times New Roman" w:hAnsi="Times New Roman"/>
                <w:szCs w:val="24"/>
                <w:lang w:eastAsia="en-US"/>
              </w:rPr>
              <w:t>)</w:t>
            </w:r>
          </w:p>
        </w:tc>
        <w:tc>
          <w:tcPr>
            <w:tcW w:w="840" w:type="pct"/>
            <w:hideMark/>
          </w:tcPr>
          <w:p w:rsidR="009366C8" w:rsidRDefault="009366C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541</w:t>
            </w:r>
          </w:p>
        </w:tc>
        <w:tc>
          <w:tcPr>
            <w:tcW w:w="688" w:type="pct"/>
            <w:hideMark/>
          </w:tcPr>
          <w:p w:rsidR="009366C8" w:rsidRDefault="009366C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17</w:t>
            </w:r>
          </w:p>
        </w:tc>
        <w:tc>
          <w:tcPr>
            <w:tcW w:w="590" w:type="pct"/>
            <w:hideMark/>
          </w:tcPr>
          <w:p w:rsidR="009366C8" w:rsidRDefault="009366C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2.111</w:t>
            </w:r>
          </w:p>
        </w:tc>
      </w:tr>
      <w:tr w:rsidR="009366C8" w:rsidTr="009366C8">
        <w:trPr>
          <w:jc w:val="center"/>
        </w:trPr>
        <w:tc>
          <w:tcPr>
            <w:tcW w:w="2882" w:type="pct"/>
            <w:hideMark/>
          </w:tcPr>
          <w:p w:rsidR="009366C8" w:rsidRDefault="009366C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Cs w:val="24"/>
                <w:lang w:eastAsia="en-US"/>
              </w:rPr>
              <w:t>Cálcio(</w:t>
            </w:r>
            <w:proofErr w:type="spellStart"/>
            <w:proofErr w:type="gramEnd"/>
            <w:r>
              <w:rPr>
                <w:rFonts w:ascii="Times New Roman" w:hAnsi="Times New Roman"/>
                <w:szCs w:val="24"/>
                <w:lang w:eastAsia="en-US"/>
              </w:rPr>
              <w:t>mg</w:t>
            </w:r>
            <w:proofErr w:type="spellEnd"/>
            <w:r>
              <w:rPr>
                <w:rFonts w:ascii="Times New Roman" w:hAnsi="Times New Roman"/>
                <w:szCs w:val="24"/>
                <w:lang w:eastAsia="en-US"/>
              </w:rPr>
              <w:t xml:space="preserve"> kg-</w:t>
            </w:r>
            <w:r>
              <w:rPr>
                <w:rFonts w:ascii="Times New Roman" w:hAnsi="Times New Roman"/>
                <w:szCs w:val="24"/>
                <w:vertAlign w:val="superscript"/>
                <w:lang w:eastAsia="en-US"/>
              </w:rPr>
              <w:t>1</w:t>
            </w:r>
            <w:r>
              <w:rPr>
                <w:rFonts w:ascii="Times New Roman" w:hAnsi="Times New Roman"/>
                <w:szCs w:val="24"/>
                <w:lang w:eastAsia="en-US"/>
              </w:rPr>
              <w:t>)</w:t>
            </w:r>
          </w:p>
        </w:tc>
        <w:tc>
          <w:tcPr>
            <w:tcW w:w="840" w:type="pct"/>
            <w:hideMark/>
          </w:tcPr>
          <w:p w:rsidR="009366C8" w:rsidRDefault="009366C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36,2</w:t>
            </w:r>
          </w:p>
        </w:tc>
        <w:tc>
          <w:tcPr>
            <w:tcW w:w="688" w:type="pct"/>
            <w:hideMark/>
          </w:tcPr>
          <w:p w:rsidR="009366C8" w:rsidRDefault="009366C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Cs w:val="24"/>
                <w:lang w:eastAsia="en-US"/>
              </w:rPr>
              <w:t>0</w:t>
            </w:r>
            <w:proofErr w:type="gramEnd"/>
          </w:p>
        </w:tc>
        <w:tc>
          <w:tcPr>
            <w:tcW w:w="590" w:type="pct"/>
            <w:hideMark/>
          </w:tcPr>
          <w:p w:rsidR="009366C8" w:rsidRDefault="009366C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153</w:t>
            </w:r>
          </w:p>
        </w:tc>
      </w:tr>
      <w:tr w:rsidR="009366C8" w:rsidTr="009366C8">
        <w:trPr>
          <w:jc w:val="center"/>
        </w:trPr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66C8" w:rsidRDefault="009366C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Cs w:val="24"/>
                <w:lang w:eastAsia="en-US"/>
              </w:rPr>
              <w:t>pH</w:t>
            </w:r>
            <w:proofErr w:type="gramEnd"/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66C8" w:rsidRDefault="009366C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7,2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66C8" w:rsidRDefault="009366C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2,3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66C8" w:rsidRDefault="009366C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12,7</w:t>
            </w:r>
          </w:p>
        </w:tc>
      </w:tr>
    </w:tbl>
    <w:p w:rsidR="009366C8" w:rsidRDefault="009366C8" w:rsidP="009366C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Fonte: Adaptado de Oliveira </w:t>
      </w:r>
      <w:proofErr w:type="spellStart"/>
      <w:proofErr w:type="gramStart"/>
      <w:r>
        <w:rPr>
          <w:rFonts w:ascii="Times New Roman" w:hAnsi="Times New Roman"/>
          <w:szCs w:val="24"/>
        </w:rPr>
        <w:t>et</w:t>
      </w:r>
      <w:proofErr w:type="spellEnd"/>
      <w:proofErr w:type="gramEnd"/>
      <w:r>
        <w:rPr>
          <w:rFonts w:ascii="Times New Roman" w:hAnsi="Times New Roman"/>
          <w:szCs w:val="24"/>
        </w:rPr>
        <w:t xml:space="preserve"> al. (2013)</w:t>
      </w:r>
    </w:p>
    <w:p w:rsidR="00BD25BE" w:rsidRDefault="00BD25BE"/>
    <w:sectPr w:rsidR="00BD25BE" w:rsidSect="00BD25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0237F"/>
    <w:multiLevelType w:val="multilevel"/>
    <w:tmpl w:val="4C8869A4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2."/>
      <w:lvlJc w:val="left"/>
      <w:pPr>
        <w:tabs>
          <w:tab w:val="num" w:pos="576"/>
        </w:tabs>
        <w:snapToGrid w:val="0"/>
        <w:ind w:left="576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 w:val="2"/>
        <w:szCs w:val="2"/>
        <w:u w:val="none" w:color="000000"/>
        <w:effect w:val="none"/>
        <w:bdr w:val="none" w:sz="0" w:space="0" w:color="auto" w:frame="1"/>
        <w:shd w:val="clear" w:color="auto" w:fill="000000"/>
        <w:vertAlign w:val="baseline"/>
        <w:em w:val="none"/>
        <w:specVanish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66C8"/>
    <w:rsid w:val="001B7F7D"/>
    <w:rsid w:val="005719DB"/>
    <w:rsid w:val="008A69FC"/>
    <w:rsid w:val="009366C8"/>
    <w:rsid w:val="00BD25BE"/>
    <w:rsid w:val="00D12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6C8"/>
    <w:pPr>
      <w:spacing w:line="240" w:lineRule="auto"/>
      <w:ind w:left="0"/>
      <w:jc w:val="left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366C8"/>
    <w:pPr>
      <w:keepNext/>
      <w:numPr>
        <w:numId w:val="1"/>
      </w:numPr>
      <w:outlineLvl w:val="0"/>
    </w:pPr>
    <w:rPr>
      <w:rFonts w:ascii="Times New Roman" w:hAnsi="Times New Roman"/>
      <w:b/>
      <w:cap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366C8"/>
    <w:pPr>
      <w:keepNext/>
      <w:numPr>
        <w:ilvl w:val="1"/>
        <w:numId w:val="1"/>
      </w:numPr>
      <w:outlineLvl w:val="1"/>
    </w:pPr>
    <w:rPr>
      <w:rFonts w:ascii="Times New Roman" w:hAnsi="Times New Roma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366C8"/>
    <w:pPr>
      <w:keepNext/>
      <w:numPr>
        <w:ilvl w:val="2"/>
        <w:numId w:val="1"/>
      </w:numPr>
      <w:jc w:val="center"/>
      <w:outlineLvl w:val="2"/>
    </w:pPr>
    <w:rPr>
      <w:b/>
      <w:sz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9366C8"/>
    <w:pPr>
      <w:keepNext/>
      <w:numPr>
        <w:ilvl w:val="3"/>
        <w:numId w:val="1"/>
      </w:numPr>
      <w:spacing w:before="240" w:after="60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9366C8"/>
    <w:pPr>
      <w:numPr>
        <w:ilvl w:val="4"/>
        <w:numId w:val="1"/>
      </w:numPr>
      <w:spacing w:before="240" w:after="60"/>
      <w:outlineLvl w:val="4"/>
    </w:pPr>
    <w:rPr>
      <w:rFonts w:ascii="Times New Roman" w:hAnsi="Times New Roman"/>
      <w:sz w:val="22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9366C8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9366C8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366C8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9366C8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366C8"/>
    <w:rPr>
      <w:rFonts w:ascii="Times New Roman" w:eastAsia="Times New Roman" w:hAnsi="Times New Roman" w:cs="Times New Roman"/>
      <w:b/>
      <w:cap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9366C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9366C8"/>
    <w:rPr>
      <w:rFonts w:ascii="Arial" w:eastAsia="Times New Roman" w:hAnsi="Arial" w:cs="Times New Roman"/>
      <w:b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9366C8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9366C8"/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9366C8"/>
    <w:rPr>
      <w:rFonts w:ascii="Times New Roman" w:eastAsia="Times New Roman" w:hAnsi="Times New Roman" w:cs="Times New Roman"/>
      <w:i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9366C8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9366C8"/>
    <w:rPr>
      <w:rFonts w:ascii="Arial" w:eastAsia="Times New Roman" w:hAnsi="Arial" w:cs="Times New Roman"/>
      <w:i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9366C8"/>
    <w:rPr>
      <w:rFonts w:ascii="Arial" w:eastAsia="Times New Roman" w:hAnsi="Arial" w:cs="Times New Roman"/>
      <w:b/>
      <w:i/>
      <w:sz w:val="1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6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66C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2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237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Usuário</cp:lastModifiedBy>
  <cp:revision>2</cp:revision>
  <dcterms:created xsi:type="dcterms:W3CDTF">2016-06-14T14:54:00Z</dcterms:created>
  <dcterms:modified xsi:type="dcterms:W3CDTF">2016-06-14T14:54:00Z</dcterms:modified>
</cp:coreProperties>
</file>