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7E8B" w:rsidRDefault="00F47CD9" w:rsidP="00F47CD9">
      <w:pPr>
        <w:tabs>
          <w:tab w:val="left" w:pos="1134"/>
        </w:tabs>
        <w:spacing w:after="60"/>
        <w:jc w:val="center"/>
        <w:rPr>
          <w:rFonts w:ascii="Garamond" w:hAnsi="Garamond" w:cs="Times New Roman"/>
          <w:b/>
          <w:color w:val="231F20"/>
        </w:rPr>
      </w:pPr>
      <w:r>
        <w:rPr>
          <w:rFonts w:ascii="Garamond" w:hAnsi="Garamond" w:cs="Times New Roman"/>
          <w:b/>
          <w:color w:val="231F20"/>
        </w:rPr>
        <w:t xml:space="preserve">ILUSTRAÇÕES UTILIZADAS NO TEXTO: </w:t>
      </w:r>
    </w:p>
    <w:p w:rsidR="00F47CD9" w:rsidRPr="00B23800" w:rsidRDefault="00F47CD9" w:rsidP="00F47CD9">
      <w:pPr>
        <w:tabs>
          <w:tab w:val="left" w:pos="1134"/>
        </w:tabs>
        <w:spacing w:after="60"/>
        <w:jc w:val="center"/>
        <w:rPr>
          <w:rFonts w:ascii="Garamond" w:hAnsi="Garamond"/>
          <w:b/>
        </w:rPr>
      </w:pPr>
      <w:r w:rsidRPr="00B23800">
        <w:rPr>
          <w:rFonts w:ascii="Garamond" w:hAnsi="Garamond"/>
          <w:b/>
        </w:rPr>
        <w:t>A CONSTRUÇÃO DOS SENTIDOS EM ANÚNCIOS PUBLICITÁRIOS: ATIVIDADES DE LEITURA REALIZADAS COM ALUNOS DE PÓS-GRADUAÇÃO STRICTO SENSU</w:t>
      </w:r>
    </w:p>
    <w:p w:rsidR="00F47CD9" w:rsidRDefault="00F47CD9" w:rsidP="00C42B91">
      <w:pPr>
        <w:ind w:firstLine="1134"/>
        <w:rPr>
          <w:rFonts w:ascii="Garamond" w:hAnsi="Garamond" w:cs="Times New Roman"/>
          <w:b/>
          <w:color w:val="231F20"/>
        </w:rPr>
      </w:pPr>
    </w:p>
    <w:p w:rsidR="00F47CD9" w:rsidRDefault="00F47CD9" w:rsidP="00C42B91">
      <w:pPr>
        <w:ind w:firstLine="1134"/>
        <w:rPr>
          <w:rFonts w:ascii="Garamond" w:hAnsi="Garamond" w:cs="Times New Roman"/>
          <w:b/>
          <w:color w:val="231F20"/>
        </w:rPr>
      </w:pPr>
    </w:p>
    <w:p w:rsidR="00C42B91" w:rsidRDefault="00C42B91" w:rsidP="00C42B91">
      <w:pPr>
        <w:ind w:firstLine="1134"/>
        <w:rPr>
          <w:rFonts w:ascii="Garamond" w:hAnsi="Garamond" w:cs="Times New Roman"/>
          <w:color w:val="231F20"/>
        </w:rPr>
      </w:pPr>
      <w:r w:rsidRPr="002A5A33">
        <w:rPr>
          <w:rFonts w:ascii="Garamond" w:hAnsi="Garamond" w:cs="Times New Roman"/>
          <w:b/>
          <w:color w:val="231F20"/>
        </w:rPr>
        <w:t>Quadro 1</w:t>
      </w:r>
      <w:r w:rsidRPr="000C2D98">
        <w:rPr>
          <w:rFonts w:ascii="Garamond" w:hAnsi="Garamond" w:cs="Times New Roman"/>
          <w:color w:val="231F20"/>
        </w:rPr>
        <w:t xml:space="preserve">- Operadores argumentativos </w:t>
      </w:r>
    </w:p>
    <w:p w:rsidR="00C42B91" w:rsidRDefault="00C42B91" w:rsidP="00C42B91">
      <w:pPr>
        <w:ind w:firstLine="1134"/>
        <w:rPr>
          <w:rFonts w:ascii="Garamond" w:hAnsi="Garamond" w:cs="Times New Roman"/>
          <w:color w:val="231F20"/>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52"/>
      </w:tblGrid>
      <w:tr w:rsidR="00C42B91" w:rsidRPr="000C2D98" w:rsidTr="00D52CC5">
        <w:tc>
          <w:tcPr>
            <w:tcW w:w="7252" w:type="dxa"/>
          </w:tcPr>
          <w:p w:rsidR="00C42B91" w:rsidRPr="0059124E" w:rsidRDefault="00C42B91" w:rsidP="00D52CC5">
            <w:pPr>
              <w:spacing w:line="240" w:lineRule="auto"/>
              <w:jc w:val="both"/>
              <w:rPr>
                <w:rFonts w:ascii="Garamond" w:hAnsi="Garamond" w:cs="Times New Roman"/>
                <w:sz w:val="22"/>
                <w:szCs w:val="22"/>
              </w:rPr>
            </w:pPr>
            <w:r w:rsidRPr="0059124E">
              <w:rPr>
                <w:rFonts w:ascii="Garamond" w:hAnsi="Garamond" w:cs="Times New Roman"/>
                <w:b/>
                <w:sz w:val="22"/>
                <w:szCs w:val="22"/>
              </w:rPr>
              <w:t>Adição</w:t>
            </w:r>
            <w:r w:rsidRPr="0059124E">
              <w:rPr>
                <w:rFonts w:ascii="Garamond" w:hAnsi="Garamond" w:cs="Times New Roman"/>
                <w:sz w:val="22"/>
                <w:szCs w:val="22"/>
              </w:rPr>
              <w:t>: e, também, ainda, nem, etc. (Somam argumentos a favor de uma mesma conclusão).</w:t>
            </w:r>
          </w:p>
        </w:tc>
      </w:tr>
      <w:tr w:rsidR="00C42B91" w:rsidRPr="000C2D98" w:rsidTr="00D52CC5">
        <w:tc>
          <w:tcPr>
            <w:tcW w:w="7252" w:type="dxa"/>
          </w:tcPr>
          <w:p w:rsidR="00C42B91" w:rsidRPr="0059124E" w:rsidRDefault="00C42B91" w:rsidP="00D52CC5">
            <w:pPr>
              <w:spacing w:line="240" w:lineRule="auto"/>
              <w:jc w:val="both"/>
              <w:rPr>
                <w:rFonts w:ascii="Garamond" w:hAnsi="Garamond" w:cs="Times New Roman"/>
                <w:sz w:val="22"/>
                <w:szCs w:val="22"/>
              </w:rPr>
            </w:pPr>
            <w:r w:rsidRPr="0059124E">
              <w:rPr>
                <w:rFonts w:ascii="Garamond" w:hAnsi="Garamond" w:cs="Times New Roman"/>
                <w:b/>
                <w:sz w:val="22"/>
                <w:szCs w:val="22"/>
              </w:rPr>
              <w:t>Finalidade</w:t>
            </w:r>
            <w:r w:rsidRPr="0059124E">
              <w:rPr>
                <w:rFonts w:ascii="Garamond" w:hAnsi="Garamond" w:cs="Times New Roman"/>
                <w:sz w:val="22"/>
                <w:szCs w:val="22"/>
              </w:rPr>
              <w:t>: a fim, a fim de que, com o intuito de, para, para que, com o objetivo de, etc. (Indicam uma relação de finalidade).</w:t>
            </w:r>
          </w:p>
        </w:tc>
      </w:tr>
      <w:tr w:rsidR="00C42B91" w:rsidRPr="000C2D98" w:rsidTr="00D52CC5">
        <w:tc>
          <w:tcPr>
            <w:tcW w:w="7252" w:type="dxa"/>
          </w:tcPr>
          <w:p w:rsidR="00C42B91" w:rsidRPr="0059124E" w:rsidRDefault="00C42B91" w:rsidP="00D52CC5">
            <w:pPr>
              <w:spacing w:line="240" w:lineRule="auto"/>
              <w:jc w:val="both"/>
              <w:rPr>
                <w:rFonts w:ascii="Garamond" w:hAnsi="Garamond" w:cs="Times New Roman"/>
                <w:sz w:val="22"/>
                <w:szCs w:val="22"/>
              </w:rPr>
            </w:pPr>
            <w:r w:rsidRPr="0059124E">
              <w:rPr>
                <w:rFonts w:ascii="Garamond" w:hAnsi="Garamond" w:cs="Times New Roman"/>
                <w:b/>
                <w:sz w:val="22"/>
                <w:szCs w:val="22"/>
              </w:rPr>
              <w:t>Causa e Consequência</w:t>
            </w:r>
            <w:r w:rsidRPr="0059124E">
              <w:rPr>
                <w:rFonts w:ascii="Garamond" w:hAnsi="Garamond" w:cs="Times New Roman"/>
                <w:sz w:val="22"/>
                <w:szCs w:val="22"/>
              </w:rPr>
              <w:t xml:space="preserve">: porque, pois, visto que, já que, em virtude de, uma vez que, devido a, por motivo de, graças a, em razão de, em decorrência de, por causa de, como, por isso que, etc. (Iniciam uma oração subordinada </w:t>
            </w:r>
            <w:proofErr w:type="spellStart"/>
            <w:r w:rsidRPr="0059124E">
              <w:rPr>
                <w:rFonts w:ascii="Garamond" w:hAnsi="Garamond" w:cs="Times New Roman"/>
                <w:sz w:val="22"/>
                <w:szCs w:val="22"/>
              </w:rPr>
              <w:t>denotadora</w:t>
            </w:r>
            <w:proofErr w:type="spellEnd"/>
            <w:r w:rsidRPr="0059124E">
              <w:rPr>
                <w:rFonts w:ascii="Garamond" w:hAnsi="Garamond" w:cs="Times New Roman"/>
                <w:sz w:val="22"/>
                <w:szCs w:val="22"/>
              </w:rPr>
              <w:t xml:space="preserve"> de causa).</w:t>
            </w:r>
          </w:p>
        </w:tc>
      </w:tr>
      <w:tr w:rsidR="00C42B91" w:rsidRPr="000C2D98" w:rsidTr="00D52CC5">
        <w:tc>
          <w:tcPr>
            <w:tcW w:w="7252" w:type="dxa"/>
          </w:tcPr>
          <w:p w:rsidR="00C42B91" w:rsidRPr="0059124E" w:rsidRDefault="00C42B91" w:rsidP="00D52CC5">
            <w:pPr>
              <w:spacing w:line="240" w:lineRule="auto"/>
              <w:jc w:val="both"/>
              <w:rPr>
                <w:rFonts w:ascii="Garamond" w:hAnsi="Garamond" w:cs="Times New Roman"/>
                <w:sz w:val="22"/>
                <w:szCs w:val="22"/>
              </w:rPr>
            </w:pPr>
            <w:r w:rsidRPr="0059124E">
              <w:rPr>
                <w:rFonts w:ascii="Garamond" w:hAnsi="Garamond" w:cs="Times New Roman"/>
                <w:b/>
                <w:sz w:val="22"/>
                <w:szCs w:val="22"/>
              </w:rPr>
              <w:t>Explicação</w:t>
            </w:r>
            <w:r w:rsidRPr="0059124E">
              <w:rPr>
                <w:rFonts w:ascii="Garamond" w:hAnsi="Garamond" w:cs="Times New Roman"/>
                <w:sz w:val="22"/>
                <w:szCs w:val="22"/>
              </w:rPr>
              <w:t xml:space="preserve">: porque, pois, já que, etc. (Introduzem uma justificativa ou explicativa relativa ao enunciado anterior). </w:t>
            </w:r>
          </w:p>
        </w:tc>
      </w:tr>
      <w:tr w:rsidR="00C42B91" w:rsidRPr="000C2D98" w:rsidTr="00D52CC5">
        <w:tc>
          <w:tcPr>
            <w:tcW w:w="7252" w:type="dxa"/>
          </w:tcPr>
          <w:p w:rsidR="00C42B91" w:rsidRPr="0059124E" w:rsidRDefault="00C42B91" w:rsidP="00D52CC5">
            <w:pPr>
              <w:spacing w:line="240" w:lineRule="auto"/>
              <w:jc w:val="both"/>
              <w:rPr>
                <w:rFonts w:ascii="Garamond" w:hAnsi="Garamond" w:cs="Times New Roman"/>
                <w:sz w:val="22"/>
                <w:szCs w:val="22"/>
              </w:rPr>
            </w:pPr>
            <w:r w:rsidRPr="0059124E">
              <w:rPr>
                <w:rFonts w:ascii="Garamond" w:hAnsi="Garamond" w:cs="Times New Roman"/>
                <w:b/>
                <w:sz w:val="22"/>
                <w:szCs w:val="22"/>
              </w:rPr>
              <w:t>Oposição</w:t>
            </w:r>
            <w:r w:rsidRPr="0059124E">
              <w:rPr>
                <w:rFonts w:ascii="Garamond" w:hAnsi="Garamond" w:cs="Times New Roman"/>
                <w:sz w:val="22"/>
                <w:szCs w:val="22"/>
              </w:rPr>
              <w:t>: mas, porém, contudo, todavia, entretanto, no entanto, embora, muito embora, apesar de, não obstante, ao contrário, etc. (Contrapõem argumentos voltados para conclusões contrárias).</w:t>
            </w:r>
          </w:p>
        </w:tc>
      </w:tr>
      <w:tr w:rsidR="00C42B91" w:rsidRPr="000C2D98" w:rsidTr="00D52CC5">
        <w:tc>
          <w:tcPr>
            <w:tcW w:w="7252" w:type="dxa"/>
          </w:tcPr>
          <w:p w:rsidR="00C42B91" w:rsidRPr="0059124E" w:rsidRDefault="00C42B91" w:rsidP="00D52CC5">
            <w:pPr>
              <w:spacing w:line="240" w:lineRule="auto"/>
              <w:jc w:val="both"/>
              <w:rPr>
                <w:rFonts w:ascii="Garamond" w:hAnsi="Garamond" w:cs="Times New Roman"/>
                <w:sz w:val="22"/>
                <w:szCs w:val="22"/>
              </w:rPr>
            </w:pPr>
            <w:r w:rsidRPr="0059124E">
              <w:rPr>
                <w:rFonts w:ascii="Garamond" w:hAnsi="Garamond" w:cs="Times New Roman"/>
                <w:b/>
                <w:sz w:val="22"/>
                <w:szCs w:val="22"/>
              </w:rPr>
              <w:t>Condição</w:t>
            </w:r>
            <w:r w:rsidRPr="0059124E">
              <w:rPr>
                <w:rFonts w:ascii="Garamond" w:hAnsi="Garamond" w:cs="Times New Roman"/>
                <w:sz w:val="22"/>
                <w:szCs w:val="22"/>
              </w:rPr>
              <w:t xml:space="preserve">: caso, se, contando que, a não ser que, a menos que, desde que, etc. (Indicam uma hipótese ou uma condição necessária para a realização ou não de um fato). </w:t>
            </w:r>
          </w:p>
        </w:tc>
      </w:tr>
      <w:tr w:rsidR="00C42B91" w:rsidRPr="000C2D98" w:rsidTr="00D52CC5">
        <w:tc>
          <w:tcPr>
            <w:tcW w:w="7252" w:type="dxa"/>
          </w:tcPr>
          <w:p w:rsidR="00C42B91" w:rsidRPr="0059124E" w:rsidRDefault="00C42B91" w:rsidP="00D52CC5">
            <w:pPr>
              <w:spacing w:line="240" w:lineRule="auto"/>
              <w:jc w:val="both"/>
              <w:rPr>
                <w:rFonts w:ascii="Garamond" w:hAnsi="Garamond" w:cs="Times New Roman"/>
                <w:sz w:val="22"/>
                <w:szCs w:val="22"/>
              </w:rPr>
            </w:pPr>
            <w:r w:rsidRPr="0059124E">
              <w:rPr>
                <w:rFonts w:ascii="Garamond" w:hAnsi="Garamond" w:cs="Times New Roman"/>
                <w:b/>
                <w:sz w:val="22"/>
                <w:szCs w:val="22"/>
              </w:rPr>
              <w:t>Tempo</w:t>
            </w:r>
            <w:r w:rsidRPr="0059124E">
              <w:rPr>
                <w:rFonts w:ascii="Garamond" w:hAnsi="Garamond" w:cs="Times New Roman"/>
                <w:sz w:val="22"/>
                <w:szCs w:val="22"/>
              </w:rPr>
              <w:t>: quando, em pouco tempo, em muito tempo, logo que, assim que, antes que, depois que, sempre que, etc. (Indicam uma circunstância de tempo).</w:t>
            </w:r>
          </w:p>
        </w:tc>
      </w:tr>
      <w:tr w:rsidR="00C42B91" w:rsidRPr="000C2D98" w:rsidTr="00D52CC5">
        <w:tc>
          <w:tcPr>
            <w:tcW w:w="7252" w:type="dxa"/>
          </w:tcPr>
          <w:p w:rsidR="00C42B91" w:rsidRPr="0059124E" w:rsidRDefault="00C42B91" w:rsidP="00D52CC5">
            <w:pPr>
              <w:spacing w:line="240" w:lineRule="auto"/>
              <w:jc w:val="both"/>
              <w:rPr>
                <w:rFonts w:ascii="Garamond" w:hAnsi="Garamond" w:cs="Times New Roman"/>
                <w:sz w:val="22"/>
                <w:szCs w:val="22"/>
              </w:rPr>
            </w:pPr>
            <w:r w:rsidRPr="0059124E">
              <w:rPr>
                <w:rFonts w:ascii="Garamond" w:hAnsi="Garamond" w:cs="Times New Roman"/>
                <w:b/>
                <w:sz w:val="22"/>
                <w:szCs w:val="22"/>
              </w:rPr>
              <w:t>Proporção</w:t>
            </w:r>
            <w:r w:rsidRPr="0059124E">
              <w:rPr>
                <w:rFonts w:ascii="Garamond" w:hAnsi="Garamond" w:cs="Times New Roman"/>
                <w:sz w:val="22"/>
                <w:szCs w:val="22"/>
              </w:rPr>
              <w:t>: à medida que, à proporção que, ao passo que, tanto quanto, tanto mais, etc. (Iniciam uma oração que se refere a um fato realizado ou para realizar-se simultaneamente a outro).</w:t>
            </w:r>
          </w:p>
        </w:tc>
      </w:tr>
      <w:tr w:rsidR="00C42B91" w:rsidRPr="000C2D98" w:rsidTr="00D52CC5">
        <w:tc>
          <w:tcPr>
            <w:tcW w:w="7252" w:type="dxa"/>
          </w:tcPr>
          <w:p w:rsidR="00C42B91" w:rsidRPr="0059124E" w:rsidRDefault="00C42B91" w:rsidP="00D52CC5">
            <w:pPr>
              <w:spacing w:line="240" w:lineRule="auto"/>
              <w:jc w:val="both"/>
              <w:rPr>
                <w:rFonts w:ascii="Garamond" w:hAnsi="Garamond" w:cs="Times New Roman"/>
                <w:sz w:val="22"/>
                <w:szCs w:val="22"/>
              </w:rPr>
            </w:pPr>
            <w:r w:rsidRPr="0059124E">
              <w:rPr>
                <w:rFonts w:ascii="Garamond" w:hAnsi="Garamond" w:cs="Times New Roman"/>
                <w:b/>
                <w:sz w:val="22"/>
                <w:szCs w:val="22"/>
              </w:rPr>
              <w:t>Conformidade</w:t>
            </w:r>
            <w:r w:rsidRPr="0059124E">
              <w:rPr>
                <w:rFonts w:ascii="Garamond" w:hAnsi="Garamond" w:cs="Times New Roman"/>
                <w:sz w:val="22"/>
                <w:szCs w:val="22"/>
              </w:rPr>
              <w:t xml:space="preserve">: conforme, para, segundo, de acordo com, como, etc. (Exprimem uma ideia de conformidade ou acordo em relação a um fato expresso na oração principal). </w:t>
            </w:r>
          </w:p>
        </w:tc>
      </w:tr>
      <w:tr w:rsidR="00C42B91" w:rsidRPr="000C2D98" w:rsidTr="00D52CC5">
        <w:tc>
          <w:tcPr>
            <w:tcW w:w="7252" w:type="dxa"/>
          </w:tcPr>
          <w:p w:rsidR="00C42B91" w:rsidRPr="0059124E" w:rsidRDefault="00C42B91" w:rsidP="00D52CC5">
            <w:pPr>
              <w:spacing w:line="240" w:lineRule="auto"/>
              <w:jc w:val="both"/>
              <w:rPr>
                <w:rFonts w:ascii="Garamond" w:hAnsi="Garamond" w:cs="Times New Roman"/>
                <w:sz w:val="22"/>
                <w:szCs w:val="22"/>
              </w:rPr>
            </w:pPr>
            <w:r w:rsidRPr="0059124E">
              <w:rPr>
                <w:rFonts w:ascii="Garamond" w:hAnsi="Garamond" w:cs="Times New Roman"/>
                <w:b/>
                <w:sz w:val="22"/>
                <w:szCs w:val="22"/>
              </w:rPr>
              <w:t>Conclusão</w:t>
            </w:r>
            <w:r w:rsidRPr="0059124E">
              <w:rPr>
                <w:rFonts w:ascii="Garamond" w:hAnsi="Garamond" w:cs="Times New Roman"/>
                <w:sz w:val="22"/>
                <w:szCs w:val="22"/>
              </w:rPr>
              <w:t xml:space="preserve">: portanto, então, assim, logo, por isso, por conseguinte, pois — posposto ao verbo —, de modo que, em vista disso, etc. (Introduzem uma conclusão relacionada a argumentos apresentados anteriormente). </w:t>
            </w:r>
          </w:p>
        </w:tc>
      </w:tr>
      <w:tr w:rsidR="00C42B91" w:rsidRPr="000C2D98" w:rsidTr="00D52CC5">
        <w:tc>
          <w:tcPr>
            <w:tcW w:w="7252" w:type="dxa"/>
          </w:tcPr>
          <w:p w:rsidR="00C42B91" w:rsidRPr="0059124E" w:rsidRDefault="00C42B91" w:rsidP="00D52CC5">
            <w:pPr>
              <w:spacing w:line="240" w:lineRule="auto"/>
              <w:jc w:val="both"/>
              <w:rPr>
                <w:rFonts w:ascii="Garamond" w:hAnsi="Garamond" w:cs="Times New Roman"/>
                <w:sz w:val="22"/>
                <w:szCs w:val="22"/>
              </w:rPr>
            </w:pPr>
            <w:r w:rsidRPr="0059124E">
              <w:rPr>
                <w:rFonts w:ascii="Garamond" w:hAnsi="Garamond" w:cs="Times New Roman"/>
                <w:b/>
                <w:sz w:val="22"/>
                <w:szCs w:val="22"/>
              </w:rPr>
              <w:t>Alternância</w:t>
            </w:r>
            <w:r w:rsidRPr="0059124E">
              <w:rPr>
                <w:rFonts w:ascii="Garamond" w:hAnsi="Garamond" w:cs="Times New Roman"/>
                <w:sz w:val="22"/>
                <w:szCs w:val="22"/>
              </w:rPr>
              <w:t xml:space="preserve">: ou, ou... ou, ou então, quer...quer, seja...seja, ora...ora, etc. (Introduzem argumentos alternativos, levando a conclusões opostas ou diferentes). </w:t>
            </w:r>
          </w:p>
        </w:tc>
      </w:tr>
      <w:tr w:rsidR="00C42B91" w:rsidRPr="000C2D98" w:rsidTr="00D52CC5">
        <w:tc>
          <w:tcPr>
            <w:tcW w:w="7252" w:type="dxa"/>
          </w:tcPr>
          <w:p w:rsidR="00C42B91" w:rsidRPr="0059124E" w:rsidRDefault="00C42B91" w:rsidP="00D52CC5">
            <w:pPr>
              <w:spacing w:line="240" w:lineRule="auto"/>
              <w:jc w:val="both"/>
              <w:rPr>
                <w:rFonts w:ascii="Garamond" w:hAnsi="Garamond" w:cs="Times New Roman"/>
                <w:sz w:val="22"/>
                <w:szCs w:val="22"/>
              </w:rPr>
            </w:pPr>
            <w:r w:rsidRPr="0059124E">
              <w:rPr>
                <w:rFonts w:ascii="Garamond" w:hAnsi="Garamond" w:cs="Times New Roman"/>
                <w:b/>
                <w:sz w:val="22"/>
                <w:szCs w:val="22"/>
              </w:rPr>
              <w:t>Comparação</w:t>
            </w:r>
            <w:r w:rsidRPr="0059124E">
              <w:rPr>
                <w:rFonts w:ascii="Garamond" w:hAnsi="Garamond" w:cs="Times New Roman"/>
                <w:sz w:val="22"/>
                <w:szCs w:val="22"/>
              </w:rPr>
              <w:t xml:space="preserve">: como, mais...[do] que, menos que, tão[tanto]... como, tão [tanto, tal]... quanto, assim como, etc. (Estabelecem relações de comparação entre elementos). </w:t>
            </w:r>
          </w:p>
        </w:tc>
      </w:tr>
      <w:tr w:rsidR="00C42B91" w:rsidRPr="000C2D98" w:rsidTr="00D52CC5">
        <w:tc>
          <w:tcPr>
            <w:tcW w:w="7252" w:type="dxa"/>
          </w:tcPr>
          <w:p w:rsidR="00C42B91" w:rsidRPr="0059124E" w:rsidRDefault="00C42B91" w:rsidP="00D52CC5">
            <w:pPr>
              <w:spacing w:line="240" w:lineRule="auto"/>
              <w:jc w:val="both"/>
              <w:rPr>
                <w:rFonts w:ascii="Garamond" w:hAnsi="Garamond" w:cs="Times New Roman"/>
                <w:sz w:val="22"/>
                <w:szCs w:val="22"/>
              </w:rPr>
            </w:pPr>
            <w:r w:rsidRPr="0059124E">
              <w:rPr>
                <w:rFonts w:ascii="Garamond" w:hAnsi="Garamond" w:cs="Times New Roman"/>
                <w:b/>
                <w:sz w:val="22"/>
                <w:szCs w:val="22"/>
              </w:rPr>
              <w:t>Esclarecimento</w:t>
            </w:r>
            <w:r w:rsidRPr="0059124E">
              <w:rPr>
                <w:rFonts w:ascii="Garamond" w:hAnsi="Garamond" w:cs="Times New Roman"/>
                <w:sz w:val="22"/>
                <w:szCs w:val="22"/>
              </w:rPr>
              <w:t xml:space="preserve">: ou seja, quer dizer, vale dizer, etc. (Introduzem um enunciado que esclarece o anterior. </w:t>
            </w:r>
          </w:p>
        </w:tc>
      </w:tr>
      <w:tr w:rsidR="00C42B91" w:rsidRPr="000C2D98" w:rsidTr="00D52CC5">
        <w:tc>
          <w:tcPr>
            <w:tcW w:w="7252" w:type="dxa"/>
          </w:tcPr>
          <w:p w:rsidR="00C42B91" w:rsidRPr="0059124E" w:rsidRDefault="00C42B91" w:rsidP="00D52CC5">
            <w:pPr>
              <w:spacing w:line="240" w:lineRule="auto"/>
              <w:jc w:val="both"/>
              <w:rPr>
                <w:rFonts w:ascii="Garamond" w:hAnsi="Garamond" w:cs="Times New Roman"/>
                <w:sz w:val="22"/>
                <w:szCs w:val="22"/>
              </w:rPr>
            </w:pPr>
            <w:r w:rsidRPr="0059124E">
              <w:rPr>
                <w:rFonts w:ascii="Garamond" w:hAnsi="Garamond" w:cs="Times New Roman"/>
                <w:b/>
                <w:sz w:val="22"/>
                <w:szCs w:val="22"/>
              </w:rPr>
              <w:t>Inclusão</w:t>
            </w:r>
            <w:r w:rsidRPr="0059124E">
              <w:rPr>
                <w:rFonts w:ascii="Garamond" w:hAnsi="Garamond" w:cs="Times New Roman"/>
                <w:sz w:val="22"/>
                <w:szCs w:val="22"/>
              </w:rPr>
              <w:t xml:space="preserve">: Até mesmo, até, mesmo, inclusão, também, etc. (Assinalam o argumento mais forte, orientando no sentido de uma determinada conclusão). </w:t>
            </w:r>
          </w:p>
        </w:tc>
      </w:tr>
      <w:tr w:rsidR="00C42B91" w:rsidRPr="000C2D98" w:rsidTr="00D52CC5">
        <w:tc>
          <w:tcPr>
            <w:tcW w:w="7252" w:type="dxa"/>
          </w:tcPr>
          <w:p w:rsidR="00C42B91" w:rsidRPr="0059124E" w:rsidRDefault="00C42B91" w:rsidP="00D52CC5">
            <w:pPr>
              <w:spacing w:line="240" w:lineRule="auto"/>
              <w:jc w:val="both"/>
              <w:rPr>
                <w:rFonts w:ascii="Garamond" w:hAnsi="Garamond" w:cs="Times New Roman"/>
                <w:sz w:val="22"/>
                <w:szCs w:val="22"/>
              </w:rPr>
            </w:pPr>
            <w:r w:rsidRPr="0059124E">
              <w:rPr>
                <w:rFonts w:ascii="Garamond" w:hAnsi="Garamond" w:cs="Times New Roman"/>
                <w:b/>
                <w:sz w:val="22"/>
                <w:szCs w:val="22"/>
              </w:rPr>
              <w:t>Exclusão</w:t>
            </w:r>
            <w:r w:rsidRPr="0059124E">
              <w:rPr>
                <w:rFonts w:ascii="Garamond" w:hAnsi="Garamond" w:cs="Times New Roman"/>
                <w:sz w:val="22"/>
                <w:szCs w:val="22"/>
              </w:rPr>
              <w:t>: somente, só, apenas, senão, etc. (Indicam uma relação de exclusão entre duas orações).</w:t>
            </w:r>
          </w:p>
        </w:tc>
      </w:tr>
    </w:tbl>
    <w:p w:rsidR="00C42B91" w:rsidRPr="000C2D98" w:rsidRDefault="00C42B91" w:rsidP="00C42B91">
      <w:pPr>
        <w:ind w:left="2280" w:hanging="2280"/>
        <w:jc w:val="both"/>
        <w:rPr>
          <w:rFonts w:ascii="Garamond" w:hAnsi="Garamond" w:cs="Times New Roman"/>
          <w:sz w:val="20"/>
          <w:szCs w:val="20"/>
          <w:lang w:val="en-US"/>
        </w:rPr>
      </w:pPr>
      <w:r w:rsidRPr="00B23800">
        <w:rPr>
          <w:rFonts w:ascii="Garamond" w:hAnsi="Garamond" w:cs="Times New Roman"/>
          <w:b/>
          <w:sz w:val="20"/>
          <w:szCs w:val="20"/>
        </w:rPr>
        <w:t xml:space="preserve">                        </w:t>
      </w:r>
      <w:proofErr w:type="spellStart"/>
      <w:r w:rsidRPr="000C2D98">
        <w:rPr>
          <w:rFonts w:ascii="Garamond" w:hAnsi="Garamond" w:cs="Times New Roman"/>
          <w:b/>
          <w:sz w:val="20"/>
          <w:szCs w:val="20"/>
          <w:lang w:val="en-US"/>
        </w:rPr>
        <w:t>Fonte</w:t>
      </w:r>
      <w:proofErr w:type="spellEnd"/>
      <w:r w:rsidRPr="000C2D98">
        <w:rPr>
          <w:rFonts w:ascii="Garamond" w:hAnsi="Garamond" w:cs="Times New Roman"/>
          <w:sz w:val="20"/>
          <w:szCs w:val="20"/>
          <w:lang w:val="en-US"/>
        </w:rPr>
        <w:t xml:space="preserve">: </w:t>
      </w:r>
      <w:proofErr w:type="spellStart"/>
      <w:r w:rsidRPr="000C2D98">
        <w:rPr>
          <w:rFonts w:ascii="Garamond" w:hAnsi="Garamond" w:cs="Times New Roman"/>
          <w:sz w:val="20"/>
          <w:szCs w:val="20"/>
          <w:lang w:val="en-US"/>
        </w:rPr>
        <w:t>Köche</w:t>
      </w:r>
      <w:proofErr w:type="spellEnd"/>
      <w:r w:rsidRPr="000C2D98">
        <w:rPr>
          <w:rFonts w:ascii="Garamond" w:hAnsi="Garamond" w:cs="Times New Roman"/>
          <w:sz w:val="20"/>
          <w:szCs w:val="20"/>
          <w:lang w:val="en-US"/>
        </w:rPr>
        <w:t xml:space="preserve">; </w:t>
      </w:r>
      <w:proofErr w:type="spellStart"/>
      <w:r w:rsidRPr="000C2D98">
        <w:rPr>
          <w:rFonts w:ascii="Garamond" w:hAnsi="Garamond" w:cs="Times New Roman"/>
          <w:sz w:val="20"/>
          <w:szCs w:val="20"/>
          <w:lang w:val="en-US"/>
        </w:rPr>
        <w:t>Boff</w:t>
      </w:r>
      <w:proofErr w:type="spellEnd"/>
      <w:r w:rsidRPr="000C2D98">
        <w:rPr>
          <w:rFonts w:ascii="Garamond" w:hAnsi="Garamond" w:cs="Times New Roman"/>
          <w:sz w:val="20"/>
          <w:szCs w:val="20"/>
          <w:lang w:val="en-US"/>
        </w:rPr>
        <w:t xml:space="preserve">; </w:t>
      </w:r>
      <w:proofErr w:type="spellStart"/>
      <w:r w:rsidRPr="000C2D98">
        <w:rPr>
          <w:rFonts w:ascii="Garamond" w:hAnsi="Garamond" w:cs="Times New Roman"/>
          <w:sz w:val="20"/>
          <w:szCs w:val="20"/>
          <w:lang w:val="en-US"/>
        </w:rPr>
        <w:t>Marinello</w:t>
      </w:r>
      <w:proofErr w:type="spellEnd"/>
      <w:r w:rsidRPr="000C2D98">
        <w:rPr>
          <w:rFonts w:ascii="Garamond" w:hAnsi="Garamond" w:cs="Times New Roman"/>
          <w:sz w:val="20"/>
          <w:szCs w:val="20"/>
          <w:lang w:val="en-US"/>
        </w:rPr>
        <w:t xml:space="preserve"> (2010, p.103-105). </w:t>
      </w:r>
    </w:p>
    <w:p w:rsidR="00C42B91" w:rsidRPr="000C2D98" w:rsidRDefault="00C42B91" w:rsidP="00DA2FE6">
      <w:pPr>
        <w:spacing w:after="60"/>
        <w:ind w:left="2280" w:hanging="2280"/>
        <w:rPr>
          <w:rFonts w:ascii="Garamond" w:hAnsi="Garamond" w:cs="Times New Roman"/>
          <w:b/>
          <w:szCs w:val="20"/>
          <w:lang w:val="en-US"/>
        </w:rPr>
      </w:pPr>
    </w:p>
    <w:p w:rsidR="00DA2FE6" w:rsidRDefault="00C42B91" w:rsidP="00DA2FE6">
      <w:pPr>
        <w:tabs>
          <w:tab w:val="left" w:pos="1134"/>
        </w:tabs>
        <w:spacing w:after="60" w:line="240" w:lineRule="auto"/>
        <w:ind w:firstLine="1134"/>
        <w:rPr>
          <w:rFonts w:ascii="Garamond" w:hAnsi="Garamond" w:cs="Times New Roman"/>
          <w:sz w:val="22"/>
        </w:rPr>
      </w:pPr>
      <w:r w:rsidRPr="000C2D98">
        <w:rPr>
          <w:rFonts w:ascii="Garamond" w:hAnsi="Garamond" w:cs="Times New Roman"/>
          <w:b/>
          <w:sz w:val="22"/>
        </w:rPr>
        <w:lastRenderedPageBreak/>
        <w:t>Gráfico 1:</w:t>
      </w:r>
      <w:r w:rsidR="00CD0DE7">
        <w:rPr>
          <w:rFonts w:ascii="Garamond" w:hAnsi="Garamond" w:cs="Times New Roman"/>
          <w:b/>
          <w:sz w:val="22"/>
        </w:rPr>
        <w:t xml:space="preserve"> </w:t>
      </w:r>
      <w:r w:rsidRPr="000C2D98">
        <w:rPr>
          <w:rFonts w:ascii="Garamond" w:hAnsi="Garamond" w:cs="Times New Roman"/>
          <w:sz w:val="22"/>
        </w:rPr>
        <w:t xml:space="preserve">Idade e sexo dos sujeitos investigados. </w:t>
      </w:r>
    </w:p>
    <w:p w:rsidR="00DA2FE6" w:rsidRDefault="00DA2FE6" w:rsidP="00DA2FE6">
      <w:pPr>
        <w:tabs>
          <w:tab w:val="left" w:pos="1134"/>
        </w:tabs>
        <w:spacing w:after="60" w:line="240" w:lineRule="auto"/>
        <w:ind w:firstLine="1134"/>
        <w:rPr>
          <w:rFonts w:ascii="Garamond" w:hAnsi="Garamond" w:cs="Times New Roman"/>
          <w:sz w:val="22"/>
        </w:rPr>
      </w:pPr>
    </w:p>
    <w:p w:rsidR="00C42B91" w:rsidRPr="000C2D98" w:rsidRDefault="00B23800" w:rsidP="00DA2FE6">
      <w:pPr>
        <w:tabs>
          <w:tab w:val="left" w:pos="1134"/>
        </w:tabs>
        <w:spacing w:after="60" w:line="240" w:lineRule="auto"/>
        <w:ind w:firstLine="1134"/>
        <w:rPr>
          <w:rFonts w:ascii="Garamond" w:hAnsi="Garamond" w:cs="Times New Roman"/>
          <w:sz w:val="22"/>
        </w:rPr>
      </w:pPr>
      <w:r>
        <w:rPr>
          <w:rFonts w:ascii="Garamond" w:hAnsi="Garamond" w:cs="Times New Roman"/>
          <w:b/>
          <w:noProof/>
          <w:color w:val="FF0000"/>
          <w:sz w:val="22"/>
        </w:rPr>
        <w:drawing>
          <wp:inline distT="0" distB="0" distL="0" distR="0">
            <wp:extent cx="4182110" cy="1788795"/>
            <wp:effectExtent l="0" t="0" r="0" b="0"/>
            <wp:docPr id="1" name="Objet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C42B91" w:rsidRPr="00F936A8" w:rsidRDefault="00C42B91" w:rsidP="00C42B91">
      <w:pPr>
        <w:spacing w:after="60" w:line="240" w:lineRule="auto"/>
        <w:ind w:firstLine="1134"/>
        <w:rPr>
          <w:rFonts w:ascii="Garamond" w:hAnsi="Garamond" w:cs="Times New Roman"/>
          <w:sz w:val="20"/>
          <w:szCs w:val="20"/>
        </w:rPr>
      </w:pPr>
      <w:r w:rsidRPr="00F936A8">
        <w:rPr>
          <w:rFonts w:ascii="Garamond" w:hAnsi="Garamond" w:cs="Times New Roman"/>
          <w:b/>
          <w:sz w:val="20"/>
          <w:szCs w:val="20"/>
        </w:rPr>
        <w:t>Fonte</w:t>
      </w:r>
      <w:r w:rsidRPr="00F936A8">
        <w:rPr>
          <w:rFonts w:ascii="Garamond" w:hAnsi="Garamond" w:cs="Times New Roman"/>
          <w:sz w:val="20"/>
          <w:szCs w:val="20"/>
        </w:rPr>
        <w:t>: Dados da pesquisa elaborados pelas autoras.</w:t>
      </w:r>
    </w:p>
    <w:p w:rsidR="00C42B91" w:rsidRDefault="00C42B91" w:rsidP="00C42B91">
      <w:pPr>
        <w:spacing w:after="60"/>
        <w:ind w:firstLine="1134"/>
        <w:jc w:val="both"/>
        <w:rPr>
          <w:rFonts w:ascii="Garamond" w:hAnsi="Garamond" w:cs="Times New Roman"/>
        </w:rPr>
      </w:pPr>
    </w:p>
    <w:p w:rsidR="00D5064B" w:rsidRDefault="00D5064B" w:rsidP="00D5064B">
      <w:pPr>
        <w:spacing w:after="60" w:line="240" w:lineRule="auto"/>
        <w:ind w:firstLine="1134"/>
        <w:rPr>
          <w:rFonts w:ascii="Garamond" w:hAnsi="Garamond" w:cs="Times New Roman"/>
        </w:rPr>
      </w:pPr>
      <w:r w:rsidRPr="00B31B94">
        <w:rPr>
          <w:rFonts w:ascii="Garamond" w:hAnsi="Garamond" w:cs="Times New Roman"/>
          <w:b/>
        </w:rPr>
        <w:t>Gráfico 2:</w:t>
      </w:r>
      <w:r w:rsidRPr="00B31B94">
        <w:rPr>
          <w:rFonts w:ascii="Garamond" w:hAnsi="Garamond" w:cs="Times New Roman"/>
        </w:rPr>
        <w:t xml:space="preserve"> Tempo de formação dos sujeitos investigados. </w:t>
      </w:r>
    </w:p>
    <w:p w:rsidR="00D5064B" w:rsidRPr="00B31B94" w:rsidRDefault="00D5064B" w:rsidP="00D5064B">
      <w:pPr>
        <w:spacing w:after="60" w:line="240" w:lineRule="auto"/>
        <w:ind w:firstLine="1134"/>
        <w:rPr>
          <w:rFonts w:ascii="Garamond" w:hAnsi="Garamond" w:cs="Times New Roman"/>
        </w:rPr>
      </w:pPr>
    </w:p>
    <w:p w:rsidR="00D5064B" w:rsidRPr="000C2D98" w:rsidRDefault="00B23800" w:rsidP="00D5064B">
      <w:pPr>
        <w:spacing w:after="60" w:line="240" w:lineRule="auto"/>
        <w:ind w:firstLine="1134"/>
        <w:rPr>
          <w:rFonts w:ascii="Garamond" w:hAnsi="Garamond" w:cs="Times New Roman"/>
        </w:rPr>
      </w:pPr>
      <w:r>
        <w:rPr>
          <w:rFonts w:ascii="Garamond" w:hAnsi="Garamond" w:cs="Times New Roman"/>
          <w:noProof/>
        </w:rPr>
        <w:drawing>
          <wp:inline distT="0" distB="0" distL="0" distR="0">
            <wp:extent cx="4277995" cy="2011680"/>
            <wp:effectExtent l="0" t="0" r="0" b="0"/>
            <wp:docPr id="2" name="Objet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D5064B" w:rsidRPr="000C2D98" w:rsidRDefault="00D5064B" w:rsidP="00D5064B">
      <w:pPr>
        <w:spacing w:after="60"/>
        <w:ind w:firstLine="1134"/>
        <w:rPr>
          <w:rFonts w:ascii="Garamond" w:hAnsi="Garamond" w:cs="Times New Roman"/>
          <w:sz w:val="20"/>
          <w:szCs w:val="20"/>
        </w:rPr>
      </w:pPr>
      <w:r w:rsidRPr="000C2D98">
        <w:rPr>
          <w:rFonts w:ascii="Garamond" w:hAnsi="Garamond" w:cs="Times New Roman"/>
          <w:sz w:val="20"/>
          <w:szCs w:val="20"/>
        </w:rPr>
        <w:t>Fonte: Dados da pesquisa elaborados pelas autoras.</w:t>
      </w:r>
    </w:p>
    <w:p w:rsidR="00D5064B" w:rsidRDefault="00D5064B" w:rsidP="00D5064B">
      <w:pPr>
        <w:spacing w:after="60"/>
        <w:ind w:firstLine="1134"/>
        <w:jc w:val="both"/>
        <w:rPr>
          <w:rFonts w:ascii="Garamond" w:hAnsi="Garamond" w:cs="Times New Roman"/>
        </w:rPr>
      </w:pPr>
    </w:p>
    <w:p w:rsidR="00D5064B" w:rsidRPr="00B31B94" w:rsidRDefault="00D5064B" w:rsidP="00D5064B">
      <w:pPr>
        <w:spacing w:after="60" w:line="240" w:lineRule="auto"/>
        <w:ind w:firstLine="1134"/>
        <w:rPr>
          <w:rFonts w:ascii="Garamond" w:hAnsi="Garamond" w:cs="Times New Roman"/>
        </w:rPr>
      </w:pPr>
      <w:r w:rsidRPr="00B31B94">
        <w:rPr>
          <w:rFonts w:ascii="Garamond" w:hAnsi="Garamond" w:cs="Times New Roman"/>
          <w:b/>
        </w:rPr>
        <w:t>Gráfico 3:</w:t>
      </w:r>
      <w:r w:rsidRPr="00B31B94">
        <w:rPr>
          <w:rFonts w:ascii="Garamond" w:hAnsi="Garamond" w:cs="Times New Roman"/>
        </w:rPr>
        <w:t xml:space="preserve"> Áreas de formação. </w:t>
      </w:r>
    </w:p>
    <w:p w:rsidR="00D5064B" w:rsidRPr="000C2D98" w:rsidRDefault="00D5064B" w:rsidP="00D5064B">
      <w:pPr>
        <w:spacing w:after="60" w:line="240" w:lineRule="auto"/>
        <w:ind w:firstLine="1134"/>
        <w:rPr>
          <w:rFonts w:ascii="Garamond" w:hAnsi="Garamond" w:cs="Times New Roman"/>
          <w:sz w:val="20"/>
        </w:rPr>
      </w:pPr>
    </w:p>
    <w:p w:rsidR="00D5064B" w:rsidRPr="000C2D98" w:rsidRDefault="00B23800" w:rsidP="00D5064B">
      <w:pPr>
        <w:ind w:firstLine="1134"/>
        <w:rPr>
          <w:rFonts w:ascii="Garamond" w:hAnsi="Garamond" w:cs="Times New Roman"/>
        </w:rPr>
      </w:pPr>
      <w:r>
        <w:rPr>
          <w:rFonts w:ascii="Garamond" w:hAnsi="Garamond" w:cs="Times New Roman"/>
          <w:noProof/>
        </w:rPr>
        <w:drawing>
          <wp:inline distT="0" distB="0" distL="0" distR="0">
            <wp:extent cx="4158615" cy="1948180"/>
            <wp:effectExtent l="0" t="0" r="0" b="0"/>
            <wp:docPr id="3" name="Objet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5064B" w:rsidRPr="000C2D98" w:rsidRDefault="00D5064B" w:rsidP="00D5064B">
      <w:pPr>
        <w:spacing w:after="60" w:line="240" w:lineRule="auto"/>
        <w:ind w:firstLine="1134"/>
        <w:rPr>
          <w:rFonts w:ascii="Garamond" w:hAnsi="Garamond" w:cs="Times New Roman"/>
          <w:sz w:val="20"/>
          <w:szCs w:val="20"/>
        </w:rPr>
      </w:pPr>
      <w:r w:rsidRPr="000C2D98">
        <w:rPr>
          <w:rFonts w:ascii="Garamond" w:hAnsi="Garamond" w:cs="Times New Roman"/>
          <w:sz w:val="20"/>
          <w:szCs w:val="20"/>
        </w:rPr>
        <w:t>Fonte: Dados da pesquisa elaborados pelas autoras.</w:t>
      </w:r>
    </w:p>
    <w:p w:rsidR="00C42B91" w:rsidRDefault="00C42B91"/>
    <w:p w:rsidR="00D5064B" w:rsidRDefault="00D5064B"/>
    <w:p w:rsidR="00D5064B" w:rsidRDefault="00D5064B" w:rsidP="00D5064B">
      <w:pPr>
        <w:spacing w:after="60"/>
        <w:ind w:firstLine="1134"/>
        <w:rPr>
          <w:rFonts w:ascii="Garamond" w:hAnsi="Garamond" w:cs="Times New Roman"/>
        </w:rPr>
      </w:pPr>
      <w:r w:rsidRPr="000C2D98">
        <w:rPr>
          <w:rFonts w:ascii="Garamond" w:hAnsi="Garamond" w:cs="Times New Roman"/>
          <w:b/>
          <w:color w:val="333333"/>
        </w:rPr>
        <w:lastRenderedPageBreak/>
        <w:t>Figura 1</w:t>
      </w:r>
      <w:r w:rsidRPr="000C2D98">
        <w:rPr>
          <w:rFonts w:ascii="Garamond" w:hAnsi="Garamond" w:cs="Times New Roman"/>
          <w:color w:val="333333"/>
        </w:rPr>
        <w:t>-</w:t>
      </w:r>
      <w:r w:rsidRPr="000C2D98">
        <w:rPr>
          <w:rFonts w:ascii="Garamond" w:hAnsi="Garamond" w:cs="Times New Roman"/>
          <w:b/>
          <w:color w:val="333333"/>
        </w:rPr>
        <w:t xml:space="preserve"> </w:t>
      </w:r>
      <w:r w:rsidRPr="000C2D98">
        <w:rPr>
          <w:rFonts w:ascii="Garamond" w:hAnsi="Garamond" w:cs="Times New Roman"/>
          <w:color w:val="333333"/>
        </w:rPr>
        <w:t>Brasileiros preocupam-se mais com questões sociais, do que com meio</w:t>
      </w:r>
      <w:r>
        <w:rPr>
          <w:rFonts w:ascii="Garamond" w:hAnsi="Garamond" w:cs="Times New Roman"/>
          <w:color w:val="333333"/>
        </w:rPr>
        <w:t xml:space="preserve"> ambiente.</w:t>
      </w:r>
    </w:p>
    <w:p w:rsidR="00D5064B" w:rsidRPr="0066673B" w:rsidRDefault="00B23800" w:rsidP="00D5064B">
      <w:pPr>
        <w:spacing w:after="60"/>
        <w:ind w:left="1134"/>
        <w:rPr>
          <w:rFonts w:ascii="Garamond" w:hAnsi="Garamond" w:cs="Times New Roman"/>
          <w:sz w:val="20"/>
          <w:szCs w:val="20"/>
        </w:rPr>
      </w:pPr>
      <w:r>
        <w:rPr>
          <w:noProof/>
        </w:rPr>
        <w:drawing>
          <wp:inline distT="0" distB="0" distL="0" distR="0">
            <wp:extent cx="5041265" cy="2966085"/>
            <wp:effectExtent l="19050" t="0" r="6985" b="0"/>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9"/>
                    <a:srcRect/>
                    <a:stretch>
                      <a:fillRect/>
                    </a:stretch>
                  </pic:blipFill>
                  <pic:spPr bwMode="auto">
                    <a:xfrm>
                      <a:off x="0" y="0"/>
                      <a:ext cx="5041265" cy="2966085"/>
                    </a:xfrm>
                    <a:prstGeom prst="rect">
                      <a:avLst/>
                    </a:prstGeom>
                    <a:noFill/>
                    <a:ln w="9525">
                      <a:noFill/>
                      <a:miter lim="800000"/>
                      <a:headEnd/>
                      <a:tailEnd/>
                    </a:ln>
                  </pic:spPr>
                </pic:pic>
              </a:graphicData>
            </a:graphic>
          </wp:inline>
        </w:drawing>
      </w:r>
      <w:r w:rsidR="00D5064B">
        <w:rPr>
          <w:rFonts w:ascii="Garamond" w:hAnsi="Garamond" w:cs="Times New Roman"/>
          <w:color w:val="333333"/>
        </w:rPr>
        <w:t xml:space="preserve">                          </w:t>
      </w:r>
      <w:r w:rsidR="00D5064B" w:rsidRPr="003F4126">
        <w:rPr>
          <w:rFonts w:ascii="Garamond" w:hAnsi="Garamond" w:cs="Times New Roman"/>
          <w:b/>
          <w:color w:val="333333"/>
          <w:sz w:val="20"/>
          <w:szCs w:val="20"/>
        </w:rPr>
        <w:t>Fonte</w:t>
      </w:r>
      <w:r w:rsidR="00D5064B" w:rsidRPr="0066673B">
        <w:rPr>
          <w:rFonts w:ascii="Garamond" w:hAnsi="Garamond" w:cs="Times New Roman"/>
          <w:color w:val="333333"/>
          <w:sz w:val="20"/>
          <w:szCs w:val="20"/>
        </w:rPr>
        <w:t xml:space="preserve">: </w:t>
      </w:r>
      <w:r w:rsidR="00D5064B" w:rsidRPr="0066673B">
        <w:rPr>
          <w:rFonts w:ascii="Garamond" w:hAnsi="Garamond" w:cs="Times New Roman"/>
          <w:sz w:val="20"/>
          <w:szCs w:val="20"/>
        </w:rPr>
        <w:t xml:space="preserve">Programa Água Brasil (2012, p.1).  </w:t>
      </w:r>
    </w:p>
    <w:p w:rsidR="00F47CD9" w:rsidRDefault="00F47CD9" w:rsidP="00F47CD9">
      <w:pPr>
        <w:pStyle w:val="PargrafodaLista"/>
        <w:tabs>
          <w:tab w:val="left" w:pos="1456"/>
        </w:tabs>
        <w:spacing w:after="60"/>
        <w:ind w:left="0" w:firstLine="1134"/>
        <w:jc w:val="both"/>
        <w:rPr>
          <w:rFonts w:ascii="Garamond" w:hAnsi="Garamond" w:cs="Times New Roman"/>
          <w:b/>
        </w:rPr>
      </w:pPr>
    </w:p>
    <w:p w:rsidR="00F47CD9" w:rsidRDefault="00F47CD9" w:rsidP="00F47CD9">
      <w:pPr>
        <w:pStyle w:val="PargrafodaLista"/>
        <w:tabs>
          <w:tab w:val="left" w:pos="1456"/>
        </w:tabs>
        <w:spacing w:after="60"/>
        <w:ind w:left="0" w:firstLine="1134"/>
        <w:jc w:val="both"/>
        <w:rPr>
          <w:rFonts w:ascii="Garamond" w:hAnsi="Garamond" w:cs="Times New Roman"/>
        </w:rPr>
      </w:pPr>
      <w:r w:rsidRPr="000C2D98">
        <w:rPr>
          <w:rFonts w:ascii="Garamond" w:hAnsi="Garamond" w:cs="Times New Roman"/>
          <w:b/>
        </w:rPr>
        <w:t>Figura 2</w:t>
      </w:r>
      <w:r w:rsidRPr="000C2D98">
        <w:rPr>
          <w:rFonts w:ascii="Garamond" w:hAnsi="Garamond" w:cs="Times New Roman"/>
        </w:rPr>
        <w:t xml:space="preserve">- Coca-Cola Brasil lança campanha da </w:t>
      </w:r>
      <w:proofErr w:type="spellStart"/>
      <w:r w:rsidRPr="000C2D98">
        <w:rPr>
          <w:rFonts w:ascii="Garamond" w:hAnsi="Garamond" w:cs="Times New Roman"/>
        </w:rPr>
        <w:t>PlantBottle</w:t>
      </w:r>
      <w:proofErr w:type="spellEnd"/>
      <w:r w:rsidRPr="000C2D98">
        <w:rPr>
          <w:rFonts w:ascii="Garamond" w:hAnsi="Garamond" w:cs="Times New Roman"/>
        </w:rPr>
        <w:t xml:space="preserve">. </w:t>
      </w:r>
    </w:p>
    <w:p w:rsidR="00F47CD9" w:rsidRPr="000C2D98" w:rsidRDefault="00B23800" w:rsidP="00F47CD9">
      <w:pPr>
        <w:spacing w:after="60"/>
        <w:ind w:firstLine="1134"/>
        <w:jc w:val="both"/>
        <w:rPr>
          <w:rFonts w:ascii="Garamond" w:hAnsi="Garamond" w:cs="Times New Roman"/>
        </w:rPr>
      </w:pPr>
      <w:r>
        <w:rPr>
          <w:rFonts w:ascii="Garamond" w:hAnsi="Garamond" w:cs="Times New Roman"/>
          <w:noProof/>
        </w:rPr>
        <w:drawing>
          <wp:inline distT="0" distB="0" distL="0" distR="0">
            <wp:extent cx="4969510" cy="3133090"/>
            <wp:effectExtent l="19050" t="0" r="2540" b="0"/>
            <wp:docPr id="5"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3"/>
                    <pic:cNvPicPr>
                      <a:picLocks noChangeArrowheads="1"/>
                    </pic:cNvPicPr>
                  </pic:nvPicPr>
                  <pic:blipFill>
                    <a:blip r:embed="rId10"/>
                    <a:srcRect/>
                    <a:stretch>
                      <a:fillRect/>
                    </a:stretch>
                  </pic:blipFill>
                  <pic:spPr bwMode="auto">
                    <a:xfrm>
                      <a:off x="0" y="0"/>
                      <a:ext cx="4969510" cy="3133090"/>
                    </a:xfrm>
                    <a:prstGeom prst="rect">
                      <a:avLst/>
                    </a:prstGeom>
                    <a:noFill/>
                    <a:ln w="9525">
                      <a:noFill/>
                      <a:miter lim="800000"/>
                      <a:headEnd/>
                      <a:tailEnd/>
                    </a:ln>
                  </pic:spPr>
                </pic:pic>
              </a:graphicData>
            </a:graphic>
          </wp:inline>
        </w:drawing>
      </w:r>
    </w:p>
    <w:p w:rsidR="00F47CD9" w:rsidRPr="000C2D98" w:rsidRDefault="00F47CD9" w:rsidP="00F47CD9">
      <w:pPr>
        <w:spacing w:after="60" w:line="240" w:lineRule="auto"/>
        <w:ind w:left="1134"/>
        <w:rPr>
          <w:rFonts w:ascii="Garamond" w:hAnsi="Garamond" w:cs="Times New Roman"/>
          <w:kern w:val="24"/>
          <w:sz w:val="20"/>
          <w:szCs w:val="20"/>
        </w:rPr>
      </w:pPr>
      <w:r w:rsidRPr="007E718C">
        <w:rPr>
          <w:rFonts w:ascii="Garamond" w:hAnsi="Garamond" w:cs="Times New Roman"/>
          <w:b/>
          <w:kern w:val="24"/>
          <w:sz w:val="20"/>
          <w:szCs w:val="20"/>
        </w:rPr>
        <w:t>Fonte</w:t>
      </w:r>
      <w:r w:rsidRPr="000C2D98">
        <w:rPr>
          <w:rFonts w:ascii="Garamond" w:hAnsi="Garamond" w:cs="Times New Roman"/>
          <w:kern w:val="24"/>
          <w:sz w:val="20"/>
          <w:szCs w:val="20"/>
        </w:rPr>
        <w:t xml:space="preserve">:  </w:t>
      </w:r>
      <w:proofErr w:type="spellStart"/>
      <w:r w:rsidRPr="000C2D98">
        <w:rPr>
          <w:rFonts w:ascii="Garamond" w:hAnsi="Garamond" w:cs="Times New Roman"/>
          <w:snapToGrid w:val="0"/>
          <w:sz w:val="20"/>
          <w:szCs w:val="20"/>
        </w:rPr>
        <w:t>Bioé</w:t>
      </w:r>
      <w:proofErr w:type="spellEnd"/>
      <w:r w:rsidRPr="000C2D98">
        <w:rPr>
          <w:rFonts w:ascii="Garamond" w:hAnsi="Garamond" w:cs="Times New Roman"/>
          <w:snapToGrid w:val="0"/>
          <w:sz w:val="20"/>
          <w:szCs w:val="20"/>
        </w:rPr>
        <w:t xml:space="preserve"> produtos orgânicos (2010, p.1).</w:t>
      </w:r>
    </w:p>
    <w:p w:rsidR="00D5064B" w:rsidRDefault="00D5064B"/>
    <w:sectPr w:rsidR="00D5064B">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1393" w:rsidRDefault="00701393" w:rsidP="000C7E8B">
      <w:pPr>
        <w:spacing w:line="240" w:lineRule="auto"/>
      </w:pPr>
      <w:r>
        <w:separator/>
      </w:r>
    </w:p>
  </w:endnote>
  <w:endnote w:type="continuationSeparator" w:id="0">
    <w:p w:rsidR="00701393" w:rsidRDefault="00701393" w:rsidP="000C7E8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1393" w:rsidRDefault="00701393" w:rsidP="000C7E8B">
      <w:pPr>
        <w:spacing w:line="240" w:lineRule="auto"/>
      </w:pPr>
      <w:r>
        <w:separator/>
      </w:r>
    </w:p>
  </w:footnote>
  <w:footnote w:type="continuationSeparator" w:id="0">
    <w:p w:rsidR="00701393" w:rsidRDefault="00701393" w:rsidP="000C7E8B">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425"/>
  <w:characterSpacingControl w:val="doNotCompress"/>
  <w:footnotePr>
    <w:footnote w:id="-1"/>
    <w:footnote w:id="0"/>
  </w:footnotePr>
  <w:endnotePr>
    <w:endnote w:id="-1"/>
    <w:endnote w:id="0"/>
  </w:endnotePr>
  <w:compat/>
  <w:rsids>
    <w:rsidRoot w:val="00C42B91"/>
    <w:rsid w:val="000C2D98"/>
    <w:rsid w:val="000C7E8B"/>
    <w:rsid w:val="002107B8"/>
    <w:rsid w:val="002A5A33"/>
    <w:rsid w:val="003F4126"/>
    <w:rsid w:val="004D7CA4"/>
    <w:rsid w:val="0059124E"/>
    <w:rsid w:val="0066673B"/>
    <w:rsid w:val="00701393"/>
    <w:rsid w:val="007E718C"/>
    <w:rsid w:val="00831FBF"/>
    <w:rsid w:val="00900FA3"/>
    <w:rsid w:val="00A23832"/>
    <w:rsid w:val="00B11FDB"/>
    <w:rsid w:val="00B1678B"/>
    <w:rsid w:val="00B23800"/>
    <w:rsid w:val="00B31B94"/>
    <w:rsid w:val="00B57FE3"/>
    <w:rsid w:val="00C42B91"/>
    <w:rsid w:val="00CD0DE7"/>
    <w:rsid w:val="00D5064B"/>
    <w:rsid w:val="00D52CC5"/>
    <w:rsid w:val="00DA2FE6"/>
    <w:rsid w:val="00E629AB"/>
    <w:rsid w:val="00F47CD9"/>
    <w:rsid w:val="00F52F00"/>
    <w:rsid w:val="00F936A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B91"/>
    <w:pPr>
      <w:spacing w:after="0" w:line="360" w:lineRule="auto"/>
    </w:pPr>
    <w:rPr>
      <w:rFonts w:ascii="Arial" w:hAnsi="Arial" w:cs="Arial"/>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C42B91"/>
    <w:pPr>
      <w:ind w:left="720"/>
      <w:contextualSpacing/>
    </w:pPr>
  </w:style>
  <w:style w:type="character" w:styleId="Hyperlink">
    <w:name w:val="Hyperlink"/>
    <w:basedOn w:val="Fontepargpadro"/>
    <w:uiPriority w:val="99"/>
    <w:rsid w:val="000C7E8B"/>
    <w:rPr>
      <w:rFonts w:ascii="Times New Roman" w:hAnsi="Times New Roman" w:cs="Times New Roman"/>
      <w:color w:val="0000FF"/>
      <w:u w:val="single"/>
    </w:rPr>
  </w:style>
  <w:style w:type="character" w:styleId="Refdenotaderodap">
    <w:name w:val="footnote reference"/>
    <w:basedOn w:val="Fontepargpadro"/>
    <w:uiPriority w:val="99"/>
    <w:unhideWhenUsed/>
    <w:rsid w:val="000C7E8B"/>
    <w:rPr>
      <w:rFonts w:cs="Times New Roman"/>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3" Type="http://schemas.openxmlformats.org/officeDocument/2006/relationships/webSettings" Target="webSettings.xml"/><Relationship Id="rId7" Type="http://schemas.openxmlformats.org/officeDocument/2006/relationships/chart" Target="charts/chart2.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Pasta_de_Trabalho_do_Microsoft_Office_Excel_2007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Pasta_de_Trabalho_do_Microsoft_Office_Excel_2007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Pasta_de_Trabalho_do_Microsoft_Office_Excel_20073.xlsx"/></Relationships>
</file>

<file path=word/charts/chart1.xml><?xml version="1.0" encoding="utf-8"?>
<c:chartSpace xmlns:c="http://schemas.openxmlformats.org/drawingml/2006/chart" xmlns:a="http://schemas.openxmlformats.org/drawingml/2006/main" xmlns:r="http://schemas.openxmlformats.org/officeDocument/2006/relationships">
  <c:lang val="pt-BR"/>
  <c:chart>
    <c:autoTitleDeleted val="1"/>
    <c:plotArea>
      <c:layout>
        <c:manualLayout>
          <c:layoutTarget val="inner"/>
          <c:xMode val="edge"/>
          <c:yMode val="edge"/>
          <c:x val="2.7251669164736352E-2"/>
          <c:y val="8.2304526748971207E-2"/>
          <c:w val="0.93849813261692205"/>
          <c:h val="0.7580117300152297"/>
        </c:manualLayout>
      </c:layout>
      <c:barChart>
        <c:barDir val="col"/>
        <c:grouping val="clustered"/>
        <c:ser>
          <c:idx val="0"/>
          <c:order val="0"/>
          <c:tx>
            <c:strRef>
              <c:f>Plan1!$B$1</c:f>
              <c:strCache>
                <c:ptCount val="1"/>
                <c:pt idx="0">
                  <c:v>Média de idade dos sujeitos investigados</c:v>
                </c:pt>
              </c:strCache>
            </c:strRef>
          </c:tx>
          <c:spPr>
            <a:solidFill>
              <a:srgbClr val="5B9BD5"/>
            </a:solidFill>
            <a:ln w="25319">
              <a:noFill/>
            </a:ln>
          </c:spPr>
          <c:dPt>
            <c:idx val="6"/>
            <c:spPr>
              <a:solidFill>
                <a:schemeClr val="bg1">
                  <a:lumMod val="65000"/>
                </a:schemeClr>
              </a:solidFill>
              <a:ln>
                <a:solidFill>
                  <a:schemeClr val="bg1">
                    <a:lumMod val="65000"/>
                  </a:schemeClr>
                </a:solidFill>
              </a:ln>
              <a:effectLst/>
            </c:spPr>
          </c:dPt>
          <c:dPt>
            <c:idx val="7"/>
            <c:spPr>
              <a:solidFill>
                <a:schemeClr val="bg1">
                  <a:lumMod val="65000"/>
                </a:schemeClr>
              </a:solidFill>
              <a:ln>
                <a:solidFill>
                  <a:schemeClr val="bg1">
                    <a:lumMod val="65000"/>
                  </a:schemeClr>
                </a:solidFill>
              </a:ln>
              <a:effectLst/>
            </c:spPr>
          </c:dPt>
          <c:dLbls>
            <c:spPr>
              <a:noFill/>
              <a:ln w="25319">
                <a:noFill/>
              </a:ln>
            </c:spPr>
            <c:txPr>
              <a:bodyPr rot="-5400000" spcFirstLastPara="1" vertOverflow="clip" horzOverflow="clip" vert="horz" wrap="square" lIns="38100" tIns="19050" rIns="38100" bIns="19050" anchor="ctr" anchorCtr="1">
                <a:spAutoFit/>
              </a:bodyPr>
              <a:lstStyle/>
              <a:p>
                <a:pPr>
                  <a:defRPr sz="797" b="0" i="0" u="none" strike="noStrike" kern="1200" baseline="0">
                    <a:solidFill>
                      <a:schemeClr val="tx1">
                        <a:lumMod val="50000"/>
                        <a:lumOff val="50000"/>
                      </a:schemeClr>
                    </a:solidFill>
                    <a:latin typeface="+mn-lt"/>
                    <a:ea typeface="+mn-ea"/>
                    <a:cs typeface="+mn-cs"/>
                  </a:defRPr>
                </a:pPr>
                <a:endParaRPr lang="pt-BR"/>
              </a:p>
            </c:txPr>
            <c:dLblPos val="outEnd"/>
            <c:showVal val="1"/>
          </c:dLbls>
          <c:cat>
            <c:strRef>
              <c:f>Plan1!$A$2:$A$9</c:f>
              <c:strCache>
                <c:ptCount val="8"/>
                <c:pt idx="0">
                  <c:v>20 - 29</c:v>
                </c:pt>
                <c:pt idx="1">
                  <c:v>30 - 39</c:v>
                </c:pt>
                <c:pt idx="2">
                  <c:v>40 - 49</c:v>
                </c:pt>
                <c:pt idx="3">
                  <c:v>50 - 59</c:v>
                </c:pt>
                <c:pt idx="6">
                  <c:v>Homens</c:v>
                </c:pt>
                <c:pt idx="7">
                  <c:v>Mulheres</c:v>
                </c:pt>
              </c:strCache>
            </c:strRef>
          </c:cat>
          <c:val>
            <c:numRef>
              <c:f>Plan1!$B$2:$B$9</c:f>
              <c:numCache>
                <c:formatCode>General</c:formatCode>
                <c:ptCount val="8"/>
                <c:pt idx="0">
                  <c:v>4</c:v>
                </c:pt>
                <c:pt idx="1">
                  <c:v>12</c:v>
                </c:pt>
                <c:pt idx="2">
                  <c:v>4</c:v>
                </c:pt>
                <c:pt idx="3">
                  <c:v>4</c:v>
                </c:pt>
                <c:pt idx="6">
                  <c:v>9</c:v>
                </c:pt>
                <c:pt idx="7">
                  <c:v>15</c:v>
                </c:pt>
              </c:numCache>
            </c:numRef>
          </c:val>
        </c:ser>
        <c:gapWidth val="444"/>
        <c:overlap val="-90"/>
        <c:axId val="53039872"/>
        <c:axId val="53042560"/>
      </c:barChart>
      <c:catAx>
        <c:axId val="53039872"/>
        <c:scaling>
          <c:orientation val="minMax"/>
        </c:scaling>
        <c:axPos val="b"/>
        <c:majorGridlines>
          <c:spPr>
            <a:ln w="9495" cap="flat" cmpd="sng" algn="ctr">
              <a:solidFill>
                <a:schemeClr val="tx1">
                  <a:lumMod val="15000"/>
                  <a:lumOff val="85000"/>
                </a:schemeClr>
              </a:solidFill>
              <a:round/>
            </a:ln>
            <a:effectLst/>
          </c:spPr>
        </c:majorGridlines>
        <c:numFmt formatCode="General" sourceLinked="1"/>
        <c:majorTickMark val="none"/>
        <c:tickLblPos val="nextTo"/>
        <c:spPr>
          <a:noFill/>
          <a:ln w="9495" cap="flat" cmpd="sng" algn="ctr">
            <a:solidFill>
              <a:srgbClr val="ED7D31"/>
            </a:solidFill>
            <a:round/>
          </a:ln>
          <a:effectLst/>
        </c:spPr>
        <c:txPr>
          <a:bodyPr rot="-60000000" spcFirstLastPara="1" vertOverflow="ellipsis" vert="horz" wrap="square" anchor="ctr" anchorCtr="1"/>
          <a:lstStyle/>
          <a:p>
            <a:pPr>
              <a:defRPr sz="797" b="0" i="0" u="none" strike="noStrike" kern="1200" cap="all" spc="120" normalizeH="0" baseline="0">
                <a:solidFill>
                  <a:schemeClr val="tx1">
                    <a:lumMod val="65000"/>
                    <a:lumOff val="35000"/>
                  </a:schemeClr>
                </a:solidFill>
                <a:latin typeface="+mn-lt"/>
                <a:ea typeface="+mn-ea"/>
                <a:cs typeface="+mn-cs"/>
              </a:defRPr>
            </a:pPr>
            <a:endParaRPr lang="pt-BR"/>
          </a:p>
        </c:txPr>
        <c:crossAx val="53042560"/>
        <c:crosses val="autoZero"/>
        <c:auto val="1"/>
        <c:lblAlgn val="ctr"/>
        <c:lblOffset val="100"/>
      </c:catAx>
      <c:valAx>
        <c:axId val="53042560"/>
        <c:scaling>
          <c:orientation val="minMax"/>
        </c:scaling>
        <c:delete val="1"/>
        <c:axPos val="l"/>
        <c:numFmt formatCode="General" sourceLinked="1"/>
        <c:tickLblPos val="none"/>
        <c:crossAx val="53039872"/>
        <c:crosses val="autoZero"/>
        <c:crossBetween val="between"/>
      </c:valAx>
      <c:spPr>
        <a:noFill/>
        <a:ln w="25349">
          <a:noFill/>
        </a:ln>
      </c:spPr>
    </c:plotArea>
    <c:plotVisOnly val="1"/>
    <c:dispBlanksAs val="gap"/>
  </c:chart>
  <c:spPr>
    <a:solidFill>
      <a:schemeClr val="lt1"/>
    </a:solidFill>
    <a:ln w="6330" cap="flat" cmpd="sng" algn="ctr">
      <a:solidFill>
        <a:srgbClr val="000000"/>
      </a:solidFill>
      <a:prstDash val="solid"/>
      <a:miter lim="800000"/>
      <a:headEnd type="none" w="med" len="med"/>
      <a:tailEnd type="none" w="med" len="med"/>
    </a:ln>
    <a:effectLst/>
  </c:spPr>
  <c:txPr>
    <a:bodyPr/>
    <a:lstStyle/>
    <a:p>
      <a:pPr>
        <a:defRPr/>
      </a:pPr>
      <a:endParaRPr lang="pt-B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pt-BR"/>
  <c:chart>
    <c:autoTitleDeleted val="1"/>
    <c:plotArea>
      <c:layout/>
      <c:barChart>
        <c:barDir val="col"/>
        <c:grouping val="clustered"/>
        <c:ser>
          <c:idx val="0"/>
          <c:order val="0"/>
          <c:tx>
            <c:strRef>
              <c:f>Plan1!$B$1</c:f>
              <c:strCache>
                <c:ptCount val="1"/>
                <c:pt idx="0">
                  <c:v>Tempo de formação dos sujeitos investigados</c:v>
                </c:pt>
              </c:strCache>
            </c:strRef>
          </c:tx>
          <c:spPr>
            <a:solidFill>
              <a:srgbClr val="5B9BD5"/>
            </a:solidFill>
            <a:ln w="25371">
              <a:noFill/>
            </a:ln>
          </c:spPr>
          <c:dLbls>
            <c:spPr>
              <a:noFill/>
              <a:ln w="25371">
                <a:noFill/>
              </a:ln>
            </c:spPr>
            <c:txPr>
              <a:bodyPr rot="-5400000" spcFirstLastPara="1" vertOverflow="clip" horzOverflow="clip" vert="horz" wrap="square" lIns="38100" tIns="19050" rIns="38100" bIns="19050" anchor="ctr" anchorCtr="1">
                <a:spAutoFit/>
              </a:bodyPr>
              <a:lstStyle/>
              <a:p>
                <a:pPr>
                  <a:defRPr sz="799" b="0" i="0" u="none" strike="noStrike" kern="1200" baseline="0">
                    <a:solidFill>
                      <a:schemeClr val="tx1">
                        <a:lumMod val="50000"/>
                        <a:lumOff val="50000"/>
                      </a:schemeClr>
                    </a:solidFill>
                    <a:latin typeface="+mn-lt"/>
                    <a:ea typeface="+mn-ea"/>
                    <a:cs typeface="+mn-cs"/>
                  </a:defRPr>
                </a:pPr>
                <a:endParaRPr lang="pt-BR"/>
              </a:p>
            </c:txPr>
            <c:dLblPos val="outEnd"/>
            <c:showVal val="1"/>
          </c:dLbls>
          <c:cat>
            <c:strRef>
              <c:f>Plan1!$A$2:$A$5</c:f>
              <c:strCache>
                <c:ptCount val="4"/>
                <c:pt idx="0">
                  <c:v>1981 - 1990</c:v>
                </c:pt>
                <c:pt idx="1">
                  <c:v>1991 - 2000</c:v>
                </c:pt>
                <c:pt idx="2">
                  <c:v>2001 - 2010</c:v>
                </c:pt>
                <c:pt idx="3">
                  <c:v>2011 - 2015</c:v>
                </c:pt>
              </c:strCache>
            </c:strRef>
          </c:cat>
          <c:val>
            <c:numRef>
              <c:f>Plan1!$B$2:$B$5</c:f>
              <c:numCache>
                <c:formatCode>General</c:formatCode>
                <c:ptCount val="4"/>
                <c:pt idx="0">
                  <c:v>3</c:v>
                </c:pt>
                <c:pt idx="1">
                  <c:v>2</c:v>
                </c:pt>
                <c:pt idx="2">
                  <c:v>16</c:v>
                </c:pt>
                <c:pt idx="3">
                  <c:v>3</c:v>
                </c:pt>
              </c:numCache>
            </c:numRef>
          </c:val>
        </c:ser>
        <c:gapWidth val="444"/>
        <c:overlap val="-90"/>
        <c:axId val="49411200"/>
        <c:axId val="49413120"/>
      </c:barChart>
      <c:catAx>
        <c:axId val="49411200"/>
        <c:scaling>
          <c:orientation val="minMax"/>
        </c:scaling>
        <c:axPos val="b"/>
        <c:majorGridlines>
          <c:spPr>
            <a:ln w="9514" cap="flat" cmpd="sng" algn="ctr">
              <a:solidFill>
                <a:schemeClr val="tx1">
                  <a:lumMod val="15000"/>
                  <a:lumOff val="85000"/>
                </a:schemeClr>
              </a:solidFill>
              <a:round/>
            </a:ln>
            <a:effectLst/>
          </c:spPr>
        </c:majorGridlines>
        <c:numFmt formatCode="General" sourceLinked="1"/>
        <c:majorTickMark val="none"/>
        <c:tickLblPos val="nextTo"/>
        <c:spPr>
          <a:noFill/>
          <a:ln w="9514" cap="flat" cmpd="sng" algn="ctr">
            <a:solidFill>
              <a:schemeClr val="tx1">
                <a:lumMod val="15000"/>
                <a:lumOff val="85000"/>
              </a:schemeClr>
            </a:solidFill>
            <a:round/>
          </a:ln>
          <a:effectLst/>
        </c:spPr>
        <c:txPr>
          <a:bodyPr rot="-60000000" spcFirstLastPara="1" vertOverflow="ellipsis" vert="horz" wrap="square" anchor="ctr" anchorCtr="1"/>
          <a:lstStyle/>
          <a:p>
            <a:pPr>
              <a:defRPr sz="799" b="0" i="0" u="none" strike="noStrike" kern="1200" cap="all" spc="120" normalizeH="0" baseline="0">
                <a:solidFill>
                  <a:schemeClr val="tx1">
                    <a:lumMod val="65000"/>
                    <a:lumOff val="35000"/>
                  </a:schemeClr>
                </a:solidFill>
                <a:latin typeface="+mn-lt"/>
                <a:ea typeface="+mn-ea"/>
                <a:cs typeface="+mn-cs"/>
              </a:defRPr>
            </a:pPr>
            <a:endParaRPr lang="pt-BR"/>
          </a:p>
        </c:txPr>
        <c:crossAx val="49413120"/>
        <c:crosses val="autoZero"/>
        <c:auto val="1"/>
        <c:lblAlgn val="ctr"/>
        <c:lblOffset val="100"/>
      </c:catAx>
      <c:valAx>
        <c:axId val="49413120"/>
        <c:scaling>
          <c:orientation val="minMax"/>
        </c:scaling>
        <c:delete val="1"/>
        <c:axPos val="l"/>
        <c:numFmt formatCode="General" sourceLinked="1"/>
        <c:tickLblPos val="none"/>
        <c:crossAx val="49411200"/>
        <c:crosses val="autoZero"/>
        <c:crossBetween val="between"/>
      </c:valAx>
      <c:spPr>
        <a:noFill/>
        <a:ln w="25390">
          <a:noFill/>
        </a:ln>
      </c:spPr>
    </c:plotArea>
    <c:plotVisOnly val="1"/>
    <c:dispBlanksAs val="gap"/>
  </c:chart>
  <c:spPr>
    <a:solidFill>
      <a:schemeClr val="lt1"/>
    </a:solidFill>
    <a:ln w="6342" cap="flat" cmpd="sng" algn="ctr">
      <a:solidFill>
        <a:srgbClr val="000000"/>
      </a:solidFill>
      <a:prstDash val="solid"/>
      <a:miter lim="800000"/>
      <a:headEnd type="none" w="med" len="med"/>
      <a:tailEnd type="none" w="med" len="med"/>
    </a:ln>
    <a:effectLst/>
  </c:spPr>
  <c:txPr>
    <a:bodyPr/>
    <a:lstStyle/>
    <a:p>
      <a:pPr>
        <a:defRPr/>
      </a:pPr>
      <a:endParaRPr lang="pt-B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barChart>
        <c:barDir val="col"/>
        <c:grouping val="clustered"/>
        <c:ser>
          <c:idx val="0"/>
          <c:order val="0"/>
          <c:tx>
            <c:strRef>
              <c:f>Plan1!$B$1</c:f>
              <c:strCache>
                <c:ptCount val="1"/>
                <c:pt idx="0">
                  <c:v>Áreas de formação</c:v>
                </c:pt>
              </c:strCache>
            </c:strRef>
          </c:tx>
          <c:spPr>
            <a:solidFill>
              <a:schemeClr val="accent1"/>
            </a:solidFill>
            <a:ln>
              <a:noFill/>
            </a:ln>
            <a:effectLst/>
            <a:scene3d>
              <a:camera prst="orthographicFront"/>
              <a:lightRig rig="brightRoom" dir="t"/>
            </a:scene3d>
            <a:sp3d prstMaterial="flat">
              <a:bevelT w="50800" h="101600" prst="angle"/>
              <a:contourClr>
                <a:srgbClr val="000000"/>
              </a:contourClr>
            </a:sp3d>
          </c:spPr>
          <c:dLbls>
            <c:dLbl>
              <c:idx val="0"/>
              <c:layout>
                <c:manualLayout>
                  <c:x val="-0.22206180721735139"/>
                  <c:y val="2.9932269244089794E-2"/>
                </c:manualLayout>
              </c:layout>
              <c:dLblPos val="outEnd"/>
              <c:showVal val="1"/>
            </c:dLbl>
            <c:dLbl>
              <c:idx val="1"/>
              <c:layout>
                <c:manualLayout>
                  <c:x val="0.21956952732736923"/>
                  <c:y val="-6.9062664137562541E-2"/>
                </c:manualLayout>
              </c:layout>
              <c:spPr>
                <a:noFill/>
                <a:ln w="25448">
                  <a:noFill/>
                </a:ln>
              </c:spPr>
              <c:txPr>
                <a:bodyPr rot="0" spcFirstLastPara="1" vertOverflow="ellipsis" vert="horz" wrap="square" lIns="38100" tIns="19050" rIns="38100" bIns="19050" anchor="ctr" anchorCtr="1">
                  <a:noAutofit/>
                </a:bodyPr>
                <a:lstStyle/>
                <a:p>
                  <a:pPr>
                    <a:defRPr sz="1503" b="1" i="0" u="none" strike="noStrike" kern="1200" baseline="0">
                      <a:solidFill>
                        <a:schemeClr val="lt1"/>
                      </a:solidFill>
                      <a:latin typeface="+mn-lt"/>
                      <a:ea typeface="+mn-ea"/>
                      <a:cs typeface="+mn-cs"/>
                    </a:defRPr>
                  </a:pPr>
                  <a:endParaRPr lang="pt-BR"/>
                </a:p>
              </c:txPr>
              <c:dLblPos val="outEnd"/>
              <c:showVal val="1"/>
            </c:dLbl>
            <c:spPr>
              <a:noFill/>
              <a:ln w="25448">
                <a:noFill/>
              </a:ln>
            </c:spPr>
            <c:txPr>
              <a:bodyPr rot="0" spcFirstLastPara="1" vertOverflow="ellipsis" vert="horz" wrap="square" lIns="38100" tIns="19050" rIns="38100" bIns="19050" anchor="ctr" anchorCtr="1">
                <a:spAutoFit/>
              </a:bodyPr>
              <a:lstStyle/>
              <a:p>
                <a:pPr>
                  <a:defRPr sz="1503" b="1" i="0" u="none" strike="noStrike" kern="1200" baseline="0">
                    <a:solidFill>
                      <a:schemeClr val="lt1"/>
                    </a:solidFill>
                    <a:latin typeface="+mn-lt"/>
                    <a:ea typeface="+mn-ea"/>
                    <a:cs typeface="+mn-cs"/>
                  </a:defRPr>
                </a:pPr>
                <a:endParaRPr lang="pt-BR"/>
              </a:p>
            </c:txPr>
            <c:showVal val="1"/>
          </c:dLbls>
          <c:cat>
            <c:strRef>
              <c:f>Plan1!$A$2:$A$16</c:f>
              <c:strCache>
                <c:ptCount val="15"/>
                <c:pt idx="0">
                  <c:v>Administração</c:v>
                </c:pt>
                <c:pt idx="1">
                  <c:v>Artes Visuais</c:v>
                </c:pt>
                <c:pt idx="2">
                  <c:v>Ciências Biológicas </c:v>
                </c:pt>
                <c:pt idx="3">
                  <c:v>Comunicação Social </c:v>
                </c:pt>
                <c:pt idx="4">
                  <c:v>Direito</c:v>
                </c:pt>
                <c:pt idx="5">
                  <c:v>Engenharia Elétrica </c:v>
                </c:pt>
                <c:pt idx="6">
                  <c:v>Fisioterapia</c:v>
                </c:pt>
                <c:pt idx="7">
                  <c:v>História</c:v>
                </c:pt>
                <c:pt idx="8">
                  <c:v>LETRAS</c:v>
                </c:pt>
                <c:pt idx="9">
                  <c:v>Marketing e Propaganda</c:v>
                </c:pt>
                <c:pt idx="10">
                  <c:v>Música </c:v>
                </c:pt>
                <c:pt idx="11">
                  <c:v>Pedagogia</c:v>
                </c:pt>
                <c:pt idx="12">
                  <c:v>Psicologia </c:v>
                </c:pt>
                <c:pt idx="13">
                  <c:v>Serviço Social </c:v>
                </c:pt>
                <c:pt idx="14">
                  <c:v>Processamento de Dados</c:v>
                </c:pt>
              </c:strCache>
            </c:strRef>
          </c:cat>
          <c:val>
            <c:numRef>
              <c:f>Plan1!$B$2:$B$16</c:f>
              <c:numCache>
                <c:formatCode>General</c:formatCode>
                <c:ptCount val="15"/>
                <c:pt idx="0">
                  <c:v>5</c:v>
                </c:pt>
                <c:pt idx="1">
                  <c:v>2</c:v>
                </c:pt>
                <c:pt idx="2">
                  <c:v>1</c:v>
                </c:pt>
                <c:pt idx="3">
                  <c:v>1</c:v>
                </c:pt>
                <c:pt idx="4">
                  <c:v>1</c:v>
                </c:pt>
                <c:pt idx="5">
                  <c:v>1</c:v>
                </c:pt>
                <c:pt idx="6">
                  <c:v>1</c:v>
                </c:pt>
                <c:pt idx="7">
                  <c:v>1</c:v>
                </c:pt>
                <c:pt idx="8">
                  <c:v>1</c:v>
                </c:pt>
                <c:pt idx="9">
                  <c:v>2</c:v>
                </c:pt>
                <c:pt idx="10">
                  <c:v>1</c:v>
                </c:pt>
                <c:pt idx="11">
                  <c:v>3</c:v>
                </c:pt>
                <c:pt idx="12">
                  <c:v>1</c:v>
                </c:pt>
                <c:pt idx="13">
                  <c:v>1</c:v>
                </c:pt>
                <c:pt idx="14">
                  <c:v>2</c:v>
                </c:pt>
              </c:numCache>
            </c:numRef>
          </c:val>
        </c:ser>
        <c:gapWidth val="100"/>
        <c:axId val="49021312"/>
        <c:axId val="49023232"/>
      </c:barChart>
      <c:catAx>
        <c:axId val="49021312"/>
        <c:scaling>
          <c:orientation val="minMax"/>
        </c:scaling>
        <c:axPos val="b"/>
        <c:numFmt formatCode="General" sourceLinked="1"/>
        <c:tickLblPos val="nextTo"/>
        <c:spPr>
          <a:ln w="6362">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pt-BR"/>
          </a:p>
        </c:txPr>
        <c:crossAx val="49023232"/>
        <c:crosses val="autoZero"/>
        <c:auto val="1"/>
        <c:lblAlgn val="ctr"/>
        <c:lblOffset val="100"/>
      </c:catAx>
      <c:valAx>
        <c:axId val="49023232"/>
        <c:scaling>
          <c:orientation val="minMax"/>
        </c:scaling>
        <c:axPos val="l"/>
        <c:majorGridlines>
          <c:spPr>
            <a:ln w="9543" cap="flat" cmpd="sng" algn="ctr">
              <a:solidFill>
                <a:schemeClr val="tx1">
                  <a:lumMod val="15000"/>
                  <a:lumOff val="85000"/>
                </a:schemeClr>
              </a:solidFill>
              <a:round/>
            </a:ln>
            <a:effectLst/>
          </c:spPr>
        </c:majorGridlines>
        <c:numFmt formatCode="General" sourceLinked="1"/>
        <c:tickLblPos val="nextTo"/>
        <c:spPr>
          <a:ln w="6362">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pt-BR"/>
          </a:p>
        </c:txPr>
        <c:crossAx val="49021312"/>
        <c:crosses val="autoZero"/>
        <c:crossBetween val="between"/>
      </c:valAx>
      <c:spPr>
        <a:noFill/>
        <a:ln w="25405">
          <a:noFill/>
        </a:ln>
      </c:spPr>
    </c:plotArea>
    <c:plotVisOnly val="1"/>
    <c:dispBlanksAs val="gap"/>
  </c:chart>
  <c:spPr>
    <a:solidFill>
      <a:schemeClr val="bg1"/>
    </a:solidFill>
    <a:ln w="6348" cap="flat" cmpd="sng" algn="ctr">
      <a:solidFill>
        <a:srgbClr val="000000"/>
      </a:solidFill>
      <a:prstDash val="solid"/>
      <a:miter lim="800000"/>
      <a:headEnd type="none" w="med" len="med"/>
      <a:tailEnd type="none" w="med" len="med"/>
    </a:ln>
    <a:effectLst/>
  </c:spPr>
  <c:txPr>
    <a:bodyPr/>
    <a:lstStyle/>
    <a:p>
      <a:pPr>
        <a:defRPr/>
      </a:pPr>
      <a:endParaRPr lang="pt-BR"/>
    </a:p>
  </c:txPr>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454</Words>
  <Characters>2727</Characters>
  <Application>Microsoft Office Word</Application>
  <DocSecurity>0</DocSecurity>
  <Lines>22</Lines>
  <Paragraphs>6</Paragraphs>
  <ScaleCrop>false</ScaleCrop>
  <Company>Hewlett-Packard</Company>
  <LinksUpToDate>false</LinksUpToDate>
  <CharactersWithSpaces>3175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Júlia Carneiro Giraldes</dc:creator>
  <cp:lastModifiedBy>depser</cp:lastModifiedBy>
  <cp:revision>3</cp:revision>
  <dcterms:created xsi:type="dcterms:W3CDTF">2016-02-24T20:10:00Z</dcterms:created>
  <dcterms:modified xsi:type="dcterms:W3CDTF">2016-02-24T20:11:00Z</dcterms:modified>
</cp:coreProperties>
</file>