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3FF6" w14:textId="37763F33" w:rsidR="002F1C74" w:rsidRPr="009F6463" w:rsidRDefault="002F1C74" w:rsidP="009F6463">
      <w:pPr>
        <w:spacing w:after="0" w:line="360" w:lineRule="auto"/>
        <w:jc w:val="center"/>
        <w:rPr>
          <w:rFonts w:ascii="Times New Roman" w:hAnsi="Times New Roman"/>
          <w:iCs/>
          <w:sz w:val="24"/>
          <w:szCs w:val="24"/>
        </w:rPr>
      </w:pPr>
      <w:r w:rsidRPr="009F6463">
        <w:rPr>
          <w:rFonts w:ascii="Times New Roman" w:hAnsi="Times New Roman"/>
          <w:sz w:val="24"/>
          <w:szCs w:val="24"/>
        </w:rPr>
        <w:t xml:space="preserve"> </w:t>
      </w:r>
      <w:r w:rsidRPr="009F6463">
        <w:rPr>
          <w:rFonts w:ascii="Times New Roman" w:hAnsi="Times New Roman"/>
          <w:iCs/>
          <w:sz w:val="24"/>
          <w:szCs w:val="24"/>
        </w:rPr>
        <w:t xml:space="preserve">SUPLEMENTAÇÃO </w:t>
      </w:r>
      <w:r w:rsidR="00966618" w:rsidRPr="009F6463">
        <w:rPr>
          <w:rFonts w:ascii="Times New Roman" w:hAnsi="Times New Roman"/>
          <w:iCs/>
          <w:sz w:val="24"/>
          <w:szCs w:val="24"/>
        </w:rPr>
        <w:t>CONTENDO</w:t>
      </w:r>
      <w:r w:rsidRPr="009F6463">
        <w:rPr>
          <w:rFonts w:ascii="Times New Roman" w:hAnsi="Times New Roman"/>
          <w:iCs/>
          <w:sz w:val="24"/>
          <w:szCs w:val="24"/>
        </w:rPr>
        <w:t xml:space="preserve"> NUCLEOTÍDEOS MODIFICA AS ALTERAÇÕES METABÓLICAS E MORFOMÉTRICAS GERADAS PELA IMOBILIZAÇÃO: ESTUDO EM RATOS.</w:t>
      </w:r>
    </w:p>
    <w:p w14:paraId="2A83B508" w14:textId="77777777" w:rsidR="002F1C74" w:rsidRPr="009F6463" w:rsidRDefault="002F1C74" w:rsidP="009F6463">
      <w:pPr>
        <w:spacing w:after="0" w:line="360" w:lineRule="auto"/>
        <w:jc w:val="center"/>
        <w:rPr>
          <w:rFonts w:ascii="Times New Roman" w:hAnsi="Times New Roman"/>
          <w:b/>
          <w:bCs/>
          <w:iCs/>
          <w:sz w:val="24"/>
          <w:szCs w:val="24"/>
        </w:rPr>
      </w:pPr>
    </w:p>
    <w:p w14:paraId="19C4C6A1" w14:textId="51920B60" w:rsidR="002F1C74" w:rsidRPr="009F6463" w:rsidRDefault="003E45FD" w:rsidP="009F6463">
      <w:pPr>
        <w:spacing w:after="0" w:line="360" w:lineRule="auto"/>
        <w:jc w:val="center"/>
        <w:rPr>
          <w:rFonts w:ascii="Times New Roman" w:hAnsi="Times New Roman"/>
          <w:iCs/>
          <w:sz w:val="24"/>
          <w:szCs w:val="24"/>
          <w:lang w:val="en-US"/>
        </w:rPr>
      </w:pPr>
      <w:r w:rsidRPr="009F6463">
        <w:rPr>
          <w:rFonts w:ascii="Times New Roman" w:hAnsi="Times New Roman"/>
          <w:iCs/>
          <w:sz w:val="24"/>
          <w:szCs w:val="24"/>
          <w:lang w:val="en-US"/>
        </w:rPr>
        <w:t>SUPPLEMENTATION CONTAINING NUCLEOTIDE MODIFIES THE METABOLIC AND MORPHOMETRIC ALTERATIONS GENERATED BY IMMOBILIZATION: STUDY IN MALE RATS.</w:t>
      </w:r>
    </w:p>
    <w:p w14:paraId="2D04D659" w14:textId="77777777" w:rsidR="002F1C74" w:rsidRPr="009F6463" w:rsidRDefault="002F1C74" w:rsidP="009F6463">
      <w:pPr>
        <w:spacing w:after="0" w:line="360" w:lineRule="auto"/>
        <w:jc w:val="center"/>
        <w:rPr>
          <w:rFonts w:ascii="Times New Roman" w:hAnsi="Times New Roman"/>
          <w:b/>
          <w:sz w:val="24"/>
          <w:szCs w:val="24"/>
          <w:lang w:val="en-US"/>
        </w:rPr>
      </w:pPr>
    </w:p>
    <w:p w14:paraId="607FF6DB" w14:textId="3181053D" w:rsidR="003736F3" w:rsidRPr="009F6463" w:rsidRDefault="003E45FD" w:rsidP="009F6463">
      <w:pPr>
        <w:spacing w:after="0" w:line="360" w:lineRule="auto"/>
        <w:jc w:val="center"/>
        <w:rPr>
          <w:rFonts w:ascii="Times New Roman" w:hAnsi="Times New Roman"/>
          <w:bCs/>
          <w:sz w:val="24"/>
          <w:szCs w:val="24"/>
        </w:rPr>
      </w:pPr>
      <w:r w:rsidRPr="009F6463">
        <w:rPr>
          <w:rFonts w:ascii="Times New Roman" w:hAnsi="Times New Roman"/>
          <w:bCs/>
          <w:sz w:val="24"/>
          <w:szCs w:val="24"/>
        </w:rPr>
        <w:t>LA SUPLEMENTACIÓN QUE CONTIENE NUCLEÓTIDO MODIFICA LAS ALTERACIONES METABÓLICAS Y MORFOMÉTRICAS GENERADAS POR LA INMOBILIZACIÓN: ESTUDIO EM RATAS.</w:t>
      </w:r>
    </w:p>
    <w:p w14:paraId="385381BD" w14:textId="77777777" w:rsidR="009F6463" w:rsidRDefault="009F6463" w:rsidP="009F6463">
      <w:pPr>
        <w:spacing w:line="360" w:lineRule="auto"/>
        <w:jc w:val="both"/>
        <w:rPr>
          <w:rFonts w:ascii="Times New Roman" w:hAnsi="Times New Roman"/>
          <w:b/>
          <w:sz w:val="24"/>
          <w:szCs w:val="24"/>
        </w:rPr>
      </w:pPr>
      <w:bookmarkStart w:id="0" w:name="_Hlk483214722"/>
    </w:p>
    <w:p w14:paraId="797BE23D" w14:textId="77777777" w:rsidR="00416088" w:rsidRDefault="00416088" w:rsidP="009F6463">
      <w:pPr>
        <w:spacing w:line="360" w:lineRule="auto"/>
        <w:jc w:val="both"/>
        <w:rPr>
          <w:rFonts w:ascii="Times New Roman" w:hAnsi="Times New Roman"/>
          <w:b/>
          <w:sz w:val="24"/>
          <w:szCs w:val="24"/>
        </w:rPr>
      </w:pPr>
    </w:p>
    <w:p w14:paraId="20A34914" w14:textId="77777777" w:rsidR="00416088" w:rsidRDefault="00416088" w:rsidP="009F6463">
      <w:pPr>
        <w:spacing w:line="360" w:lineRule="auto"/>
        <w:jc w:val="both"/>
        <w:rPr>
          <w:rFonts w:ascii="Times New Roman" w:hAnsi="Times New Roman"/>
          <w:b/>
          <w:sz w:val="24"/>
          <w:szCs w:val="24"/>
        </w:rPr>
      </w:pPr>
    </w:p>
    <w:p w14:paraId="333754F7" w14:textId="77777777" w:rsidR="00416088" w:rsidRDefault="00416088" w:rsidP="009F6463">
      <w:pPr>
        <w:spacing w:line="360" w:lineRule="auto"/>
        <w:jc w:val="both"/>
        <w:rPr>
          <w:rFonts w:ascii="Times New Roman" w:hAnsi="Times New Roman"/>
          <w:b/>
          <w:sz w:val="24"/>
          <w:szCs w:val="24"/>
        </w:rPr>
      </w:pPr>
    </w:p>
    <w:p w14:paraId="6CC35341" w14:textId="77777777" w:rsidR="00416088" w:rsidRDefault="00416088" w:rsidP="009F6463">
      <w:pPr>
        <w:spacing w:line="360" w:lineRule="auto"/>
        <w:jc w:val="both"/>
        <w:rPr>
          <w:rFonts w:ascii="Times New Roman" w:hAnsi="Times New Roman"/>
          <w:b/>
          <w:sz w:val="24"/>
          <w:szCs w:val="24"/>
        </w:rPr>
      </w:pPr>
    </w:p>
    <w:p w14:paraId="1C5DE86A" w14:textId="77777777" w:rsidR="00416088" w:rsidRDefault="00416088" w:rsidP="009F6463">
      <w:pPr>
        <w:spacing w:line="360" w:lineRule="auto"/>
        <w:jc w:val="both"/>
        <w:rPr>
          <w:rFonts w:ascii="Times New Roman" w:hAnsi="Times New Roman"/>
          <w:b/>
          <w:sz w:val="24"/>
          <w:szCs w:val="24"/>
        </w:rPr>
      </w:pPr>
    </w:p>
    <w:p w14:paraId="59A9F177" w14:textId="77777777" w:rsidR="00416088" w:rsidRDefault="00416088" w:rsidP="009F6463">
      <w:pPr>
        <w:spacing w:line="360" w:lineRule="auto"/>
        <w:jc w:val="both"/>
        <w:rPr>
          <w:rFonts w:ascii="Times New Roman" w:hAnsi="Times New Roman"/>
          <w:b/>
          <w:sz w:val="24"/>
          <w:szCs w:val="24"/>
        </w:rPr>
      </w:pPr>
    </w:p>
    <w:p w14:paraId="67A13C98" w14:textId="77777777" w:rsidR="00416088" w:rsidRDefault="00416088" w:rsidP="009F6463">
      <w:pPr>
        <w:spacing w:line="360" w:lineRule="auto"/>
        <w:jc w:val="both"/>
        <w:rPr>
          <w:rFonts w:ascii="Times New Roman" w:hAnsi="Times New Roman"/>
          <w:b/>
          <w:sz w:val="24"/>
          <w:szCs w:val="24"/>
        </w:rPr>
      </w:pPr>
    </w:p>
    <w:p w14:paraId="2F9E6F4F" w14:textId="77777777" w:rsidR="00416088" w:rsidRDefault="00416088" w:rsidP="009F6463">
      <w:pPr>
        <w:spacing w:line="360" w:lineRule="auto"/>
        <w:jc w:val="both"/>
        <w:rPr>
          <w:rFonts w:ascii="Times New Roman" w:hAnsi="Times New Roman"/>
          <w:b/>
          <w:sz w:val="24"/>
          <w:szCs w:val="24"/>
        </w:rPr>
      </w:pPr>
    </w:p>
    <w:p w14:paraId="452DA95F" w14:textId="77777777" w:rsidR="00416088" w:rsidRDefault="00416088" w:rsidP="009F6463">
      <w:pPr>
        <w:spacing w:line="360" w:lineRule="auto"/>
        <w:jc w:val="both"/>
        <w:rPr>
          <w:rFonts w:ascii="Times New Roman" w:hAnsi="Times New Roman"/>
          <w:b/>
          <w:sz w:val="24"/>
          <w:szCs w:val="24"/>
        </w:rPr>
      </w:pPr>
    </w:p>
    <w:p w14:paraId="03C77B0E" w14:textId="77777777" w:rsidR="00416088" w:rsidRDefault="00416088" w:rsidP="009F6463">
      <w:pPr>
        <w:spacing w:line="360" w:lineRule="auto"/>
        <w:jc w:val="both"/>
        <w:rPr>
          <w:rFonts w:ascii="Times New Roman" w:hAnsi="Times New Roman"/>
          <w:b/>
          <w:sz w:val="24"/>
          <w:szCs w:val="24"/>
        </w:rPr>
      </w:pPr>
    </w:p>
    <w:p w14:paraId="16C87DE3" w14:textId="77777777" w:rsidR="00416088" w:rsidRDefault="00416088" w:rsidP="009F6463">
      <w:pPr>
        <w:spacing w:line="360" w:lineRule="auto"/>
        <w:jc w:val="both"/>
        <w:rPr>
          <w:rFonts w:ascii="Times New Roman" w:hAnsi="Times New Roman"/>
          <w:b/>
          <w:sz w:val="24"/>
          <w:szCs w:val="24"/>
        </w:rPr>
      </w:pPr>
    </w:p>
    <w:p w14:paraId="249230FA" w14:textId="77777777" w:rsidR="00416088" w:rsidRDefault="00416088" w:rsidP="009F6463">
      <w:pPr>
        <w:spacing w:line="360" w:lineRule="auto"/>
        <w:jc w:val="both"/>
        <w:rPr>
          <w:rFonts w:ascii="Times New Roman" w:hAnsi="Times New Roman"/>
          <w:b/>
          <w:sz w:val="24"/>
          <w:szCs w:val="24"/>
        </w:rPr>
      </w:pPr>
    </w:p>
    <w:p w14:paraId="176DB38D" w14:textId="77777777" w:rsidR="00416088" w:rsidRDefault="00416088" w:rsidP="009F6463">
      <w:pPr>
        <w:spacing w:line="360" w:lineRule="auto"/>
        <w:jc w:val="both"/>
        <w:rPr>
          <w:rFonts w:ascii="Times New Roman" w:hAnsi="Times New Roman"/>
          <w:b/>
          <w:sz w:val="24"/>
          <w:szCs w:val="24"/>
        </w:rPr>
      </w:pPr>
    </w:p>
    <w:p w14:paraId="668DDBB2" w14:textId="77777777" w:rsidR="00416088" w:rsidRDefault="00416088" w:rsidP="009F6463">
      <w:pPr>
        <w:spacing w:line="360" w:lineRule="auto"/>
        <w:jc w:val="both"/>
        <w:rPr>
          <w:rFonts w:ascii="Times New Roman" w:hAnsi="Times New Roman"/>
          <w:b/>
          <w:sz w:val="24"/>
          <w:szCs w:val="24"/>
        </w:rPr>
      </w:pPr>
    </w:p>
    <w:p w14:paraId="5EDC4503" w14:textId="0D31BB26" w:rsidR="006208A0" w:rsidRPr="009F6463" w:rsidRDefault="006208A0" w:rsidP="009F6463">
      <w:pPr>
        <w:spacing w:line="360" w:lineRule="auto"/>
        <w:jc w:val="both"/>
        <w:rPr>
          <w:rFonts w:ascii="Times New Roman" w:hAnsi="Times New Roman"/>
          <w:sz w:val="24"/>
          <w:szCs w:val="24"/>
        </w:rPr>
      </w:pPr>
      <w:r w:rsidRPr="009F6463">
        <w:rPr>
          <w:rFonts w:ascii="Times New Roman" w:hAnsi="Times New Roman"/>
          <w:b/>
          <w:sz w:val="24"/>
          <w:szCs w:val="24"/>
        </w:rPr>
        <w:lastRenderedPageBreak/>
        <w:t>RESUMO</w:t>
      </w:r>
      <w:r w:rsidR="003736F3" w:rsidRPr="009F6463">
        <w:rPr>
          <w:rFonts w:ascii="Times New Roman" w:hAnsi="Times New Roman"/>
          <w:b/>
          <w:sz w:val="24"/>
          <w:szCs w:val="24"/>
        </w:rPr>
        <w:t xml:space="preserve">. </w:t>
      </w:r>
      <w:r w:rsidR="00DE364E" w:rsidRPr="009F6463">
        <w:rPr>
          <w:rFonts w:ascii="Times New Roman" w:hAnsi="Times New Roman"/>
          <w:sz w:val="24"/>
          <w:szCs w:val="24"/>
        </w:rPr>
        <w:t>Foi</w:t>
      </w:r>
      <w:r w:rsidR="00D24D65" w:rsidRPr="009F6463">
        <w:rPr>
          <w:rFonts w:ascii="Times New Roman" w:hAnsi="Times New Roman"/>
          <w:sz w:val="24"/>
          <w:szCs w:val="24"/>
        </w:rPr>
        <w:t xml:space="preserve"> avali</w:t>
      </w:r>
      <w:r w:rsidR="00DE364E" w:rsidRPr="009F6463">
        <w:rPr>
          <w:rFonts w:ascii="Times New Roman" w:hAnsi="Times New Roman"/>
          <w:sz w:val="24"/>
          <w:szCs w:val="24"/>
        </w:rPr>
        <w:t>ado</w:t>
      </w:r>
      <w:r w:rsidR="00D24D65" w:rsidRPr="009F6463">
        <w:rPr>
          <w:rFonts w:ascii="Times New Roman" w:hAnsi="Times New Roman"/>
          <w:sz w:val="24"/>
          <w:szCs w:val="24"/>
        </w:rPr>
        <w:t xml:space="preserve"> as ações da suplementação </w:t>
      </w:r>
      <w:r w:rsidR="00DE364E" w:rsidRPr="009F6463">
        <w:rPr>
          <w:rFonts w:ascii="Times New Roman" w:hAnsi="Times New Roman"/>
          <w:sz w:val="24"/>
          <w:szCs w:val="24"/>
        </w:rPr>
        <w:t>com</w:t>
      </w:r>
      <w:r w:rsidR="00D24D65" w:rsidRPr="009F6463">
        <w:rPr>
          <w:rFonts w:ascii="Times New Roman" w:hAnsi="Times New Roman"/>
          <w:sz w:val="24"/>
          <w:szCs w:val="24"/>
        </w:rPr>
        <w:t xml:space="preserve"> nucleotídeos</w:t>
      </w:r>
      <w:r w:rsidR="00E80C69" w:rsidRPr="009F6463">
        <w:rPr>
          <w:rFonts w:ascii="Times New Roman" w:hAnsi="Times New Roman"/>
          <w:sz w:val="24"/>
          <w:szCs w:val="24"/>
        </w:rPr>
        <w:t xml:space="preserve"> </w:t>
      </w:r>
      <w:r w:rsidR="0084049B" w:rsidRPr="009F6463">
        <w:rPr>
          <w:rFonts w:ascii="Times New Roman" w:hAnsi="Times New Roman"/>
          <w:sz w:val="24"/>
          <w:szCs w:val="24"/>
        </w:rPr>
        <w:t xml:space="preserve">na </w:t>
      </w:r>
      <w:r w:rsidR="00D24D65" w:rsidRPr="009F6463">
        <w:rPr>
          <w:rFonts w:ascii="Times New Roman" w:hAnsi="Times New Roman"/>
          <w:sz w:val="24"/>
          <w:szCs w:val="24"/>
        </w:rPr>
        <w:t>imobilização de membro pélvicos de ratos</w:t>
      </w:r>
      <w:r w:rsidR="00DE364E" w:rsidRPr="009F6463">
        <w:rPr>
          <w:rFonts w:ascii="Times New Roman" w:hAnsi="Times New Roman"/>
          <w:sz w:val="24"/>
          <w:szCs w:val="24"/>
        </w:rPr>
        <w:t xml:space="preserve"> (IM)</w:t>
      </w:r>
      <w:r w:rsidR="00D24D65" w:rsidRPr="009F6463">
        <w:rPr>
          <w:rFonts w:ascii="Times New Roman" w:hAnsi="Times New Roman"/>
          <w:sz w:val="24"/>
          <w:szCs w:val="24"/>
        </w:rPr>
        <w:t xml:space="preserve">, buscando identificar </w:t>
      </w:r>
      <w:r w:rsidR="00B73084" w:rsidRPr="009F6463">
        <w:rPr>
          <w:rFonts w:ascii="Times New Roman" w:hAnsi="Times New Roman"/>
          <w:sz w:val="24"/>
          <w:szCs w:val="24"/>
        </w:rPr>
        <w:t xml:space="preserve">se </w:t>
      </w:r>
      <w:r w:rsidR="0084049B" w:rsidRPr="009F6463">
        <w:rPr>
          <w:rFonts w:ascii="Times New Roman" w:hAnsi="Times New Roman"/>
          <w:sz w:val="24"/>
          <w:szCs w:val="24"/>
        </w:rPr>
        <w:t>há i</w:t>
      </w:r>
      <w:r w:rsidR="00B73084" w:rsidRPr="009F6463">
        <w:rPr>
          <w:rFonts w:ascii="Times New Roman" w:hAnsi="Times New Roman"/>
          <w:sz w:val="24"/>
          <w:szCs w:val="24"/>
        </w:rPr>
        <w:t>nflu</w:t>
      </w:r>
      <w:r w:rsidR="008C245C" w:rsidRPr="009F6463">
        <w:rPr>
          <w:rFonts w:ascii="Times New Roman" w:hAnsi="Times New Roman"/>
          <w:sz w:val="24"/>
          <w:szCs w:val="24"/>
        </w:rPr>
        <w:t>ê</w:t>
      </w:r>
      <w:r w:rsidR="00B73084" w:rsidRPr="009F6463">
        <w:rPr>
          <w:rFonts w:ascii="Times New Roman" w:hAnsi="Times New Roman"/>
          <w:sz w:val="24"/>
          <w:szCs w:val="24"/>
        </w:rPr>
        <w:t xml:space="preserve">ncia em </w:t>
      </w:r>
      <w:r w:rsidR="00D24D65" w:rsidRPr="009F6463">
        <w:rPr>
          <w:rFonts w:ascii="Times New Roman" w:hAnsi="Times New Roman"/>
          <w:sz w:val="24"/>
          <w:szCs w:val="24"/>
        </w:rPr>
        <w:t xml:space="preserve">aspectos metabólicos </w:t>
      </w:r>
      <w:r w:rsidR="00B73084" w:rsidRPr="009F6463">
        <w:rPr>
          <w:rFonts w:ascii="Times New Roman" w:hAnsi="Times New Roman"/>
          <w:sz w:val="24"/>
          <w:szCs w:val="24"/>
        </w:rPr>
        <w:t>ou</w:t>
      </w:r>
      <w:r w:rsidR="00D24D65" w:rsidRPr="009F6463">
        <w:rPr>
          <w:rFonts w:ascii="Times New Roman" w:hAnsi="Times New Roman"/>
          <w:sz w:val="24"/>
          <w:szCs w:val="24"/>
        </w:rPr>
        <w:t xml:space="preserve"> morfométricos</w:t>
      </w:r>
      <w:r w:rsidR="00BA1875" w:rsidRPr="009F6463">
        <w:rPr>
          <w:rFonts w:ascii="Times New Roman" w:hAnsi="Times New Roman"/>
          <w:sz w:val="24"/>
          <w:szCs w:val="24"/>
        </w:rPr>
        <w:t xml:space="preserve">. </w:t>
      </w:r>
      <w:r w:rsidR="000A550B" w:rsidRPr="009F6463">
        <w:rPr>
          <w:rFonts w:ascii="Times New Roman" w:hAnsi="Times New Roman"/>
          <w:sz w:val="24"/>
          <w:szCs w:val="24"/>
        </w:rPr>
        <w:t xml:space="preserve">Utilizou-se ratos machos </w:t>
      </w:r>
      <w:r w:rsidR="00DC29D0" w:rsidRPr="009F6463">
        <w:rPr>
          <w:rFonts w:ascii="Times New Roman" w:hAnsi="Times New Roman"/>
          <w:sz w:val="24"/>
          <w:szCs w:val="24"/>
        </w:rPr>
        <w:t xml:space="preserve">divididos </w:t>
      </w:r>
      <w:r w:rsidR="00EB2053" w:rsidRPr="009F6463">
        <w:rPr>
          <w:rFonts w:ascii="Times New Roman" w:hAnsi="Times New Roman"/>
          <w:sz w:val="24"/>
          <w:szCs w:val="24"/>
        </w:rPr>
        <w:t>nos grupos</w:t>
      </w:r>
      <w:r w:rsidR="00B73084" w:rsidRPr="009F6463">
        <w:rPr>
          <w:rFonts w:ascii="Times New Roman" w:hAnsi="Times New Roman"/>
          <w:sz w:val="24"/>
          <w:szCs w:val="24"/>
        </w:rPr>
        <w:t>:</w:t>
      </w:r>
      <w:r w:rsidR="000A550B" w:rsidRPr="009F6463">
        <w:rPr>
          <w:rFonts w:ascii="Times New Roman" w:hAnsi="Times New Roman"/>
          <w:sz w:val="24"/>
          <w:szCs w:val="24"/>
        </w:rPr>
        <w:t xml:space="preserve"> controle</w:t>
      </w:r>
      <w:r w:rsidR="00534524" w:rsidRPr="009F6463">
        <w:rPr>
          <w:rFonts w:ascii="Times New Roman" w:hAnsi="Times New Roman"/>
          <w:sz w:val="24"/>
          <w:szCs w:val="24"/>
        </w:rPr>
        <w:t xml:space="preserve"> (C)</w:t>
      </w:r>
      <w:r w:rsidR="000A550B" w:rsidRPr="009F6463">
        <w:rPr>
          <w:rFonts w:ascii="Times New Roman" w:hAnsi="Times New Roman"/>
          <w:sz w:val="24"/>
          <w:szCs w:val="24"/>
        </w:rPr>
        <w:t>, tratados com o suplemento</w:t>
      </w:r>
      <w:r w:rsidR="00534524" w:rsidRPr="009F6463">
        <w:rPr>
          <w:rFonts w:ascii="Times New Roman" w:hAnsi="Times New Roman"/>
          <w:sz w:val="24"/>
          <w:szCs w:val="24"/>
        </w:rPr>
        <w:t xml:space="preserve"> (T</w:t>
      </w:r>
      <w:r w:rsidR="008549AC" w:rsidRPr="009F6463">
        <w:rPr>
          <w:rFonts w:ascii="Times New Roman" w:hAnsi="Times New Roman"/>
          <w:sz w:val="24"/>
          <w:szCs w:val="24"/>
        </w:rPr>
        <w:t>; NUCLEOCELL, 4 mg/dia por 7 dias</w:t>
      </w:r>
      <w:r w:rsidR="00534524" w:rsidRPr="009F6463">
        <w:rPr>
          <w:rFonts w:ascii="Times New Roman" w:hAnsi="Times New Roman"/>
          <w:sz w:val="24"/>
          <w:szCs w:val="24"/>
        </w:rPr>
        <w:t>)</w:t>
      </w:r>
      <w:r w:rsidR="000A550B" w:rsidRPr="009F6463">
        <w:rPr>
          <w:rFonts w:ascii="Times New Roman" w:hAnsi="Times New Roman"/>
          <w:sz w:val="24"/>
          <w:szCs w:val="24"/>
        </w:rPr>
        <w:t>, imobilizados</w:t>
      </w:r>
      <w:r w:rsidR="00534524" w:rsidRPr="009F6463">
        <w:rPr>
          <w:rFonts w:ascii="Times New Roman" w:hAnsi="Times New Roman"/>
          <w:sz w:val="24"/>
          <w:szCs w:val="24"/>
        </w:rPr>
        <w:t xml:space="preserve"> (I)</w:t>
      </w:r>
      <w:r w:rsidR="000A550B" w:rsidRPr="009F6463">
        <w:rPr>
          <w:rFonts w:ascii="Times New Roman" w:hAnsi="Times New Roman"/>
          <w:sz w:val="24"/>
          <w:szCs w:val="24"/>
        </w:rPr>
        <w:t xml:space="preserve"> e imobilizados tratados</w:t>
      </w:r>
      <w:r w:rsidR="00534524" w:rsidRPr="009F6463">
        <w:rPr>
          <w:rFonts w:ascii="Times New Roman" w:hAnsi="Times New Roman"/>
          <w:sz w:val="24"/>
          <w:szCs w:val="24"/>
        </w:rPr>
        <w:t xml:space="preserve"> (IT)</w:t>
      </w:r>
      <w:r w:rsidR="000A550B" w:rsidRPr="009F6463">
        <w:rPr>
          <w:rFonts w:ascii="Times New Roman" w:hAnsi="Times New Roman"/>
          <w:sz w:val="24"/>
          <w:szCs w:val="24"/>
        </w:rPr>
        <w:t xml:space="preserve">. </w:t>
      </w:r>
      <w:r w:rsidR="00E673AD" w:rsidRPr="009F6463">
        <w:rPr>
          <w:rFonts w:ascii="Times New Roman" w:hAnsi="Times New Roman"/>
          <w:sz w:val="24"/>
          <w:szCs w:val="24"/>
        </w:rPr>
        <w:t xml:space="preserve">Os parâmetros analisados foram: </w:t>
      </w:r>
      <w:r w:rsidR="00724455" w:rsidRPr="009F6463">
        <w:rPr>
          <w:rFonts w:ascii="Times New Roman" w:hAnsi="Times New Roman"/>
          <w:sz w:val="24"/>
          <w:szCs w:val="24"/>
        </w:rPr>
        <w:t xml:space="preserve">massa </w:t>
      </w:r>
      <w:r w:rsidR="00DE364E" w:rsidRPr="009F6463">
        <w:rPr>
          <w:rFonts w:ascii="Times New Roman" w:hAnsi="Times New Roman"/>
          <w:sz w:val="24"/>
          <w:szCs w:val="24"/>
        </w:rPr>
        <w:t xml:space="preserve">corporal </w:t>
      </w:r>
      <w:r w:rsidR="00724455" w:rsidRPr="009F6463">
        <w:rPr>
          <w:rFonts w:ascii="Times New Roman" w:hAnsi="Times New Roman"/>
          <w:sz w:val="24"/>
          <w:szCs w:val="24"/>
        </w:rPr>
        <w:t xml:space="preserve">(M); </w:t>
      </w:r>
      <w:r w:rsidR="00E673AD" w:rsidRPr="009F6463">
        <w:rPr>
          <w:rFonts w:ascii="Times New Roman" w:hAnsi="Times New Roman"/>
          <w:sz w:val="24"/>
          <w:szCs w:val="24"/>
        </w:rPr>
        <w:t>conteúdo muscular de glicogênio</w:t>
      </w:r>
      <w:r w:rsidR="00724455" w:rsidRPr="009F6463">
        <w:rPr>
          <w:rFonts w:ascii="Times New Roman" w:hAnsi="Times New Roman"/>
          <w:sz w:val="24"/>
          <w:szCs w:val="24"/>
        </w:rPr>
        <w:t xml:space="preserve"> (GLI)</w:t>
      </w:r>
      <w:r w:rsidR="00E673AD" w:rsidRPr="009F6463">
        <w:rPr>
          <w:rFonts w:ascii="Times New Roman" w:hAnsi="Times New Roman"/>
          <w:sz w:val="24"/>
          <w:szCs w:val="24"/>
        </w:rPr>
        <w:t xml:space="preserve">, relação proteína total/DNA (PT/DNA), teste de tolerância à insulina </w:t>
      </w:r>
      <w:r w:rsidR="00724455" w:rsidRPr="009F6463">
        <w:rPr>
          <w:rFonts w:ascii="Times New Roman" w:hAnsi="Times New Roman"/>
          <w:sz w:val="24"/>
          <w:szCs w:val="24"/>
        </w:rPr>
        <w:t xml:space="preserve">(ITT) </w:t>
      </w:r>
      <w:r w:rsidR="00E673AD" w:rsidRPr="009F6463">
        <w:rPr>
          <w:rFonts w:ascii="Times New Roman" w:hAnsi="Times New Roman"/>
          <w:sz w:val="24"/>
          <w:szCs w:val="24"/>
        </w:rPr>
        <w:t>e área de secção transversa (AST)</w:t>
      </w:r>
      <w:r w:rsidR="00724455" w:rsidRPr="009F6463">
        <w:rPr>
          <w:rFonts w:ascii="Times New Roman" w:hAnsi="Times New Roman"/>
          <w:sz w:val="24"/>
          <w:szCs w:val="24"/>
        </w:rPr>
        <w:t>. Na estatística utilizou-se o teste</w:t>
      </w:r>
      <w:r w:rsidR="00E673AD" w:rsidRPr="009F6463">
        <w:rPr>
          <w:rFonts w:ascii="Times New Roman" w:hAnsi="Times New Roman"/>
          <w:sz w:val="24"/>
          <w:szCs w:val="24"/>
        </w:rPr>
        <w:t xml:space="preserve"> de Kolmogorov-Smirnov</w:t>
      </w:r>
      <w:r w:rsidR="00724455" w:rsidRPr="009F6463">
        <w:rPr>
          <w:rFonts w:ascii="Times New Roman" w:hAnsi="Times New Roman"/>
          <w:sz w:val="24"/>
          <w:szCs w:val="24"/>
        </w:rPr>
        <w:t>, ANOVA e</w:t>
      </w:r>
      <w:r w:rsidR="00E673AD" w:rsidRPr="009F6463">
        <w:rPr>
          <w:rFonts w:ascii="Times New Roman" w:hAnsi="Times New Roman"/>
          <w:sz w:val="24"/>
          <w:szCs w:val="24"/>
        </w:rPr>
        <w:t xml:space="preserve"> Tukey, p&lt;0,05. Resultados mostraram que não houve diferença na </w:t>
      </w:r>
      <w:r w:rsidR="00724455" w:rsidRPr="009F6463">
        <w:rPr>
          <w:rFonts w:ascii="Times New Roman" w:hAnsi="Times New Roman"/>
          <w:sz w:val="24"/>
          <w:szCs w:val="24"/>
        </w:rPr>
        <w:t>M</w:t>
      </w:r>
      <w:r w:rsidR="00E673AD" w:rsidRPr="009F6463">
        <w:rPr>
          <w:rFonts w:ascii="Times New Roman" w:hAnsi="Times New Roman"/>
          <w:sz w:val="24"/>
          <w:szCs w:val="24"/>
        </w:rPr>
        <w:t xml:space="preserve"> nas diferentes condições </w:t>
      </w:r>
      <w:r w:rsidR="00307B8E" w:rsidRPr="009F6463">
        <w:rPr>
          <w:rFonts w:ascii="Times New Roman" w:hAnsi="Times New Roman"/>
          <w:sz w:val="24"/>
          <w:szCs w:val="24"/>
        </w:rPr>
        <w:t>C e T</w:t>
      </w:r>
      <w:r w:rsidR="00E673AD" w:rsidRPr="009F6463">
        <w:rPr>
          <w:rFonts w:ascii="Times New Roman" w:hAnsi="Times New Roman"/>
          <w:sz w:val="24"/>
          <w:szCs w:val="24"/>
        </w:rPr>
        <w:t xml:space="preserve">, por outro lado, a </w:t>
      </w:r>
      <w:r w:rsidR="00DE364E" w:rsidRPr="009F6463">
        <w:rPr>
          <w:rFonts w:ascii="Times New Roman" w:hAnsi="Times New Roman"/>
          <w:sz w:val="24"/>
          <w:szCs w:val="24"/>
        </w:rPr>
        <w:t>IM</w:t>
      </w:r>
      <w:r w:rsidR="00E673AD" w:rsidRPr="009F6463">
        <w:rPr>
          <w:rFonts w:ascii="Times New Roman" w:hAnsi="Times New Roman"/>
          <w:sz w:val="24"/>
          <w:szCs w:val="24"/>
        </w:rPr>
        <w:t xml:space="preserve"> promoveu redução na relação PT/DNA do músculo sóleo</w:t>
      </w:r>
      <w:r w:rsidR="00307B8E" w:rsidRPr="009F6463">
        <w:rPr>
          <w:rFonts w:ascii="Times New Roman" w:hAnsi="Times New Roman"/>
          <w:sz w:val="24"/>
          <w:szCs w:val="24"/>
        </w:rPr>
        <w:t>, condição minimizada pelo tratamento</w:t>
      </w:r>
      <w:r w:rsidR="00E673AD" w:rsidRPr="009F6463">
        <w:rPr>
          <w:rFonts w:ascii="Times New Roman" w:hAnsi="Times New Roman"/>
          <w:sz w:val="24"/>
          <w:szCs w:val="24"/>
        </w:rPr>
        <w:t xml:space="preserve">. Com relação ao </w:t>
      </w:r>
      <w:r w:rsidR="00724455" w:rsidRPr="009F6463">
        <w:rPr>
          <w:rFonts w:ascii="Times New Roman" w:hAnsi="Times New Roman"/>
          <w:sz w:val="24"/>
          <w:szCs w:val="24"/>
        </w:rPr>
        <w:t>GLI</w:t>
      </w:r>
      <w:r w:rsidR="00E673AD" w:rsidRPr="009F6463">
        <w:rPr>
          <w:rFonts w:ascii="Times New Roman" w:hAnsi="Times New Roman"/>
          <w:sz w:val="24"/>
          <w:szCs w:val="24"/>
        </w:rPr>
        <w:t xml:space="preserve">, houve redução decorrente da </w:t>
      </w:r>
      <w:r w:rsidR="00DE364E" w:rsidRPr="009F6463">
        <w:rPr>
          <w:rFonts w:ascii="Times New Roman" w:hAnsi="Times New Roman"/>
          <w:sz w:val="24"/>
          <w:szCs w:val="24"/>
        </w:rPr>
        <w:t>IM</w:t>
      </w:r>
      <w:r w:rsidR="00E673AD" w:rsidRPr="009F6463">
        <w:rPr>
          <w:rFonts w:ascii="Times New Roman" w:hAnsi="Times New Roman"/>
          <w:sz w:val="24"/>
          <w:szCs w:val="24"/>
        </w:rPr>
        <w:t xml:space="preserve"> e melhora significativa após tratamento com o Nucleocell. Na análise </w:t>
      </w:r>
      <w:r w:rsidR="00724455" w:rsidRPr="009F6463">
        <w:rPr>
          <w:rFonts w:ascii="Times New Roman" w:hAnsi="Times New Roman"/>
          <w:sz w:val="24"/>
          <w:szCs w:val="24"/>
        </w:rPr>
        <w:t>do ITT</w:t>
      </w:r>
      <w:r w:rsidR="00E673AD" w:rsidRPr="009F6463">
        <w:rPr>
          <w:rFonts w:ascii="Times New Roman" w:hAnsi="Times New Roman"/>
          <w:sz w:val="24"/>
          <w:szCs w:val="24"/>
        </w:rPr>
        <w:t xml:space="preserve"> foi verificado que o tratamento promoveu aumento. </w:t>
      </w:r>
      <w:r w:rsidR="00307B8E" w:rsidRPr="009F6463">
        <w:rPr>
          <w:rFonts w:ascii="Times New Roman" w:hAnsi="Times New Roman"/>
          <w:sz w:val="24"/>
          <w:szCs w:val="24"/>
        </w:rPr>
        <w:t xml:space="preserve">Por sua vez, a </w:t>
      </w:r>
      <w:r w:rsidR="00E673AD" w:rsidRPr="009F6463">
        <w:rPr>
          <w:rFonts w:ascii="Times New Roman" w:hAnsi="Times New Roman"/>
          <w:sz w:val="24"/>
          <w:szCs w:val="24"/>
        </w:rPr>
        <w:t xml:space="preserve">AST foi reduzida no grupo I, sendo a perda de </w:t>
      </w:r>
      <w:r w:rsidR="00724455" w:rsidRPr="009F6463">
        <w:rPr>
          <w:rFonts w:ascii="Times New Roman" w:hAnsi="Times New Roman"/>
          <w:sz w:val="24"/>
          <w:szCs w:val="24"/>
        </w:rPr>
        <w:t>M</w:t>
      </w:r>
      <w:r w:rsidR="00E673AD" w:rsidRPr="009F6463">
        <w:rPr>
          <w:rFonts w:ascii="Times New Roman" w:hAnsi="Times New Roman"/>
          <w:sz w:val="24"/>
          <w:szCs w:val="24"/>
        </w:rPr>
        <w:t xml:space="preserve"> minimizada devido ao tratamento, evento </w:t>
      </w:r>
      <w:r w:rsidR="00DE364E" w:rsidRPr="009F6463">
        <w:rPr>
          <w:rFonts w:ascii="Times New Roman" w:hAnsi="Times New Roman"/>
          <w:sz w:val="24"/>
          <w:szCs w:val="24"/>
        </w:rPr>
        <w:t>expresso n</w:t>
      </w:r>
      <w:r w:rsidR="00E673AD" w:rsidRPr="009F6463">
        <w:rPr>
          <w:rFonts w:ascii="Times New Roman" w:hAnsi="Times New Roman"/>
          <w:sz w:val="24"/>
          <w:szCs w:val="24"/>
        </w:rPr>
        <w:t>o grupo T e pela maior relação PT/DNA. Os resultados indicam que o suplemento, minimizou as respostas deflagradas pela imobilização.</w:t>
      </w:r>
    </w:p>
    <w:p w14:paraId="609C18C0" w14:textId="77777777" w:rsidR="00DE364E" w:rsidRPr="009F6463" w:rsidRDefault="006208A0" w:rsidP="009F6463">
      <w:pPr>
        <w:spacing w:line="360" w:lineRule="auto"/>
        <w:jc w:val="both"/>
        <w:rPr>
          <w:rFonts w:ascii="Times New Roman" w:hAnsi="Times New Roman"/>
          <w:sz w:val="24"/>
          <w:szCs w:val="24"/>
        </w:rPr>
      </w:pPr>
      <w:r w:rsidRPr="009F6463">
        <w:rPr>
          <w:rFonts w:ascii="Times New Roman" w:hAnsi="Times New Roman"/>
          <w:b/>
          <w:bCs/>
          <w:sz w:val="24"/>
          <w:szCs w:val="24"/>
        </w:rPr>
        <w:t>Palavras Chave:</w:t>
      </w:r>
      <w:r w:rsidRPr="009F6463">
        <w:rPr>
          <w:rFonts w:ascii="Times New Roman" w:hAnsi="Times New Roman"/>
          <w:sz w:val="24"/>
          <w:szCs w:val="24"/>
        </w:rPr>
        <w:t xml:space="preserve"> nucleotídeos</w:t>
      </w:r>
      <w:r w:rsidR="003E45FD" w:rsidRPr="009F6463">
        <w:rPr>
          <w:rFonts w:ascii="Times New Roman" w:hAnsi="Times New Roman"/>
          <w:sz w:val="24"/>
          <w:szCs w:val="24"/>
        </w:rPr>
        <w:t>;</w:t>
      </w:r>
      <w:r w:rsidRPr="009F6463">
        <w:rPr>
          <w:rFonts w:ascii="Times New Roman" w:hAnsi="Times New Roman"/>
          <w:sz w:val="24"/>
          <w:szCs w:val="24"/>
        </w:rPr>
        <w:t xml:space="preserve"> atrofia muscular</w:t>
      </w:r>
      <w:r w:rsidR="003E45FD" w:rsidRPr="009F6463">
        <w:rPr>
          <w:rFonts w:ascii="Times New Roman" w:hAnsi="Times New Roman"/>
          <w:sz w:val="24"/>
          <w:szCs w:val="24"/>
        </w:rPr>
        <w:t>;</w:t>
      </w:r>
      <w:r w:rsidRPr="009F6463">
        <w:rPr>
          <w:rFonts w:ascii="Times New Roman" w:hAnsi="Times New Roman"/>
          <w:sz w:val="24"/>
          <w:szCs w:val="24"/>
        </w:rPr>
        <w:t xml:space="preserve"> morfometria.</w:t>
      </w:r>
    </w:p>
    <w:p w14:paraId="28B85B4B" w14:textId="77777777" w:rsidR="00DE364E" w:rsidRPr="009F6463" w:rsidRDefault="00DE364E" w:rsidP="009F6463">
      <w:pPr>
        <w:spacing w:line="360" w:lineRule="auto"/>
        <w:jc w:val="both"/>
        <w:rPr>
          <w:rFonts w:ascii="Times New Roman" w:hAnsi="Times New Roman"/>
          <w:sz w:val="24"/>
          <w:szCs w:val="24"/>
        </w:rPr>
      </w:pPr>
    </w:p>
    <w:p w14:paraId="23742197" w14:textId="33A5FCDA" w:rsidR="006208A0" w:rsidRPr="009F6463" w:rsidRDefault="006208A0" w:rsidP="009F6463">
      <w:pPr>
        <w:spacing w:line="360" w:lineRule="auto"/>
        <w:jc w:val="both"/>
        <w:rPr>
          <w:rFonts w:ascii="Times New Roman" w:hAnsi="Times New Roman"/>
          <w:sz w:val="24"/>
          <w:szCs w:val="24"/>
        </w:rPr>
      </w:pPr>
      <w:r w:rsidRPr="009F6463">
        <w:rPr>
          <w:rFonts w:ascii="Times New Roman" w:hAnsi="Times New Roman"/>
          <w:b/>
          <w:sz w:val="24"/>
          <w:szCs w:val="24"/>
          <w:lang w:val="en-US"/>
        </w:rPr>
        <w:t>ABSTRACT</w:t>
      </w:r>
      <w:r w:rsidR="003E7E7E" w:rsidRPr="009F6463">
        <w:rPr>
          <w:rFonts w:ascii="Times New Roman" w:hAnsi="Times New Roman"/>
          <w:b/>
          <w:sz w:val="24"/>
          <w:szCs w:val="24"/>
          <w:lang w:val="en-US"/>
        </w:rPr>
        <w:t>.</w:t>
      </w:r>
      <w:r w:rsidR="004E7853" w:rsidRPr="009F6463">
        <w:rPr>
          <w:rFonts w:ascii="Times New Roman" w:hAnsi="Times New Roman"/>
          <w:sz w:val="24"/>
          <w:szCs w:val="24"/>
          <w:lang w:val="en-US"/>
        </w:rPr>
        <w:t xml:space="preserve"> </w:t>
      </w:r>
      <w:r w:rsidR="00DE364E" w:rsidRPr="009F6463">
        <w:rPr>
          <w:rFonts w:ascii="Times New Roman" w:hAnsi="Times New Roman"/>
          <w:sz w:val="24"/>
          <w:szCs w:val="24"/>
          <w:lang w:val="en-US"/>
        </w:rPr>
        <w:t>Was</w:t>
      </w:r>
      <w:r w:rsidR="004E7853" w:rsidRPr="009F6463">
        <w:rPr>
          <w:rFonts w:ascii="Times New Roman" w:hAnsi="Times New Roman"/>
          <w:sz w:val="24"/>
          <w:szCs w:val="24"/>
          <w:lang w:val="en-US"/>
        </w:rPr>
        <w:t xml:space="preserve"> evaluated the actions of nucleotide-containing supplementation in the immobilization of the pelvic limbs of rats</w:t>
      </w:r>
      <w:r w:rsidR="00DE364E" w:rsidRPr="009F6463">
        <w:rPr>
          <w:rFonts w:ascii="Times New Roman" w:hAnsi="Times New Roman"/>
          <w:sz w:val="24"/>
          <w:szCs w:val="24"/>
          <w:lang w:val="en-US"/>
        </w:rPr>
        <w:t xml:space="preserve"> (IM)</w:t>
      </w:r>
      <w:r w:rsidR="004E7853" w:rsidRPr="009F6463">
        <w:rPr>
          <w:rFonts w:ascii="Times New Roman" w:hAnsi="Times New Roman"/>
          <w:sz w:val="24"/>
          <w:szCs w:val="24"/>
          <w:lang w:val="en-US"/>
        </w:rPr>
        <w:t xml:space="preserve">, seeking to identify whether there is influence on metabolic or morphometric aspects. </w:t>
      </w:r>
      <w:r w:rsidR="00DE364E" w:rsidRPr="009F6463">
        <w:rPr>
          <w:rFonts w:ascii="Times New Roman" w:hAnsi="Times New Roman"/>
          <w:sz w:val="24"/>
          <w:szCs w:val="24"/>
          <w:lang w:val="en-US"/>
        </w:rPr>
        <w:t>M</w:t>
      </w:r>
      <w:r w:rsidR="004E7853" w:rsidRPr="009F6463">
        <w:rPr>
          <w:rFonts w:ascii="Times New Roman" w:hAnsi="Times New Roman"/>
          <w:sz w:val="24"/>
          <w:szCs w:val="24"/>
          <w:lang w:val="en-US"/>
        </w:rPr>
        <w:t xml:space="preserve">ale rats were divided into the groups: control (C), treated with the supplement (T; NUCLEOCELL, 4 mg / day for 7 days), immobilized (I) and immobilized treated (IT). The parameters analyzed were: </w:t>
      </w:r>
      <w:r w:rsidR="00DE364E" w:rsidRPr="009F6463">
        <w:rPr>
          <w:rFonts w:ascii="Times New Roman" w:hAnsi="Times New Roman"/>
          <w:sz w:val="24"/>
          <w:szCs w:val="24"/>
          <w:lang w:val="en-US"/>
        </w:rPr>
        <w:t xml:space="preserve">Body Mass (BM); </w:t>
      </w:r>
      <w:r w:rsidR="004E7853" w:rsidRPr="009F6463">
        <w:rPr>
          <w:rFonts w:ascii="Times New Roman" w:hAnsi="Times New Roman"/>
          <w:sz w:val="24"/>
          <w:szCs w:val="24"/>
          <w:lang w:val="en-US"/>
        </w:rPr>
        <w:t>muscle glycogen content</w:t>
      </w:r>
      <w:r w:rsidR="00DE364E" w:rsidRPr="009F6463">
        <w:rPr>
          <w:rFonts w:ascii="Times New Roman" w:hAnsi="Times New Roman"/>
          <w:sz w:val="24"/>
          <w:szCs w:val="24"/>
          <w:lang w:val="en-US"/>
        </w:rPr>
        <w:t xml:space="preserve"> (GLY)</w:t>
      </w:r>
      <w:r w:rsidR="004E7853" w:rsidRPr="009F6463">
        <w:rPr>
          <w:rFonts w:ascii="Times New Roman" w:hAnsi="Times New Roman"/>
          <w:sz w:val="24"/>
          <w:szCs w:val="24"/>
          <w:lang w:val="en-US"/>
        </w:rPr>
        <w:t xml:space="preserve">, total protein/DNA ratio (PT/DNA), insulin tolerance test </w:t>
      </w:r>
      <w:r w:rsidR="00DE364E" w:rsidRPr="009F6463">
        <w:rPr>
          <w:rFonts w:ascii="Times New Roman" w:hAnsi="Times New Roman"/>
          <w:sz w:val="24"/>
          <w:szCs w:val="24"/>
          <w:lang w:val="en-US"/>
        </w:rPr>
        <w:t xml:space="preserve">(ITT) </w:t>
      </w:r>
      <w:r w:rsidR="004E7853" w:rsidRPr="009F6463">
        <w:rPr>
          <w:rFonts w:ascii="Times New Roman" w:hAnsi="Times New Roman"/>
          <w:sz w:val="24"/>
          <w:szCs w:val="24"/>
          <w:lang w:val="en-US"/>
        </w:rPr>
        <w:t>and cross-sectional area (AST). Statistical analysis was performed by Kolmogorov-Smirnov normality test</w:t>
      </w:r>
      <w:r w:rsidR="00DE364E" w:rsidRPr="009F6463">
        <w:rPr>
          <w:rFonts w:ascii="Times New Roman" w:hAnsi="Times New Roman"/>
          <w:sz w:val="24"/>
          <w:szCs w:val="24"/>
          <w:lang w:val="en-US"/>
        </w:rPr>
        <w:t xml:space="preserve">, </w:t>
      </w:r>
      <w:r w:rsidR="004E7853" w:rsidRPr="009F6463">
        <w:rPr>
          <w:rFonts w:ascii="Times New Roman" w:hAnsi="Times New Roman"/>
          <w:sz w:val="24"/>
          <w:szCs w:val="24"/>
          <w:lang w:val="en-US"/>
        </w:rPr>
        <w:t xml:space="preserve">ANOVA and Tukey's test, p &lt;0.05. The results showed that there was no difference in </w:t>
      </w:r>
      <w:r w:rsidR="00DE364E" w:rsidRPr="009F6463">
        <w:rPr>
          <w:rFonts w:ascii="Times New Roman" w:hAnsi="Times New Roman"/>
          <w:sz w:val="24"/>
          <w:szCs w:val="24"/>
          <w:lang w:val="en-US"/>
        </w:rPr>
        <w:t>BM</w:t>
      </w:r>
      <w:r w:rsidR="004E7853" w:rsidRPr="009F6463">
        <w:rPr>
          <w:rFonts w:ascii="Times New Roman" w:hAnsi="Times New Roman"/>
          <w:sz w:val="24"/>
          <w:szCs w:val="24"/>
          <w:lang w:val="en-US"/>
        </w:rPr>
        <w:t xml:space="preserve"> in the different experimental conditions; on the other hand, </w:t>
      </w:r>
      <w:r w:rsidR="00DE364E" w:rsidRPr="009F6463">
        <w:rPr>
          <w:rFonts w:ascii="Times New Roman" w:hAnsi="Times New Roman"/>
          <w:sz w:val="24"/>
          <w:szCs w:val="24"/>
          <w:lang w:val="en-US"/>
        </w:rPr>
        <w:t>IM</w:t>
      </w:r>
      <w:r w:rsidR="004E7853" w:rsidRPr="009F6463">
        <w:rPr>
          <w:rFonts w:ascii="Times New Roman" w:hAnsi="Times New Roman"/>
          <w:sz w:val="24"/>
          <w:szCs w:val="24"/>
          <w:lang w:val="en-US"/>
        </w:rPr>
        <w:t xml:space="preserve"> promoted a reduction in mass and PT / DNA ratio of the soleus muscle. Regarding the </w:t>
      </w:r>
      <w:r w:rsidR="00DE364E" w:rsidRPr="009F6463">
        <w:rPr>
          <w:rFonts w:ascii="Times New Roman" w:hAnsi="Times New Roman"/>
          <w:sz w:val="24"/>
          <w:szCs w:val="24"/>
          <w:lang w:val="en-US"/>
        </w:rPr>
        <w:t>GLY</w:t>
      </w:r>
      <w:r w:rsidR="004E7853" w:rsidRPr="009F6463">
        <w:rPr>
          <w:rFonts w:ascii="Times New Roman" w:hAnsi="Times New Roman"/>
          <w:sz w:val="24"/>
          <w:szCs w:val="24"/>
          <w:lang w:val="en-US"/>
        </w:rPr>
        <w:t xml:space="preserve">, there was reduction due to </w:t>
      </w:r>
      <w:r w:rsidR="00DE364E" w:rsidRPr="009F6463">
        <w:rPr>
          <w:rFonts w:ascii="Times New Roman" w:hAnsi="Times New Roman"/>
          <w:sz w:val="24"/>
          <w:szCs w:val="24"/>
          <w:lang w:val="en-US"/>
        </w:rPr>
        <w:t>IM</w:t>
      </w:r>
      <w:r w:rsidR="004E7853" w:rsidRPr="009F6463">
        <w:rPr>
          <w:rFonts w:ascii="Times New Roman" w:hAnsi="Times New Roman"/>
          <w:sz w:val="24"/>
          <w:szCs w:val="24"/>
          <w:lang w:val="en-US"/>
        </w:rPr>
        <w:t xml:space="preserve"> and significant improvement after treatment with Nucleocell. In the analysis of the </w:t>
      </w:r>
      <w:r w:rsidR="00DE364E" w:rsidRPr="009F6463">
        <w:rPr>
          <w:rFonts w:ascii="Times New Roman" w:hAnsi="Times New Roman"/>
          <w:sz w:val="24"/>
          <w:szCs w:val="24"/>
          <w:lang w:val="en-US"/>
        </w:rPr>
        <w:t>ITT</w:t>
      </w:r>
      <w:r w:rsidR="004E7853" w:rsidRPr="009F6463">
        <w:rPr>
          <w:rFonts w:ascii="Times New Roman" w:hAnsi="Times New Roman"/>
          <w:sz w:val="24"/>
          <w:szCs w:val="24"/>
          <w:lang w:val="en-US"/>
        </w:rPr>
        <w:t xml:space="preserve">, it was verified that the treatment promoted an increase. The morphometric analysis showed that the AST was reduced in the </w:t>
      </w:r>
      <w:r w:rsidR="00F86BCC" w:rsidRPr="009F6463">
        <w:rPr>
          <w:rFonts w:ascii="Times New Roman" w:hAnsi="Times New Roman"/>
          <w:sz w:val="24"/>
          <w:szCs w:val="24"/>
          <w:lang w:val="en-US"/>
        </w:rPr>
        <w:t>I</w:t>
      </w:r>
      <w:r w:rsidR="004E7853" w:rsidRPr="009F6463">
        <w:rPr>
          <w:rFonts w:ascii="Times New Roman" w:hAnsi="Times New Roman"/>
          <w:sz w:val="24"/>
          <w:szCs w:val="24"/>
          <w:lang w:val="en-US"/>
        </w:rPr>
        <w:t xml:space="preserve"> group, the loss of </w:t>
      </w:r>
      <w:r w:rsidR="00DE364E" w:rsidRPr="009F6463">
        <w:rPr>
          <w:rFonts w:ascii="Times New Roman" w:hAnsi="Times New Roman"/>
          <w:sz w:val="24"/>
          <w:szCs w:val="24"/>
          <w:lang w:val="en-US"/>
        </w:rPr>
        <w:t>M</w:t>
      </w:r>
      <w:r w:rsidR="004E7853" w:rsidRPr="009F6463">
        <w:rPr>
          <w:rFonts w:ascii="Times New Roman" w:hAnsi="Times New Roman"/>
          <w:sz w:val="24"/>
          <w:szCs w:val="24"/>
          <w:lang w:val="en-US"/>
        </w:rPr>
        <w:t xml:space="preserve"> being minimized due to the treatment, an event represented by the AST of the </w:t>
      </w:r>
      <w:r w:rsidR="00F86BCC" w:rsidRPr="009F6463">
        <w:rPr>
          <w:rFonts w:ascii="Times New Roman" w:hAnsi="Times New Roman"/>
          <w:sz w:val="24"/>
          <w:szCs w:val="24"/>
          <w:lang w:val="en-US"/>
        </w:rPr>
        <w:t>T</w:t>
      </w:r>
      <w:r w:rsidR="004E7853" w:rsidRPr="009F6463">
        <w:rPr>
          <w:rFonts w:ascii="Times New Roman" w:hAnsi="Times New Roman"/>
          <w:sz w:val="24"/>
          <w:szCs w:val="24"/>
          <w:lang w:val="en-US"/>
        </w:rPr>
        <w:t xml:space="preserve"> group and the higher PT / DNA ratio. The results indicate that the supplement minimized the responses triggered by immobilization</w:t>
      </w:r>
    </w:p>
    <w:p w14:paraId="3939694F" w14:textId="6438A648" w:rsidR="006208A0" w:rsidRPr="009F6463" w:rsidRDefault="006208A0" w:rsidP="009F6463">
      <w:pPr>
        <w:spacing w:line="360" w:lineRule="auto"/>
        <w:jc w:val="both"/>
        <w:rPr>
          <w:rFonts w:ascii="Times New Roman" w:hAnsi="Times New Roman"/>
          <w:sz w:val="24"/>
          <w:szCs w:val="24"/>
          <w:lang w:val="en-US"/>
        </w:rPr>
      </w:pPr>
      <w:r w:rsidRPr="009F6463">
        <w:rPr>
          <w:rFonts w:ascii="Times New Roman" w:hAnsi="Times New Roman"/>
          <w:b/>
          <w:bCs/>
          <w:sz w:val="24"/>
          <w:szCs w:val="24"/>
          <w:lang w:val="en-US"/>
        </w:rPr>
        <w:t>Keywords:</w:t>
      </w:r>
      <w:r w:rsidRPr="009F6463">
        <w:rPr>
          <w:rFonts w:ascii="Times New Roman" w:hAnsi="Times New Roman"/>
          <w:sz w:val="24"/>
          <w:szCs w:val="24"/>
          <w:lang w:val="en-US"/>
        </w:rPr>
        <w:t xml:space="preserve"> nucleotides</w:t>
      </w:r>
      <w:r w:rsidR="003E45FD" w:rsidRPr="009F6463">
        <w:rPr>
          <w:rFonts w:ascii="Times New Roman" w:hAnsi="Times New Roman"/>
          <w:sz w:val="24"/>
          <w:szCs w:val="24"/>
          <w:lang w:val="en-US"/>
        </w:rPr>
        <w:t>;</w:t>
      </w:r>
      <w:r w:rsidRPr="009F6463">
        <w:rPr>
          <w:rFonts w:ascii="Times New Roman" w:hAnsi="Times New Roman"/>
          <w:sz w:val="24"/>
          <w:szCs w:val="24"/>
          <w:lang w:val="en-US"/>
        </w:rPr>
        <w:t xml:space="preserve"> muscle atrophy</w:t>
      </w:r>
      <w:r w:rsidR="003E45FD" w:rsidRPr="009F6463">
        <w:rPr>
          <w:rFonts w:ascii="Times New Roman" w:hAnsi="Times New Roman"/>
          <w:sz w:val="24"/>
          <w:szCs w:val="24"/>
          <w:lang w:val="en-US"/>
        </w:rPr>
        <w:t xml:space="preserve">; </w:t>
      </w:r>
      <w:r w:rsidRPr="009F6463">
        <w:rPr>
          <w:rFonts w:ascii="Times New Roman" w:hAnsi="Times New Roman"/>
          <w:sz w:val="24"/>
          <w:szCs w:val="24"/>
          <w:lang w:val="en-US"/>
        </w:rPr>
        <w:t>morphometry.</w:t>
      </w:r>
    </w:p>
    <w:bookmarkEnd w:id="0"/>
    <w:p w14:paraId="6A89D22A" w14:textId="43932004" w:rsidR="003E7E7E" w:rsidRPr="009F6463" w:rsidRDefault="003E7E7E" w:rsidP="00E56F93">
      <w:pPr>
        <w:rPr>
          <w:rFonts w:ascii="Times New Roman" w:hAnsi="Times New Roman"/>
          <w:sz w:val="24"/>
          <w:szCs w:val="24"/>
          <w:lang w:val="en-US"/>
        </w:rPr>
      </w:pPr>
    </w:p>
    <w:p w14:paraId="699C7282" w14:textId="5FEA5EF1" w:rsidR="006208A0" w:rsidRPr="009F6463" w:rsidRDefault="003E7E7E" w:rsidP="009F6463">
      <w:pPr>
        <w:pStyle w:val="Pr-formataoHTML"/>
        <w:shd w:val="clear" w:color="auto" w:fill="F8F9FA"/>
        <w:spacing w:line="360" w:lineRule="auto"/>
        <w:jc w:val="both"/>
        <w:rPr>
          <w:rFonts w:ascii="Times New Roman" w:hAnsi="Times New Roman" w:cs="Times New Roman"/>
          <w:sz w:val="24"/>
          <w:szCs w:val="24"/>
          <w:lang w:val="en-US"/>
        </w:rPr>
      </w:pPr>
      <w:r w:rsidRPr="009F6463">
        <w:rPr>
          <w:rFonts w:ascii="Times New Roman" w:hAnsi="Times New Roman" w:cs="Times New Roman"/>
          <w:b/>
          <w:bCs/>
          <w:sz w:val="24"/>
          <w:szCs w:val="24"/>
          <w:lang w:val="en-US"/>
        </w:rPr>
        <w:t>RESUMEN.</w:t>
      </w:r>
      <w:r w:rsidRPr="009F6463">
        <w:rPr>
          <w:rFonts w:ascii="Times New Roman" w:hAnsi="Times New Roman" w:cs="Times New Roman"/>
          <w:sz w:val="24"/>
          <w:szCs w:val="24"/>
          <w:lang w:val="en-US"/>
        </w:rPr>
        <w:t xml:space="preserve"> </w:t>
      </w:r>
      <w:r w:rsidR="00DE364E" w:rsidRPr="009F6463">
        <w:rPr>
          <w:rFonts w:ascii="Times New Roman" w:hAnsi="Times New Roman" w:cs="Times New Roman"/>
          <w:color w:val="222222"/>
          <w:sz w:val="24"/>
          <w:szCs w:val="24"/>
          <w:lang w:val="es-ES"/>
        </w:rPr>
        <w:t xml:space="preserve">ha sido calificado </w:t>
      </w:r>
      <w:r w:rsidRPr="009F6463">
        <w:rPr>
          <w:rFonts w:ascii="Times New Roman" w:hAnsi="Times New Roman" w:cs="Times New Roman"/>
          <w:sz w:val="24"/>
          <w:szCs w:val="24"/>
          <w:lang w:val="en-US"/>
        </w:rPr>
        <w:t xml:space="preserve">las acciones de la suplementación </w:t>
      </w:r>
      <w:r w:rsidR="0068686D" w:rsidRPr="009F6463">
        <w:rPr>
          <w:rFonts w:ascii="Times New Roman" w:hAnsi="Times New Roman" w:cs="Times New Roman"/>
          <w:sz w:val="24"/>
          <w:szCs w:val="24"/>
          <w:lang w:val="en-US"/>
        </w:rPr>
        <w:t>com</w:t>
      </w:r>
      <w:r w:rsidRPr="009F6463">
        <w:rPr>
          <w:rFonts w:ascii="Times New Roman" w:hAnsi="Times New Roman" w:cs="Times New Roman"/>
          <w:sz w:val="24"/>
          <w:szCs w:val="24"/>
          <w:lang w:val="en-US"/>
        </w:rPr>
        <w:t xml:space="preserve"> nucleótidos en la inmovilización de las extremidades pélvicas de ratas</w:t>
      </w:r>
      <w:r w:rsidR="0068686D" w:rsidRPr="009F6463">
        <w:rPr>
          <w:rFonts w:ascii="Times New Roman" w:hAnsi="Times New Roman" w:cs="Times New Roman"/>
          <w:sz w:val="24"/>
          <w:szCs w:val="24"/>
          <w:lang w:val="en-US"/>
        </w:rPr>
        <w:t xml:space="preserve"> (INM) </w:t>
      </w:r>
      <w:r w:rsidRPr="009F6463">
        <w:rPr>
          <w:rFonts w:ascii="Times New Roman" w:hAnsi="Times New Roman" w:cs="Times New Roman"/>
          <w:sz w:val="24"/>
          <w:szCs w:val="24"/>
          <w:lang w:val="en-US"/>
        </w:rPr>
        <w:t xml:space="preserve">buscando identificar si existe influencia en los aspectos metabólicos o morfométricos. Las ratas macho </w:t>
      </w:r>
      <w:r w:rsidR="00EB2053" w:rsidRPr="009F6463">
        <w:rPr>
          <w:rFonts w:ascii="Times New Roman" w:hAnsi="Times New Roman" w:cs="Times New Roman"/>
          <w:sz w:val="24"/>
          <w:szCs w:val="24"/>
          <w:lang w:val="en-US"/>
        </w:rPr>
        <w:t xml:space="preserve">dividieron en los </w:t>
      </w:r>
      <w:r w:rsidRPr="009F6463">
        <w:rPr>
          <w:rFonts w:ascii="Times New Roman" w:hAnsi="Times New Roman" w:cs="Times New Roman"/>
          <w:sz w:val="24"/>
          <w:szCs w:val="24"/>
          <w:lang w:val="en-US"/>
        </w:rPr>
        <w:t xml:space="preserve">grupos: control (C), tratados con el suplemento (T; NUCLEOCELL, 4 mg / día durante 7 días), inmovilizados (I) e inmovilizados tratado (IT). Los parámetros analizados fueron: </w:t>
      </w:r>
      <w:r w:rsidR="00DE364E" w:rsidRPr="009F6463">
        <w:rPr>
          <w:rFonts w:ascii="Times New Roman" w:hAnsi="Times New Roman" w:cs="Times New Roman"/>
          <w:sz w:val="24"/>
          <w:szCs w:val="24"/>
          <w:lang w:val="en-US"/>
        </w:rPr>
        <w:t xml:space="preserve">Masa corporal (M); </w:t>
      </w:r>
      <w:r w:rsidRPr="009F6463">
        <w:rPr>
          <w:rFonts w:ascii="Times New Roman" w:hAnsi="Times New Roman" w:cs="Times New Roman"/>
          <w:sz w:val="24"/>
          <w:szCs w:val="24"/>
          <w:lang w:val="en-US"/>
        </w:rPr>
        <w:t>contenido de glucógeno muscular</w:t>
      </w:r>
      <w:r w:rsidR="00DE364E" w:rsidRPr="009F6463">
        <w:rPr>
          <w:rFonts w:ascii="Times New Roman" w:hAnsi="Times New Roman" w:cs="Times New Roman"/>
          <w:sz w:val="24"/>
          <w:szCs w:val="24"/>
          <w:lang w:val="en-US"/>
        </w:rPr>
        <w:t xml:space="preserve"> (GLI)</w:t>
      </w:r>
      <w:r w:rsidRPr="009F6463">
        <w:rPr>
          <w:rFonts w:ascii="Times New Roman" w:hAnsi="Times New Roman" w:cs="Times New Roman"/>
          <w:sz w:val="24"/>
          <w:szCs w:val="24"/>
          <w:lang w:val="en-US"/>
        </w:rPr>
        <w:t>, proporción proteína/</w:t>
      </w:r>
      <w:r w:rsidR="00EB2053" w:rsidRPr="009F6463">
        <w:rPr>
          <w:rFonts w:ascii="Times New Roman" w:hAnsi="Times New Roman" w:cs="Times New Roman"/>
          <w:sz w:val="24"/>
          <w:szCs w:val="24"/>
          <w:lang w:val="en-US"/>
        </w:rPr>
        <w:t>AND</w:t>
      </w:r>
      <w:r w:rsidRPr="009F6463">
        <w:rPr>
          <w:rFonts w:ascii="Times New Roman" w:hAnsi="Times New Roman" w:cs="Times New Roman"/>
          <w:sz w:val="24"/>
          <w:szCs w:val="24"/>
          <w:lang w:val="en-US"/>
        </w:rPr>
        <w:t xml:space="preserve"> (PT/ADN), prueba de tolerancia a la insulina</w:t>
      </w:r>
      <w:r w:rsidR="00DE364E" w:rsidRPr="009F6463">
        <w:rPr>
          <w:rFonts w:ascii="Times New Roman" w:hAnsi="Times New Roman" w:cs="Times New Roman"/>
          <w:sz w:val="24"/>
          <w:szCs w:val="24"/>
          <w:lang w:val="en-US"/>
        </w:rPr>
        <w:t xml:space="preserve"> (ITT)</w:t>
      </w:r>
      <w:r w:rsidRPr="009F6463">
        <w:rPr>
          <w:rFonts w:ascii="Times New Roman" w:hAnsi="Times New Roman" w:cs="Times New Roman"/>
          <w:sz w:val="24"/>
          <w:szCs w:val="24"/>
          <w:lang w:val="en-US"/>
        </w:rPr>
        <w:t xml:space="preserve"> y área de sección transversal (AST). Se realizó un análisis estadístico de la prueba Kolmogorov-Smirnov</w:t>
      </w:r>
      <w:r w:rsidR="00DE364E" w:rsidRPr="009F6463">
        <w:rPr>
          <w:rFonts w:ascii="Times New Roman" w:hAnsi="Times New Roman" w:cs="Times New Roman"/>
          <w:sz w:val="24"/>
          <w:szCs w:val="24"/>
          <w:lang w:val="en-US"/>
        </w:rPr>
        <w:t>;</w:t>
      </w:r>
      <w:r w:rsidRPr="009F6463">
        <w:rPr>
          <w:rFonts w:ascii="Times New Roman" w:hAnsi="Times New Roman" w:cs="Times New Roman"/>
          <w:sz w:val="24"/>
          <w:szCs w:val="24"/>
          <w:lang w:val="en-US"/>
        </w:rPr>
        <w:t xml:space="preserve"> ANOVA y Tukey, p &lt;0,05. Los resultados mostraron que no hubo diferencia en </w:t>
      </w:r>
      <w:r w:rsidR="0068686D" w:rsidRPr="009F6463">
        <w:rPr>
          <w:rFonts w:ascii="Times New Roman" w:hAnsi="Times New Roman" w:cs="Times New Roman"/>
          <w:sz w:val="24"/>
          <w:szCs w:val="24"/>
          <w:lang w:val="en-US"/>
        </w:rPr>
        <w:t>M</w:t>
      </w:r>
      <w:r w:rsidRPr="009F6463">
        <w:rPr>
          <w:rFonts w:ascii="Times New Roman" w:hAnsi="Times New Roman" w:cs="Times New Roman"/>
          <w:sz w:val="24"/>
          <w:szCs w:val="24"/>
          <w:lang w:val="en-US"/>
        </w:rPr>
        <w:t xml:space="preserve"> en las condiciones C y T; la </w:t>
      </w:r>
      <w:r w:rsidR="0068686D" w:rsidRPr="009F6463">
        <w:rPr>
          <w:rFonts w:ascii="Times New Roman" w:hAnsi="Times New Roman" w:cs="Times New Roman"/>
          <w:sz w:val="24"/>
          <w:szCs w:val="24"/>
          <w:lang w:val="en-US"/>
        </w:rPr>
        <w:t>INM</w:t>
      </w:r>
      <w:r w:rsidRPr="009F6463">
        <w:rPr>
          <w:rFonts w:ascii="Times New Roman" w:hAnsi="Times New Roman" w:cs="Times New Roman"/>
          <w:sz w:val="24"/>
          <w:szCs w:val="24"/>
          <w:lang w:val="en-US"/>
        </w:rPr>
        <w:t xml:space="preserve"> promovió una reducción en </w:t>
      </w:r>
      <w:r w:rsidR="0068686D" w:rsidRPr="009F6463">
        <w:rPr>
          <w:rFonts w:ascii="Times New Roman" w:hAnsi="Times New Roman" w:cs="Times New Roman"/>
          <w:sz w:val="24"/>
          <w:szCs w:val="24"/>
          <w:lang w:val="en-US"/>
        </w:rPr>
        <w:t>M</w:t>
      </w:r>
      <w:r w:rsidRPr="009F6463">
        <w:rPr>
          <w:rFonts w:ascii="Times New Roman" w:hAnsi="Times New Roman" w:cs="Times New Roman"/>
          <w:sz w:val="24"/>
          <w:szCs w:val="24"/>
          <w:lang w:val="en-US"/>
        </w:rPr>
        <w:t xml:space="preserve"> y la relación PT/ADN del músculo sóleo, </w:t>
      </w:r>
      <w:r w:rsidR="00562ADA" w:rsidRPr="009F6463">
        <w:rPr>
          <w:rFonts w:ascii="Times New Roman" w:hAnsi="Times New Roman" w:cs="Times New Roman"/>
          <w:color w:val="222222"/>
          <w:sz w:val="24"/>
          <w:szCs w:val="24"/>
          <w:lang w:val="es-ES"/>
        </w:rPr>
        <w:t>y fue minimizado por tratamiento</w:t>
      </w:r>
      <w:r w:rsidRPr="009F6463">
        <w:rPr>
          <w:rFonts w:ascii="Times New Roman" w:hAnsi="Times New Roman" w:cs="Times New Roman"/>
          <w:sz w:val="24"/>
          <w:szCs w:val="24"/>
          <w:lang w:val="en-US"/>
        </w:rPr>
        <w:t xml:space="preserve">. Con respecto al </w:t>
      </w:r>
      <w:r w:rsidR="0068686D" w:rsidRPr="009F6463">
        <w:rPr>
          <w:rFonts w:ascii="Times New Roman" w:hAnsi="Times New Roman" w:cs="Times New Roman"/>
          <w:sz w:val="24"/>
          <w:szCs w:val="24"/>
          <w:lang w:val="en-US"/>
        </w:rPr>
        <w:t>GLI</w:t>
      </w:r>
      <w:r w:rsidRPr="009F6463">
        <w:rPr>
          <w:rFonts w:ascii="Times New Roman" w:hAnsi="Times New Roman" w:cs="Times New Roman"/>
          <w:sz w:val="24"/>
          <w:szCs w:val="24"/>
          <w:lang w:val="en-US"/>
        </w:rPr>
        <w:t xml:space="preserve">, hubo una reducción debido a la </w:t>
      </w:r>
      <w:r w:rsidR="0068686D" w:rsidRPr="009F6463">
        <w:rPr>
          <w:rFonts w:ascii="Times New Roman" w:hAnsi="Times New Roman" w:cs="Times New Roman"/>
          <w:sz w:val="24"/>
          <w:szCs w:val="24"/>
          <w:lang w:val="en-US"/>
        </w:rPr>
        <w:t>INM</w:t>
      </w:r>
      <w:r w:rsidRPr="009F6463">
        <w:rPr>
          <w:rFonts w:ascii="Times New Roman" w:hAnsi="Times New Roman" w:cs="Times New Roman"/>
          <w:sz w:val="24"/>
          <w:szCs w:val="24"/>
          <w:lang w:val="en-US"/>
        </w:rPr>
        <w:t xml:space="preserve"> y una mejora significativa después del </w:t>
      </w:r>
      <w:r w:rsidR="0068686D" w:rsidRPr="009F6463">
        <w:rPr>
          <w:rFonts w:ascii="Times New Roman" w:hAnsi="Times New Roman" w:cs="Times New Roman"/>
          <w:sz w:val="24"/>
          <w:szCs w:val="24"/>
          <w:lang w:val="en-US"/>
        </w:rPr>
        <w:t>T</w:t>
      </w:r>
      <w:r w:rsidRPr="009F6463">
        <w:rPr>
          <w:rFonts w:ascii="Times New Roman" w:hAnsi="Times New Roman" w:cs="Times New Roman"/>
          <w:sz w:val="24"/>
          <w:szCs w:val="24"/>
          <w:lang w:val="en-US"/>
        </w:rPr>
        <w:t xml:space="preserve">. En el análisis de </w:t>
      </w:r>
      <w:r w:rsidR="0068686D" w:rsidRPr="009F6463">
        <w:rPr>
          <w:rFonts w:ascii="Times New Roman" w:hAnsi="Times New Roman" w:cs="Times New Roman"/>
          <w:sz w:val="24"/>
          <w:szCs w:val="24"/>
          <w:lang w:val="en-US"/>
        </w:rPr>
        <w:t>ITT</w:t>
      </w:r>
      <w:r w:rsidRPr="009F6463">
        <w:rPr>
          <w:rFonts w:ascii="Times New Roman" w:hAnsi="Times New Roman" w:cs="Times New Roman"/>
          <w:sz w:val="24"/>
          <w:szCs w:val="24"/>
          <w:lang w:val="en-US"/>
        </w:rPr>
        <w:t>, se verificó que el tratamiento promovió un aumento. Por otro lado, el análisis morfométrico mostró que la AST se redujo en el grupo I, la pérdida de masa se minimizó debido al tratamiento, un evento representado por la AST del grupo T y la mayor relación PT / ADN. Los resultados indican que el suplemento minimizó las respuestas desencadenadas por la inmovilización.</w:t>
      </w:r>
    </w:p>
    <w:p w14:paraId="377E3137" w14:textId="77777777" w:rsidR="0068686D" w:rsidRPr="009F6463" w:rsidRDefault="0068686D" w:rsidP="009F6463">
      <w:pPr>
        <w:pStyle w:val="Pr-formataoHTML"/>
        <w:shd w:val="clear" w:color="auto" w:fill="F8F9FA"/>
        <w:spacing w:line="360" w:lineRule="auto"/>
        <w:jc w:val="both"/>
        <w:rPr>
          <w:rFonts w:ascii="Times New Roman" w:hAnsi="Times New Roman" w:cs="Times New Roman"/>
          <w:sz w:val="24"/>
          <w:szCs w:val="24"/>
          <w:lang w:val="en-US"/>
        </w:rPr>
      </w:pPr>
    </w:p>
    <w:p w14:paraId="73E0B2BB" w14:textId="7D28C689" w:rsidR="00A80655" w:rsidRPr="009F6463" w:rsidRDefault="001658CC" w:rsidP="009F6463">
      <w:pPr>
        <w:autoSpaceDE w:val="0"/>
        <w:autoSpaceDN w:val="0"/>
        <w:adjustRightInd w:val="0"/>
        <w:spacing w:after="0" w:line="360" w:lineRule="auto"/>
        <w:jc w:val="both"/>
        <w:rPr>
          <w:rFonts w:ascii="Times New Roman" w:hAnsi="Times New Roman"/>
          <w:bCs/>
          <w:sz w:val="24"/>
          <w:szCs w:val="24"/>
        </w:rPr>
      </w:pPr>
      <w:r w:rsidRPr="009F6463">
        <w:rPr>
          <w:rFonts w:ascii="Times New Roman" w:hAnsi="Times New Roman"/>
          <w:b/>
          <w:bCs/>
          <w:sz w:val="24"/>
          <w:szCs w:val="24"/>
        </w:rPr>
        <w:t>Palabras clave</w:t>
      </w:r>
      <w:r w:rsidRPr="009F6463">
        <w:rPr>
          <w:rFonts w:ascii="Times New Roman" w:hAnsi="Times New Roman"/>
          <w:bCs/>
          <w:sz w:val="24"/>
          <w:szCs w:val="24"/>
        </w:rPr>
        <w:t>: nucleótidos</w:t>
      </w:r>
      <w:r w:rsidR="003E45FD" w:rsidRPr="009F6463">
        <w:rPr>
          <w:rFonts w:ascii="Times New Roman" w:hAnsi="Times New Roman"/>
          <w:bCs/>
          <w:sz w:val="24"/>
          <w:szCs w:val="24"/>
        </w:rPr>
        <w:t>;</w:t>
      </w:r>
      <w:r w:rsidRPr="009F6463">
        <w:rPr>
          <w:rFonts w:ascii="Times New Roman" w:hAnsi="Times New Roman"/>
          <w:bCs/>
          <w:sz w:val="24"/>
          <w:szCs w:val="24"/>
        </w:rPr>
        <w:t xml:space="preserve"> atrofia muscular</w:t>
      </w:r>
      <w:r w:rsidR="003E45FD" w:rsidRPr="009F6463">
        <w:rPr>
          <w:rFonts w:ascii="Times New Roman" w:hAnsi="Times New Roman"/>
          <w:bCs/>
          <w:sz w:val="24"/>
          <w:szCs w:val="24"/>
        </w:rPr>
        <w:t>;</w:t>
      </w:r>
      <w:r w:rsidRPr="009F6463">
        <w:rPr>
          <w:rFonts w:ascii="Times New Roman" w:hAnsi="Times New Roman"/>
          <w:bCs/>
          <w:sz w:val="24"/>
          <w:szCs w:val="24"/>
        </w:rPr>
        <w:t xml:space="preserve"> morfometría.</w:t>
      </w:r>
    </w:p>
    <w:p w14:paraId="0193BF0E" w14:textId="079B8241" w:rsidR="00847ACE" w:rsidRPr="009F6463" w:rsidRDefault="00847ACE" w:rsidP="009F6463">
      <w:pPr>
        <w:autoSpaceDE w:val="0"/>
        <w:autoSpaceDN w:val="0"/>
        <w:adjustRightInd w:val="0"/>
        <w:spacing w:after="0" w:line="360" w:lineRule="auto"/>
        <w:jc w:val="both"/>
        <w:rPr>
          <w:rFonts w:ascii="Times New Roman" w:hAnsi="Times New Roman"/>
          <w:b/>
          <w:bCs/>
          <w:sz w:val="24"/>
          <w:szCs w:val="24"/>
        </w:rPr>
      </w:pPr>
      <w:r w:rsidRPr="009F6463">
        <w:rPr>
          <w:rFonts w:ascii="Times New Roman" w:hAnsi="Times New Roman"/>
          <w:b/>
          <w:bCs/>
          <w:sz w:val="24"/>
          <w:szCs w:val="24"/>
        </w:rPr>
        <w:t>INTRODUÇÃO</w:t>
      </w:r>
    </w:p>
    <w:p w14:paraId="209A9F44" w14:textId="6DFCEE45" w:rsidR="00111BBB" w:rsidRPr="009F6463" w:rsidRDefault="00C12CBD" w:rsidP="009F6463">
      <w:pPr>
        <w:spacing w:after="0" w:line="360" w:lineRule="auto"/>
        <w:ind w:firstLine="708"/>
        <w:jc w:val="both"/>
        <w:rPr>
          <w:rFonts w:ascii="Times New Roman" w:hAnsi="Times New Roman"/>
          <w:sz w:val="24"/>
          <w:szCs w:val="24"/>
        </w:rPr>
      </w:pPr>
      <w:r w:rsidRPr="009F6463">
        <w:rPr>
          <w:rFonts w:ascii="Times New Roman" w:hAnsi="Times New Roman"/>
          <w:sz w:val="24"/>
          <w:szCs w:val="24"/>
        </w:rPr>
        <w:t>Na</w:t>
      </w:r>
      <w:r w:rsidR="00F61A42" w:rsidRPr="009F6463">
        <w:rPr>
          <w:rFonts w:ascii="Times New Roman" w:hAnsi="Times New Roman"/>
          <w:sz w:val="24"/>
          <w:szCs w:val="24"/>
        </w:rPr>
        <w:t xml:space="preserve"> literatura </w:t>
      </w:r>
      <w:r w:rsidRPr="009F6463">
        <w:rPr>
          <w:rFonts w:ascii="Times New Roman" w:hAnsi="Times New Roman"/>
          <w:sz w:val="24"/>
          <w:szCs w:val="24"/>
        </w:rPr>
        <w:t>há</w:t>
      </w:r>
      <w:r w:rsidR="00F61A42" w:rsidRPr="009F6463">
        <w:rPr>
          <w:rFonts w:ascii="Times New Roman" w:hAnsi="Times New Roman"/>
          <w:sz w:val="24"/>
          <w:szCs w:val="24"/>
        </w:rPr>
        <w:t xml:space="preserve"> muitas descrições sobre condições que desencadeiam </w:t>
      </w:r>
      <w:r w:rsidR="00847ACE" w:rsidRPr="009F6463">
        <w:rPr>
          <w:rFonts w:ascii="Times New Roman" w:hAnsi="Times New Roman"/>
          <w:sz w:val="24"/>
          <w:szCs w:val="24"/>
        </w:rPr>
        <w:t>lesão músculo esquelética</w:t>
      </w:r>
      <w:r w:rsidR="00371081" w:rsidRPr="009F6463">
        <w:rPr>
          <w:rFonts w:ascii="Times New Roman" w:hAnsi="Times New Roman"/>
          <w:sz w:val="24"/>
          <w:szCs w:val="24"/>
        </w:rPr>
        <w:t xml:space="preserve"> </w:t>
      </w:r>
      <w:r w:rsidRPr="009F6463">
        <w:rPr>
          <w:rFonts w:ascii="Times New Roman" w:hAnsi="Times New Roman"/>
          <w:sz w:val="24"/>
          <w:szCs w:val="24"/>
        </w:rPr>
        <w:t>n</w:t>
      </w:r>
      <w:r w:rsidR="00371081" w:rsidRPr="009F6463">
        <w:rPr>
          <w:rFonts w:ascii="Times New Roman" w:hAnsi="Times New Roman"/>
          <w:sz w:val="24"/>
          <w:szCs w:val="24"/>
        </w:rPr>
        <w:t>as quais</w:t>
      </w:r>
      <w:r w:rsidR="00847ACE" w:rsidRPr="009F6463">
        <w:rPr>
          <w:rFonts w:ascii="Times New Roman" w:hAnsi="Times New Roman"/>
          <w:sz w:val="24"/>
          <w:szCs w:val="24"/>
        </w:rPr>
        <w:t xml:space="preserve">, </w:t>
      </w:r>
      <w:r w:rsidR="00371081" w:rsidRPr="009F6463">
        <w:rPr>
          <w:rFonts w:ascii="Times New Roman" w:hAnsi="Times New Roman"/>
          <w:sz w:val="24"/>
          <w:szCs w:val="24"/>
        </w:rPr>
        <w:t xml:space="preserve">se </w:t>
      </w:r>
      <w:r w:rsidR="00307B8E" w:rsidRPr="009F6463">
        <w:rPr>
          <w:rFonts w:ascii="Times New Roman" w:hAnsi="Times New Roman"/>
          <w:sz w:val="24"/>
          <w:szCs w:val="24"/>
        </w:rPr>
        <w:t>utiliza</w:t>
      </w:r>
      <w:r w:rsidR="00371081" w:rsidRPr="009F6463">
        <w:rPr>
          <w:rFonts w:ascii="Times New Roman" w:hAnsi="Times New Roman"/>
          <w:sz w:val="24"/>
          <w:szCs w:val="24"/>
        </w:rPr>
        <w:t xml:space="preserve"> </w:t>
      </w:r>
      <w:r w:rsidR="00307B8E" w:rsidRPr="009F6463">
        <w:rPr>
          <w:rFonts w:ascii="Times New Roman" w:hAnsi="Times New Roman"/>
          <w:sz w:val="24"/>
          <w:szCs w:val="24"/>
        </w:rPr>
        <w:t>a</w:t>
      </w:r>
      <w:r w:rsidR="00847ACE" w:rsidRPr="009F6463">
        <w:rPr>
          <w:rFonts w:ascii="Times New Roman" w:hAnsi="Times New Roman"/>
          <w:sz w:val="24"/>
          <w:szCs w:val="24"/>
        </w:rPr>
        <w:t xml:space="preserve"> imobilização dos membros </w:t>
      </w:r>
      <w:r w:rsidR="00371081" w:rsidRPr="009F6463">
        <w:rPr>
          <w:rFonts w:ascii="Times New Roman" w:hAnsi="Times New Roman"/>
          <w:sz w:val="24"/>
          <w:szCs w:val="24"/>
        </w:rPr>
        <w:t xml:space="preserve">visando minimizar o tempo de </w:t>
      </w:r>
      <w:r w:rsidR="00847ACE" w:rsidRPr="009F6463">
        <w:rPr>
          <w:rFonts w:ascii="Times New Roman" w:hAnsi="Times New Roman"/>
          <w:sz w:val="24"/>
          <w:szCs w:val="24"/>
        </w:rPr>
        <w:t xml:space="preserve">recuperação. </w:t>
      </w:r>
      <w:r w:rsidR="00371081" w:rsidRPr="009F6463">
        <w:rPr>
          <w:rFonts w:ascii="Times New Roman" w:hAnsi="Times New Roman"/>
          <w:sz w:val="24"/>
          <w:szCs w:val="24"/>
        </w:rPr>
        <w:t xml:space="preserve">Em detrimento da lesão deflagram-se alterações metabólicas, </w:t>
      </w:r>
      <w:r w:rsidR="00847ACE" w:rsidRPr="009F6463">
        <w:rPr>
          <w:rFonts w:ascii="Times New Roman" w:hAnsi="Times New Roman"/>
          <w:sz w:val="24"/>
          <w:szCs w:val="24"/>
        </w:rPr>
        <w:t>estrutura</w:t>
      </w:r>
      <w:r w:rsidR="00371081" w:rsidRPr="009F6463">
        <w:rPr>
          <w:rFonts w:ascii="Times New Roman" w:hAnsi="Times New Roman"/>
          <w:sz w:val="24"/>
          <w:szCs w:val="24"/>
        </w:rPr>
        <w:t>i</w:t>
      </w:r>
      <w:r w:rsidR="00847ACE" w:rsidRPr="009F6463">
        <w:rPr>
          <w:rFonts w:ascii="Times New Roman" w:hAnsi="Times New Roman"/>
          <w:sz w:val="24"/>
          <w:szCs w:val="24"/>
        </w:rPr>
        <w:t xml:space="preserve">s </w:t>
      </w:r>
      <w:r w:rsidR="00371081" w:rsidRPr="009F6463">
        <w:rPr>
          <w:rFonts w:ascii="Times New Roman" w:hAnsi="Times New Roman"/>
          <w:sz w:val="24"/>
          <w:szCs w:val="24"/>
        </w:rPr>
        <w:t>e</w:t>
      </w:r>
      <w:r w:rsidR="00847ACE" w:rsidRPr="009F6463">
        <w:rPr>
          <w:rFonts w:ascii="Times New Roman" w:hAnsi="Times New Roman"/>
          <w:sz w:val="24"/>
          <w:szCs w:val="24"/>
        </w:rPr>
        <w:t xml:space="preserve"> funcionais, </w:t>
      </w:r>
      <w:r w:rsidR="00371081" w:rsidRPr="009F6463">
        <w:rPr>
          <w:rFonts w:ascii="Times New Roman" w:hAnsi="Times New Roman"/>
          <w:sz w:val="24"/>
          <w:szCs w:val="24"/>
        </w:rPr>
        <w:t xml:space="preserve">representado </w:t>
      </w:r>
      <w:r w:rsidR="00994051" w:rsidRPr="009F6463">
        <w:rPr>
          <w:rFonts w:ascii="Times New Roman" w:hAnsi="Times New Roman"/>
          <w:sz w:val="24"/>
          <w:szCs w:val="24"/>
        </w:rPr>
        <w:t>pela diminuição</w:t>
      </w:r>
      <w:r w:rsidR="00847ACE" w:rsidRPr="009F6463">
        <w:rPr>
          <w:rFonts w:ascii="Times New Roman" w:hAnsi="Times New Roman"/>
          <w:sz w:val="24"/>
          <w:szCs w:val="24"/>
        </w:rPr>
        <w:t xml:space="preserve"> da força e resistência muscular, elevação na proteólise </w:t>
      </w:r>
      <w:r w:rsidR="00994051" w:rsidRPr="009F6463">
        <w:rPr>
          <w:rFonts w:ascii="Times New Roman" w:hAnsi="Times New Roman"/>
          <w:sz w:val="24"/>
          <w:szCs w:val="24"/>
        </w:rPr>
        <w:t>e consequente</w:t>
      </w:r>
      <w:r w:rsidR="00371081" w:rsidRPr="009F6463">
        <w:rPr>
          <w:rFonts w:ascii="Times New Roman" w:hAnsi="Times New Roman"/>
          <w:sz w:val="24"/>
          <w:szCs w:val="24"/>
        </w:rPr>
        <w:t xml:space="preserve"> atrofia</w:t>
      </w:r>
      <w:r w:rsidR="00E56F93">
        <w:rPr>
          <w:rFonts w:ascii="Times New Roman" w:hAnsi="Times New Roman"/>
          <w:sz w:val="24"/>
          <w:szCs w:val="24"/>
        </w:rPr>
        <w:t>.</w:t>
      </w:r>
      <w:r w:rsidR="00E56F93">
        <w:rPr>
          <w:rFonts w:ascii="Times New Roman" w:hAnsi="Times New Roman"/>
          <w:sz w:val="24"/>
          <w:szCs w:val="24"/>
          <w:vertAlign w:val="superscript"/>
        </w:rPr>
        <w:t>1</w:t>
      </w:r>
      <w:r w:rsidR="00547BBA">
        <w:rPr>
          <w:rFonts w:ascii="Times New Roman" w:hAnsi="Times New Roman"/>
          <w:sz w:val="24"/>
          <w:szCs w:val="24"/>
          <w:vertAlign w:val="superscript"/>
        </w:rPr>
        <w:t xml:space="preserve"> </w:t>
      </w:r>
      <w:r w:rsidR="00C702F0" w:rsidRPr="009F6463">
        <w:rPr>
          <w:rFonts w:ascii="Times New Roman" w:hAnsi="Times New Roman"/>
          <w:sz w:val="24"/>
          <w:szCs w:val="24"/>
        </w:rPr>
        <w:t xml:space="preserve">A atrofia muscular </w:t>
      </w:r>
      <w:r w:rsidR="00307B8E" w:rsidRPr="009F6463">
        <w:rPr>
          <w:rFonts w:ascii="Times New Roman" w:hAnsi="Times New Roman"/>
          <w:sz w:val="24"/>
          <w:szCs w:val="24"/>
        </w:rPr>
        <w:t>é um evento multi</w:t>
      </w:r>
      <w:r w:rsidR="00371081" w:rsidRPr="009F6463">
        <w:rPr>
          <w:rFonts w:ascii="Times New Roman" w:hAnsi="Times New Roman"/>
          <w:sz w:val="24"/>
          <w:szCs w:val="24"/>
        </w:rPr>
        <w:t xml:space="preserve">fatorial gerado pela </w:t>
      </w:r>
      <w:r w:rsidR="005D47E2" w:rsidRPr="009F6463">
        <w:rPr>
          <w:rFonts w:ascii="Times New Roman" w:hAnsi="Times New Roman"/>
          <w:sz w:val="24"/>
          <w:szCs w:val="24"/>
        </w:rPr>
        <w:t xml:space="preserve">diminuição </w:t>
      </w:r>
      <w:r w:rsidR="00CF71CC" w:rsidRPr="009F6463">
        <w:rPr>
          <w:rFonts w:ascii="Times New Roman" w:hAnsi="Times New Roman"/>
          <w:sz w:val="24"/>
          <w:szCs w:val="24"/>
        </w:rPr>
        <w:t xml:space="preserve">na </w:t>
      </w:r>
      <w:r w:rsidR="005D47E2" w:rsidRPr="009F6463">
        <w:rPr>
          <w:rFonts w:ascii="Times New Roman" w:hAnsi="Times New Roman"/>
          <w:sz w:val="24"/>
          <w:szCs w:val="24"/>
        </w:rPr>
        <w:t>ativ</w:t>
      </w:r>
      <w:r w:rsidR="00371081" w:rsidRPr="009F6463">
        <w:rPr>
          <w:rFonts w:ascii="Times New Roman" w:hAnsi="Times New Roman"/>
          <w:sz w:val="24"/>
          <w:szCs w:val="24"/>
        </w:rPr>
        <w:t>idade da placa motora</w:t>
      </w:r>
      <w:r w:rsidR="005D47E2" w:rsidRPr="009F6463">
        <w:rPr>
          <w:rFonts w:ascii="Times New Roman" w:hAnsi="Times New Roman"/>
          <w:sz w:val="24"/>
          <w:szCs w:val="24"/>
        </w:rPr>
        <w:t>, aumento das citocinas inflamatórias</w:t>
      </w:r>
      <w:r w:rsidR="00994051" w:rsidRPr="009F6463">
        <w:rPr>
          <w:rFonts w:ascii="Times New Roman" w:hAnsi="Times New Roman"/>
          <w:sz w:val="24"/>
          <w:szCs w:val="24"/>
        </w:rPr>
        <w:t>, redução na sensibilidade insulínica</w:t>
      </w:r>
      <w:r w:rsidR="007E613F">
        <w:rPr>
          <w:rFonts w:ascii="Times New Roman" w:hAnsi="Times New Roman"/>
          <w:sz w:val="24"/>
          <w:szCs w:val="24"/>
        </w:rPr>
        <w:t>.</w:t>
      </w:r>
      <w:r w:rsidR="007E613F">
        <w:rPr>
          <w:rFonts w:ascii="Times New Roman" w:hAnsi="Times New Roman"/>
          <w:sz w:val="24"/>
          <w:szCs w:val="24"/>
          <w:vertAlign w:val="superscript"/>
        </w:rPr>
        <w:t>2</w:t>
      </w:r>
      <w:r w:rsidR="00686B9D" w:rsidRPr="009F6463">
        <w:rPr>
          <w:rFonts w:ascii="Times New Roman" w:hAnsi="Times New Roman"/>
          <w:sz w:val="24"/>
          <w:szCs w:val="24"/>
        </w:rPr>
        <w:t>.</w:t>
      </w:r>
      <w:r w:rsidR="005D47E2" w:rsidRPr="009F6463">
        <w:rPr>
          <w:rFonts w:ascii="Times New Roman" w:hAnsi="Times New Roman"/>
          <w:sz w:val="24"/>
          <w:szCs w:val="24"/>
        </w:rPr>
        <w:t xml:space="preserve"> </w:t>
      </w:r>
    </w:p>
    <w:p w14:paraId="4805D8A6" w14:textId="429D1AA6" w:rsidR="00187B4E" w:rsidRPr="009F6463" w:rsidRDefault="00847ACE" w:rsidP="009F6463">
      <w:pPr>
        <w:spacing w:after="0" w:line="360" w:lineRule="auto"/>
        <w:ind w:firstLine="708"/>
        <w:jc w:val="both"/>
        <w:rPr>
          <w:rFonts w:ascii="Times New Roman" w:hAnsi="Times New Roman"/>
          <w:sz w:val="24"/>
          <w:szCs w:val="24"/>
          <w:vertAlign w:val="superscript"/>
        </w:rPr>
      </w:pPr>
      <w:r w:rsidRPr="009F6463">
        <w:rPr>
          <w:rFonts w:ascii="Times New Roman" w:hAnsi="Times New Roman"/>
          <w:sz w:val="24"/>
          <w:szCs w:val="24"/>
        </w:rPr>
        <w:t xml:space="preserve">Procurando minimizar as alterações geradas no desuso e buscando proteger a homeostasia do </w:t>
      </w:r>
      <w:r w:rsidR="00547BBA">
        <w:rPr>
          <w:rFonts w:ascii="Times New Roman" w:hAnsi="Times New Roman"/>
          <w:sz w:val="24"/>
          <w:szCs w:val="24"/>
        </w:rPr>
        <w:t>sistema musculoesquelético</w:t>
      </w:r>
      <w:r w:rsidRPr="009F6463">
        <w:rPr>
          <w:rFonts w:ascii="Times New Roman" w:hAnsi="Times New Roman"/>
          <w:sz w:val="24"/>
          <w:szCs w:val="24"/>
        </w:rPr>
        <w:t xml:space="preserve">, </w:t>
      </w:r>
      <w:r w:rsidR="00D818DE" w:rsidRPr="009F6463">
        <w:rPr>
          <w:rFonts w:ascii="Times New Roman" w:hAnsi="Times New Roman"/>
          <w:sz w:val="24"/>
          <w:szCs w:val="24"/>
        </w:rPr>
        <w:t>tem sido rotineiramente</w:t>
      </w:r>
      <w:r w:rsidR="00CF71CC" w:rsidRPr="009F6463">
        <w:rPr>
          <w:rFonts w:ascii="Times New Roman" w:hAnsi="Times New Roman"/>
          <w:sz w:val="24"/>
          <w:szCs w:val="24"/>
        </w:rPr>
        <w:t xml:space="preserve"> utiliza</w:t>
      </w:r>
      <w:r w:rsidR="00D818DE" w:rsidRPr="009F6463">
        <w:rPr>
          <w:rFonts w:ascii="Times New Roman" w:hAnsi="Times New Roman"/>
          <w:sz w:val="24"/>
          <w:szCs w:val="24"/>
        </w:rPr>
        <w:t>d</w:t>
      </w:r>
      <w:r w:rsidR="00994051" w:rsidRPr="009F6463">
        <w:rPr>
          <w:rFonts w:ascii="Times New Roman" w:hAnsi="Times New Roman"/>
          <w:sz w:val="24"/>
          <w:szCs w:val="24"/>
        </w:rPr>
        <w:t xml:space="preserve">as diferentes protocolos no âmbito Fisioterapêutico, ortopédico ou ainda </w:t>
      </w:r>
      <w:r w:rsidR="00D818DE" w:rsidRPr="009F6463">
        <w:rPr>
          <w:rFonts w:ascii="Times New Roman" w:hAnsi="Times New Roman"/>
          <w:sz w:val="24"/>
          <w:szCs w:val="24"/>
        </w:rPr>
        <w:t>estratégias nutricionais</w:t>
      </w:r>
      <w:r w:rsidR="00994051" w:rsidRPr="009F6463">
        <w:rPr>
          <w:rFonts w:ascii="Times New Roman" w:hAnsi="Times New Roman"/>
          <w:sz w:val="24"/>
          <w:szCs w:val="24"/>
        </w:rPr>
        <w:t xml:space="preserve"> ligadas a diferentes</w:t>
      </w:r>
      <w:r w:rsidRPr="009F6463">
        <w:rPr>
          <w:rFonts w:ascii="Times New Roman" w:hAnsi="Times New Roman"/>
          <w:sz w:val="24"/>
          <w:szCs w:val="24"/>
        </w:rPr>
        <w:t xml:space="preserve"> suplementos. </w:t>
      </w:r>
      <w:r w:rsidR="00D818DE" w:rsidRPr="009F6463">
        <w:rPr>
          <w:rFonts w:ascii="Times New Roman" w:hAnsi="Times New Roman"/>
          <w:sz w:val="24"/>
          <w:szCs w:val="24"/>
        </w:rPr>
        <w:t>Cabe ressaltar que, i</w:t>
      </w:r>
      <w:r w:rsidR="00D46491" w:rsidRPr="009F6463">
        <w:rPr>
          <w:rFonts w:ascii="Times New Roman" w:hAnsi="Times New Roman"/>
          <w:sz w:val="24"/>
          <w:szCs w:val="24"/>
        </w:rPr>
        <w:t xml:space="preserve">ntervenções </w:t>
      </w:r>
      <w:r w:rsidR="00724717" w:rsidRPr="009F6463">
        <w:rPr>
          <w:rFonts w:ascii="Times New Roman" w:hAnsi="Times New Roman"/>
          <w:sz w:val="24"/>
          <w:szCs w:val="24"/>
        </w:rPr>
        <w:t xml:space="preserve">precoces </w:t>
      </w:r>
      <w:r w:rsidR="00907280" w:rsidRPr="009F6463">
        <w:rPr>
          <w:rFonts w:ascii="Times New Roman" w:hAnsi="Times New Roman"/>
          <w:sz w:val="24"/>
          <w:szCs w:val="24"/>
        </w:rPr>
        <w:t xml:space="preserve">são essenciais </w:t>
      </w:r>
      <w:r w:rsidR="00CF71CC" w:rsidRPr="009F6463">
        <w:rPr>
          <w:rFonts w:ascii="Times New Roman" w:hAnsi="Times New Roman"/>
          <w:sz w:val="24"/>
          <w:szCs w:val="24"/>
        </w:rPr>
        <w:t xml:space="preserve">para reduzir </w:t>
      </w:r>
      <w:r w:rsidR="00907280" w:rsidRPr="009F6463">
        <w:rPr>
          <w:rFonts w:ascii="Times New Roman" w:hAnsi="Times New Roman"/>
          <w:sz w:val="24"/>
          <w:szCs w:val="24"/>
        </w:rPr>
        <w:t>a prote</w:t>
      </w:r>
      <w:r w:rsidR="00D818DE" w:rsidRPr="009F6463">
        <w:rPr>
          <w:rFonts w:ascii="Times New Roman" w:hAnsi="Times New Roman"/>
          <w:sz w:val="24"/>
          <w:szCs w:val="24"/>
        </w:rPr>
        <w:t>ólise</w:t>
      </w:r>
      <w:r w:rsidR="00907280" w:rsidRPr="009F6463">
        <w:rPr>
          <w:rFonts w:ascii="Times New Roman" w:hAnsi="Times New Roman"/>
          <w:sz w:val="24"/>
          <w:szCs w:val="24"/>
        </w:rPr>
        <w:t xml:space="preserve"> e </w:t>
      </w:r>
      <w:r w:rsidR="00CF71CC" w:rsidRPr="009F6463">
        <w:rPr>
          <w:rFonts w:ascii="Times New Roman" w:hAnsi="Times New Roman"/>
          <w:sz w:val="24"/>
          <w:szCs w:val="24"/>
        </w:rPr>
        <w:t xml:space="preserve">preservar </w:t>
      </w:r>
      <w:r w:rsidR="00D818DE" w:rsidRPr="009F6463">
        <w:rPr>
          <w:rFonts w:ascii="Times New Roman" w:hAnsi="Times New Roman"/>
          <w:sz w:val="24"/>
          <w:szCs w:val="24"/>
        </w:rPr>
        <w:t xml:space="preserve">as condições homeostáticas </w:t>
      </w:r>
      <w:r w:rsidR="005453E2" w:rsidRPr="009F6463">
        <w:rPr>
          <w:rFonts w:ascii="Times New Roman" w:hAnsi="Times New Roman"/>
          <w:sz w:val="24"/>
          <w:szCs w:val="24"/>
        </w:rPr>
        <w:t>d</w:t>
      </w:r>
      <w:r w:rsidR="00D818DE" w:rsidRPr="009F6463">
        <w:rPr>
          <w:rFonts w:ascii="Times New Roman" w:hAnsi="Times New Roman"/>
          <w:sz w:val="24"/>
          <w:szCs w:val="24"/>
        </w:rPr>
        <w:t>o</w:t>
      </w:r>
      <w:r w:rsidR="005453E2" w:rsidRPr="009F6463">
        <w:rPr>
          <w:rFonts w:ascii="Times New Roman" w:hAnsi="Times New Roman"/>
          <w:sz w:val="24"/>
          <w:szCs w:val="24"/>
        </w:rPr>
        <w:t xml:space="preserve"> tecido muscular</w:t>
      </w:r>
      <w:r w:rsidR="00D818DE" w:rsidRPr="009F6463">
        <w:rPr>
          <w:rFonts w:ascii="Times New Roman" w:hAnsi="Times New Roman"/>
          <w:sz w:val="24"/>
          <w:szCs w:val="24"/>
        </w:rPr>
        <w:t xml:space="preserve"> esquelético</w:t>
      </w:r>
      <w:r w:rsidR="007E613F">
        <w:rPr>
          <w:rFonts w:ascii="Times New Roman" w:hAnsi="Times New Roman"/>
          <w:sz w:val="24"/>
          <w:szCs w:val="24"/>
        </w:rPr>
        <w:t>.</w:t>
      </w:r>
      <w:r w:rsidR="007E613F">
        <w:rPr>
          <w:rFonts w:ascii="Times New Roman" w:hAnsi="Times New Roman"/>
          <w:sz w:val="24"/>
          <w:szCs w:val="24"/>
          <w:vertAlign w:val="superscript"/>
        </w:rPr>
        <w:t>3</w:t>
      </w:r>
    </w:p>
    <w:p w14:paraId="0F87F3EE" w14:textId="0F98468C" w:rsidR="00D11023" w:rsidRPr="007E613F" w:rsidRDefault="00C12CBD" w:rsidP="009F6463">
      <w:pPr>
        <w:spacing w:after="0" w:line="360" w:lineRule="auto"/>
        <w:ind w:firstLine="708"/>
        <w:jc w:val="both"/>
        <w:rPr>
          <w:rFonts w:ascii="Times New Roman" w:hAnsi="Times New Roman"/>
          <w:sz w:val="24"/>
          <w:szCs w:val="24"/>
          <w:vertAlign w:val="superscript"/>
        </w:rPr>
      </w:pPr>
      <w:r w:rsidRPr="009F6463">
        <w:rPr>
          <w:rFonts w:ascii="Times New Roman" w:hAnsi="Times New Roman"/>
          <w:sz w:val="24"/>
          <w:szCs w:val="24"/>
        </w:rPr>
        <w:lastRenderedPageBreak/>
        <w:t xml:space="preserve">Poucos estudos se propuseram a discutir os efeitos de suplementos que possam alterar a homeostasia metabólica da musculatura imobilizada. </w:t>
      </w:r>
      <w:r w:rsidR="007E613F">
        <w:rPr>
          <w:rFonts w:ascii="Times New Roman" w:hAnsi="Times New Roman"/>
          <w:sz w:val="24"/>
          <w:szCs w:val="24"/>
        </w:rPr>
        <w:t xml:space="preserve">Já foram </w:t>
      </w:r>
      <w:r w:rsidR="00562ADA" w:rsidRPr="009F6463">
        <w:rPr>
          <w:rFonts w:ascii="Times New Roman" w:hAnsi="Times New Roman"/>
          <w:sz w:val="24"/>
          <w:szCs w:val="24"/>
        </w:rPr>
        <w:t>avali</w:t>
      </w:r>
      <w:r w:rsidR="007E613F">
        <w:rPr>
          <w:rFonts w:ascii="Times New Roman" w:hAnsi="Times New Roman"/>
          <w:sz w:val="24"/>
          <w:szCs w:val="24"/>
        </w:rPr>
        <w:t>adas</w:t>
      </w:r>
      <w:r w:rsidRPr="009F6463">
        <w:rPr>
          <w:rFonts w:ascii="Times New Roman" w:hAnsi="Times New Roman"/>
          <w:sz w:val="24"/>
          <w:szCs w:val="24"/>
        </w:rPr>
        <w:t xml:space="preserve"> as ações da creatina sobre a imobilização de membros pélvicos de ratos e observou que os efeitos são seletivos onde as fibras do tipo II se beneficiariam mais do que as fibras do tipo I</w:t>
      </w:r>
      <w:r w:rsidR="007E613F">
        <w:rPr>
          <w:rFonts w:ascii="Times New Roman" w:hAnsi="Times New Roman"/>
          <w:sz w:val="24"/>
          <w:szCs w:val="24"/>
        </w:rPr>
        <w:t>.</w:t>
      </w:r>
      <w:r w:rsidR="007E613F">
        <w:rPr>
          <w:rFonts w:ascii="Times New Roman" w:hAnsi="Times New Roman"/>
          <w:sz w:val="24"/>
          <w:szCs w:val="24"/>
          <w:vertAlign w:val="superscript"/>
        </w:rPr>
        <w:t xml:space="preserve">4 </w:t>
      </w:r>
      <w:r w:rsidRPr="009F6463">
        <w:rPr>
          <w:rFonts w:ascii="Times New Roman" w:hAnsi="Times New Roman"/>
          <w:sz w:val="24"/>
          <w:szCs w:val="24"/>
        </w:rPr>
        <w:t xml:space="preserve"> No mesmo sentido, </w:t>
      </w:r>
      <w:r w:rsidR="007E613F">
        <w:rPr>
          <w:rFonts w:ascii="Times New Roman" w:hAnsi="Times New Roman"/>
          <w:sz w:val="24"/>
          <w:szCs w:val="24"/>
        </w:rPr>
        <w:t>foi</w:t>
      </w:r>
      <w:r w:rsidR="00331B3E" w:rsidRPr="009F6463">
        <w:rPr>
          <w:rFonts w:ascii="Times New Roman" w:hAnsi="Times New Roman"/>
          <w:sz w:val="24"/>
          <w:szCs w:val="24"/>
        </w:rPr>
        <w:t xml:space="preserve"> </w:t>
      </w:r>
      <w:r w:rsidRPr="009F6463">
        <w:rPr>
          <w:rFonts w:ascii="Times New Roman" w:hAnsi="Times New Roman"/>
          <w:sz w:val="24"/>
          <w:szCs w:val="24"/>
        </w:rPr>
        <w:t>demonstr</w:t>
      </w:r>
      <w:r w:rsidR="0022003F" w:rsidRPr="009F6463">
        <w:rPr>
          <w:rFonts w:ascii="Times New Roman" w:hAnsi="Times New Roman"/>
          <w:sz w:val="24"/>
          <w:szCs w:val="24"/>
        </w:rPr>
        <w:t>a</w:t>
      </w:r>
      <w:r w:rsidR="007E613F">
        <w:rPr>
          <w:rFonts w:ascii="Times New Roman" w:hAnsi="Times New Roman"/>
          <w:sz w:val="24"/>
          <w:szCs w:val="24"/>
        </w:rPr>
        <w:t>do</w:t>
      </w:r>
      <w:r w:rsidRPr="009F6463">
        <w:rPr>
          <w:rFonts w:ascii="Times New Roman" w:hAnsi="Times New Roman"/>
          <w:sz w:val="24"/>
          <w:szCs w:val="24"/>
        </w:rPr>
        <w:t xml:space="preserve"> que a suplementação com leucina foi eficiente em minimizar as alterações metabólicas e estruturais geradas na imobilização</w:t>
      </w:r>
      <w:r w:rsidR="0022003F" w:rsidRPr="009F6463">
        <w:rPr>
          <w:rFonts w:ascii="Times New Roman" w:hAnsi="Times New Roman"/>
          <w:sz w:val="24"/>
          <w:szCs w:val="24"/>
        </w:rPr>
        <w:t xml:space="preserve"> sugerindo sua participação na</w:t>
      </w:r>
      <w:r w:rsidRPr="009F6463">
        <w:rPr>
          <w:rFonts w:ascii="Times New Roman" w:hAnsi="Times New Roman"/>
          <w:sz w:val="24"/>
          <w:szCs w:val="24"/>
        </w:rPr>
        <w:t xml:space="preserve"> manutenção </w:t>
      </w:r>
      <w:r w:rsidR="0022003F" w:rsidRPr="009F6463">
        <w:rPr>
          <w:rFonts w:ascii="Times New Roman" w:hAnsi="Times New Roman"/>
          <w:sz w:val="24"/>
          <w:szCs w:val="24"/>
        </w:rPr>
        <w:t xml:space="preserve">na eficiência </w:t>
      </w:r>
      <w:r w:rsidRPr="009F6463">
        <w:rPr>
          <w:rFonts w:ascii="Times New Roman" w:hAnsi="Times New Roman"/>
          <w:sz w:val="24"/>
          <w:szCs w:val="24"/>
        </w:rPr>
        <w:t>d</w:t>
      </w:r>
      <w:r w:rsidR="0022003F" w:rsidRPr="009F6463">
        <w:rPr>
          <w:rFonts w:ascii="Times New Roman" w:hAnsi="Times New Roman"/>
          <w:sz w:val="24"/>
          <w:szCs w:val="24"/>
        </w:rPr>
        <w:t>as</w:t>
      </w:r>
      <w:r w:rsidRPr="009F6463">
        <w:rPr>
          <w:rFonts w:ascii="Times New Roman" w:hAnsi="Times New Roman"/>
          <w:sz w:val="24"/>
          <w:szCs w:val="24"/>
        </w:rPr>
        <w:t xml:space="preserve"> reservas energéticas </w:t>
      </w:r>
      <w:r w:rsidR="0022003F" w:rsidRPr="009F6463">
        <w:rPr>
          <w:rFonts w:ascii="Times New Roman" w:hAnsi="Times New Roman"/>
          <w:sz w:val="24"/>
          <w:szCs w:val="24"/>
        </w:rPr>
        <w:t xml:space="preserve">e vias </w:t>
      </w:r>
      <w:r w:rsidRPr="009F6463">
        <w:rPr>
          <w:rFonts w:ascii="Times New Roman" w:hAnsi="Times New Roman"/>
          <w:sz w:val="24"/>
          <w:szCs w:val="24"/>
        </w:rPr>
        <w:t xml:space="preserve">responsáveis pelo trofismo. </w:t>
      </w:r>
      <w:r w:rsidR="00331B3E" w:rsidRPr="009F6463">
        <w:rPr>
          <w:rFonts w:ascii="Times New Roman" w:hAnsi="Times New Roman"/>
          <w:sz w:val="24"/>
          <w:szCs w:val="24"/>
        </w:rPr>
        <w:t>A</w:t>
      </w:r>
      <w:r w:rsidR="00724717" w:rsidRPr="009F6463">
        <w:rPr>
          <w:rFonts w:ascii="Times New Roman" w:hAnsi="Times New Roman"/>
          <w:sz w:val="24"/>
          <w:szCs w:val="24"/>
        </w:rPr>
        <w:t xml:space="preserve"> hipótese é que </w:t>
      </w:r>
      <w:r w:rsidR="007F0DE2" w:rsidRPr="009F6463">
        <w:rPr>
          <w:rFonts w:ascii="Times New Roman" w:hAnsi="Times New Roman"/>
          <w:sz w:val="24"/>
          <w:szCs w:val="24"/>
        </w:rPr>
        <w:t xml:space="preserve">os nucleotídeos </w:t>
      </w:r>
      <w:r w:rsidR="00D818DE" w:rsidRPr="009F6463">
        <w:rPr>
          <w:rFonts w:ascii="Times New Roman" w:hAnsi="Times New Roman"/>
          <w:sz w:val="24"/>
          <w:szCs w:val="24"/>
        </w:rPr>
        <w:t>atua</w:t>
      </w:r>
      <w:r w:rsidR="0022003F" w:rsidRPr="009F6463">
        <w:rPr>
          <w:rFonts w:ascii="Times New Roman" w:hAnsi="Times New Roman"/>
          <w:sz w:val="24"/>
          <w:szCs w:val="24"/>
        </w:rPr>
        <w:t>ndo</w:t>
      </w:r>
      <w:r w:rsidR="007F0DE2" w:rsidRPr="009F6463">
        <w:rPr>
          <w:rFonts w:ascii="Times New Roman" w:hAnsi="Times New Roman"/>
          <w:sz w:val="24"/>
          <w:szCs w:val="24"/>
        </w:rPr>
        <w:t xml:space="preserve"> como facilitadores da sinalização celular </w:t>
      </w:r>
      <w:r w:rsidR="00724717" w:rsidRPr="009F6463">
        <w:rPr>
          <w:rFonts w:ascii="Times New Roman" w:hAnsi="Times New Roman"/>
          <w:sz w:val="24"/>
          <w:szCs w:val="24"/>
        </w:rPr>
        <w:t>p</w:t>
      </w:r>
      <w:r w:rsidR="007F0DE2" w:rsidRPr="009F6463">
        <w:rPr>
          <w:rFonts w:ascii="Times New Roman" w:hAnsi="Times New Roman"/>
          <w:sz w:val="24"/>
          <w:szCs w:val="24"/>
        </w:rPr>
        <w:t>o</w:t>
      </w:r>
      <w:r w:rsidR="00D11023" w:rsidRPr="009F6463">
        <w:rPr>
          <w:rFonts w:ascii="Times New Roman" w:hAnsi="Times New Roman"/>
          <w:sz w:val="24"/>
          <w:szCs w:val="24"/>
        </w:rPr>
        <w:t>dem</w:t>
      </w:r>
      <w:r w:rsidR="007F0DE2" w:rsidRPr="009F6463">
        <w:rPr>
          <w:rFonts w:ascii="Times New Roman" w:hAnsi="Times New Roman"/>
          <w:sz w:val="24"/>
          <w:szCs w:val="24"/>
        </w:rPr>
        <w:t xml:space="preserve"> interagi</w:t>
      </w:r>
      <w:r w:rsidR="00D11023" w:rsidRPr="009F6463">
        <w:rPr>
          <w:rFonts w:ascii="Times New Roman" w:hAnsi="Times New Roman"/>
          <w:sz w:val="24"/>
          <w:szCs w:val="24"/>
        </w:rPr>
        <w:t>r</w:t>
      </w:r>
      <w:r w:rsidR="007F0DE2" w:rsidRPr="009F6463">
        <w:rPr>
          <w:rFonts w:ascii="Times New Roman" w:hAnsi="Times New Roman"/>
          <w:sz w:val="24"/>
          <w:szCs w:val="24"/>
        </w:rPr>
        <w:t xml:space="preserve"> com mensageiros regula</w:t>
      </w:r>
      <w:r w:rsidR="00D11023" w:rsidRPr="009F6463">
        <w:rPr>
          <w:rFonts w:ascii="Times New Roman" w:hAnsi="Times New Roman"/>
          <w:sz w:val="24"/>
          <w:szCs w:val="24"/>
        </w:rPr>
        <w:t>dores</w:t>
      </w:r>
      <w:r w:rsidR="007F0DE2" w:rsidRPr="009F6463">
        <w:rPr>
          <w:rFonts w:ascii="Times New Roman" w:hAnsi="Times New Roman"/>
          <w:sz w:val="24"/>
          <w:szCs w:val="24"/>
        </w:rPr>
        <w:t xml:space="preserve"> de vias citosólicas</w:t>
      </w:r>
      <w:r w:rsidR="0084123B" w:rsidRPr="009F6463">
        <w:rPr>
          <w:rFonts w:ascii="Times New Roman" w:hAnsi="Times New Roman"/>
          <w:sz w:val="24"/>
          <w:szCs w:val="24"/>
        </w:rPr>
        <w:t xml:space="preserve"> </w:t>
      </w:r>
      <w:r w:rsidR="00187B4E" w:rsidRPr="009F6463">
        <w:rPr>
          <w:rFonts w:ascii="Times New Roman" w:hAnsi="Times New Roman"/>
          <w:sz w:val="24"/>
          <w:szCs w:val="24"/>
        </w:rPr>
        <w:t xml:space="preserve">que </w:t>
      </w:r>
      <w:r w:rsidR="00D11023" w:rsidRPr="009F6463">
        <w:rPr>
          <w:rFonts w:ascii="Times New Roman" w:hAnsi="Times New Roman"/>
          <w:sz w:val="24"/>
          <w:szCs w:val="24"/>
        </w:rPr>
        <w:t>coordenam</w:t>
      </w:r>
      <w:r w:rsidR="004F47B3" w:rsidRPr="009F6463">
        <w:rPr>
          <w:rFonts w:ascii="Times New Roman" w:hAnsi="Times New Roman"/>
          <w:sz w:val="24"/>
          <w:szCs w:val="24"/>
        </w:rPr>
        <w:t xml:space="preserve"> vias enzimáticas</w:t>
      </w:r>
      <w:r w:rsidR="007F0DE2" w:rsidRPr="009F6463">
        <w:rPr>
          <w:rFonts w:ascii="Times New Roman" w:hAnsi="Times New Roman"/>
          <w:sz w:val="24"/>
          <w:szCs w:val="24"/>
        </w:rPr>
        <w:t>.</w:t>
      </w:r>
      <w:r w:rsidR="007E613F">
        <w:rPr>
          <w:rFonts w:ascii="Times New Roman" w:hAnsi="Times New Roman"/>
          <w:sz w:val="24"/>
          <w:szCs w:val="24"/>
          <w:vertAlign w:val="superscript"/>
        </w:rPr>
        <w:t>5</w:t>
      </w:r>
    </w:p>
    <w:p w14:paraId="3FA2007B" w14:textId="774F1F20" w:rsidR="00847ACE" w:rsidRPr="009F6463" w:rsidRDefault="00847ACE" w:rsidP="009F6463">
      <w:pPr>
        <w:spacing w:after="0" w:line="360" w:lineRule="auto"/>
        <w:ind w:firstLine="708"/>
        <w:jc w:val="both"/>
        <w:rPr>
          <w:rFonts w:ascii="Times New Roman" w:hAnsi="Times New Roman"/>
          <w:sz w:val="24"/>
          <w:szCs w:val="24"/>
        </w:rPr>
      </w:pPr>
      <w:r w:rsidRPr="009F6463">
        <w:rPr>
          <w:rFonts w:ascii="Times New Roman" w:hAnsi="Times New Roman"/>
          <w:sz w:val="24"/>
          <w:szCs w:val="24"/>
        </w:rPr>
        <w:t xml:space="preserve">Os nucleotídeos consistem </w:t>
      </w:r>
      <w:r w:rsidR="004F47B3" w:rsidRPr="009F6463">
        <w:rPr>
          <w:rFonts w:ascii="Times New Roman" w:hAnsi="Times New Roman"/>
          <w:sz w:val="24"/>
          <w:szCs w:val="24"/>
        </w:rPr>
        <w:t>na associação de</w:t>
      </w:r>
      <w:r w:rsidRPr="009F6463">
        <w:rPr>
          <w:rFonts w:ascii="Times New Roman" w:hAnsi="Times New Roman"/>
          <w:sz w:val="24"/>
          <w:szCs w:val="24"/>
        </w:rPr>
        <w:t xml:space="preserve"> bases nitrogenadas com uma pentose e grupos fosfatos, </w:t>
      </w:r>
      <w:r w:rsidR="004F47B3" w:rsidRPr="009F6463">
        <w:rPr>
          <w:rFonts w:ascii="Times New Roman" w:hAnsi="Times New Roman"/>
          <w:sz w:val="24"/>
          <w:szCs w:val="24"/>
        </w:rPr>
        <w:t>sendo os precursores do ácido desoxirribonucleico (DNA) e ribonucleico (</w:t>
      </w:r>
      <w:r w:rsidRPr="009F6463">
        <w:rPr>
          <w:rFonts w:ascii="Times New Roman" w:hAnsi="Times New Roman"/>
          <w:sz w:val="24"/>
          <w:szCs w:val="24"/>
        </w:rPr>
        <w:t>RNA</w:t>
      </w:r>
      <w:r w:rsidR="004F47B3" w:rsidRPr="009F6463">
        <w:rPr>
          <w:rFonts w:ascii="Times New Roman" w:hAnsi="Times New Roman"/>
          <w:sz w:val="24"/>
          <w:szCs w:val="24"/>
        </w:rPr>
        <w:t>)</w:t>
      </w:r>
      <w:r w:rsidRPr="009F6463">
        <w:rPr>
          <w:rFonts w:ascii="Times New Roman" w:hAnsi="Times New Roman"/>
          <w:sz w:val="24"/>
          <w:szCs w:val="24"/>
        </w:rPr>
        <w:t xml:space="preserve">, </w:t>
      </w:r>
      <w:r w:rsidR="004F47B3" w:rsidRPr="009F6463">
        <w:rPr>
          <w:rFonts w:ascii="Times New Roman" w:hAnsi="Times New Roman"/>
          <w:sz w:val="24"/>
          <w:szCs w:val="24"/>
        </w:rPr>
        <w:t xml:space="preserve">sendo </w:t>
      </w:r>
      <w:r w:rsidRPr="009F6463">
        <w:rPr>
          <w:rFonts w:ascii="Times New Roman" w:hAnsi="Times New Roman"/>
          <w:sz w:val="24"/>
          <w:szCs w:val="24"/>
        </w:rPr>
        <w:t>medi</w:t>
      </w:r>
      <w:r w:rsidR="004F47B3" w:rsidRPr="009F6463">
        <w:rPr>
          <w:rFonts w:ascii="Times New Roman" w:hAnsi="Times New Roman"/>
          <w:sz w:val="24"/>
          <w:szCs w:val="24"/>
        </w:rPr>
        <w:t xml:space="preserve">adores </w:t>
      </w:r>
      <w:r w:rsidR="00D11023" w:rsidRPr="009F6463">
        <w:rPr>
          <w:rFonts w:ascii="Times New Roman" w:hAnsi="Times New Roman"/>
          <w:sz w:val="24"/>
          <w:szCs w:val="24"/>
        </w:rPr>
        <w:t xml:space="preserve">de respostas </w:t>
      </w:r>
      <w:r w:rsidR="004F47B3" w:rsidRPr="009F6463">
        <w:rPr>
          <w:rFonts w:ascii="Times New Roman" w:hAnsi="Times New Roman"/>
          <w:sz w:val="24"/>
          <w:szCs w:val="24"/>
        </w:rPr>
        <w:t>fisiológic</w:t>
      </w:r>
      <w:r w:rsidR="00D11023" w:rsidRPr="009F6463">
        <w:rPr>
          <w:rFonts w:ascii="Times New Roman" w:hAnsi="Times New Roman"/>
          <w:sz w:val="24"/>
          <w:szCs w:val="24"/>
        </w:rPr>
        <w:t>a</w:t>
      </w:r>
      <w:r w:rsidR="004F47B3" w:rsidRPr="009F6463">
        <w:rPr>
          <w:rFonts w:ascii="Times New Roman" w:hAnsi="Times New Roman"/>
          <w:sz w:val="24"/>
          <w:szCs w:val="24"/>
        </w:rPr>
        <w:t xml:space="preserve">s, </w:t>
      </w:r>
      <w:r w:rsidR="00D11023" w:rsidRPr="009F6463">
        <w:rPr>
          <w:rFonts w:ascii="Times New Roman" w:hAnsi="Times New Roman"/>
          <w:sz w:val="24"/>
          <w:szCs w:val="24"/>
        </w:rPr>
        <w:t xml:space="preserve">componentes ligados a </w:t>
      </w:r>
      <w:r w:rsidR="004F47B3" w:rsidRPr="009F6463">
        <w:rPr>
          <w:rFonts w:ascii="Times New Roman" w:hAnsi="Times New Roman"/>
          <w:sz w:val="24"/>
          <w:szCs w:val="24"/>
        </w:rPr>
        <w:t xml:space="preserve">coenzimas </w:t>
      </w:r>
      <w:r w:rsidR="00D11023" w:rsidRPr="009F6463">
        <w:rPr>
          <w:rFonts w:ascii="Times New Roman" w:hAnsi="Times New Roman"/>
          <w:sz w:val="24"/>
          <w:szCs w:val="24"/>
        </w:rPr>
        <w:t xml:space="preserve">ou </w:t>
      </w:r>
      <w:r w:rsidRPr="009F6463">
        <w:rPr>
          <w:rFonts w:ascii="Times New Roman" w:hAnsi="Times New Roman"/>
          <w:sz w:val="24"/>
          <w:szCs w:val="24"/>
        </w:rPr>
        <w:t>sinaliza</w:t>
      </w:r>
      <w:r w:rsidR="004F47B3" w:rsidRPr="009F6463">
        <w:rPr>
          <w:rFonts w:ascii="Times New Roman" w:hAnsi="Times New Roman"/>
          <w:sz w:val="24"/>
          <w:szCs w:val="24"/>
        </w:rPr>
        <w:t>dores</w:t>
      </w:r>
      <w:r w:rsidRPr="009F6463">
        <w:rPr>
          <w:rFonts w:ascii="Times New Roman" w:hAnsi="Times New Roman"/>
          <w:sz w:val="24"/>
          <w:szCs w:val="24"/>
        </w:rPr>
        <w:t xml:space="preserve"> intracelular</w:t>
      </w:r>
      <w:r w:rsidR="007E613F">
        <w:rPr>
          <w:rFonts w:ascii="Times New Roman" w:hAnsi="Times New Roman"/>
          <w:sz w:val="24"/>
          <w:szCs w:val="24"/>
        </w:rPr>
        <w:t>.</w:t>
      </w:r>
      <w:r w:rsidR="007E613F">
        <w:rPr>
          <w:rFonts w:ascii="Times New Roman" w:hAnsi="Times New Roman"/>
          <w:sz w:val="24"/>
          <w:szCs w:val="24"/>
          <w:vertAlign w:val="superscript"/>
        </w:rPr>
        <w:t>6</w:t>
      </w:r>
      <w:r w:rsidR="00581689" w:rsidRPr="009F6463">
        <w:rPr>
          <w:rFonts w:ascii="Times New Roman" w:hAnsi="Times New Roman"/>
          <w:sz w:val="24"/>
          <w:szCs w:val="24"/>
        </w:rPr>
        <w:t xml:space="preserve"> </w:t>
      </w:r>
      <w:r w:rsidR="004F47B3" w:rsidRPr="009F6463">
        <w:rPr>
          <w:rFonts w:ascii="Times New Roman" w:hAnsi="Times New Roman"/>
          <w:sz w:val="24"/>
          <w:szCs w:val="24"/>
        </w:rPr>
        <w:t xml:space="preserve">Desta forma, </w:t>
      </w:r>
      <w:r w:rsidR="009C1D25" w:rsidRPr="009F6463">
        <w:rPr>
          <w:rFonts w:ascii="Times New Roman" w:hAnsi="Times New Roman"/>
          <w:sz w:val="24"/>
          <w:szCs w:val="24"/>
        </w:rPr>
        <w:t xml:space="preserve">é sugestivo o fato que </w:t>
      </w:r>
      <w:r w:rsidR="007B4EEB" w:rsidRPr="009F6463">
        <w:rPr>
          <w:rFonts w:ascii="Times New Roman" w:hAnsi="Times New Roman"/>
          <w:sz w:val="24"/>
          <w:szCs w:val="24"/>
        </w:rPr>
        <w:t xml:space="preserve">a suplementação nutricional contendo nucleotídeos </w:t>
      </w:r>
      <w:r w:rsidR="004F47B3" w:rsidRPr="009F6463">
        <w:rPr>
          <w:rFonts w:ascii="Times New Roman" w:hAnsi="Times New Roman"/>
          <w:sz w:val="24"/>
          <w:szCs w:val="24"/>
        </w:rPr>
        <w:t>po</w:t>
      </w:r>
      <w:r w:rsidR="009C1D25" w:rsidRPr="009F6463">
        <w:rPr>
          <w:rFonts w:ascii="Times New Roman" w:hAnsi="Times New Roman"/>
          <w:sz w:val="24"/>
          <w:szCs w:val="24"/>
        </w:rPr>
        <w:t>ssa</w:t>
      </w:r>
      <w:r w:rsidR="004F47B3" w:rsidRPr="009F6463">
        <w:rPr>
          <w:rFonts w:ascii="Times New Roman" w:hAnsi="Times New Roman"/>
          <w:sz w:val="24"/>
          <w:szCs w:val="24"/>
        </w:rPr>
        <w:t xml:space="preserve"> estimular a</w:t>
      </w:r>
      <w:r w:rsidR="007B4EEB" w:rsidRPr="009F6463">
        <w:rPr>
          <w:rFonts w:ascii="Times New Roman" w:hAnsi="Times New Roman"/>
          <w:sz w:val="24"/>
          <w:szCs w:val="24"/>
        </w:rPr>
        <w:t xml:space="preserve"> síntese proteica</w:t>
      </w:r>
      <w:r w:rsidR="004F47B3" w:rsidRPr="009F6463">
        <w:rPr>
          <w:rFonts w:ascii="Times New Roman" w:hAnsi="Times New Roman"/>
          <w:sz w:val="24"/>
          <w:szCs w:val="24"/>
        </w:rPr>
        <w:t xml:space="preserve"> </w:t>
      </w:r>
      <w:r w:rsidR="009C1D25" w:rsidRPr="009F6463">
        <w:rPr>
          <w:rFonts w:ascii="Times New Roman" w:hAnsi="Times New Roman"/>
          <w:sz w:val="24"/>
          <w:szCs w:val="24"/>
        </w:rPr>
        <w:t xml:space="preserve">bem como </w:t>
      </w:r>
      <w:r w:rsidR="004F47B3" w:rsidRPr="009F6463">
        <w:rPr>
          <w:rFonts w:ascii="Times New Roman" w:hAnsi="Times New Roman"/>
          <w:sz w:val="24"/>
          <w:szCs w:val="24"/>
        </w:rPr>
        <w:t>c</w:t>
      </w:r>
      <w:r w:rsidR="005E12DA" w:rsidRPr="009F6463">
        <w:rPr>
          <w:rFonts w:ascii="Times New Roman" w:hAnsi="Times New Roman"/>
          <w:sz w:val="24"/>
          <w:szCs w:val="24"/>
        </w:rPr>
        <w:t xml:space="preserve">élulas satélites </w:t>
      </w:r>
      <w:r w:rsidR="00B671EA" w:rsidRPr="009F6463">
        <w:rPr>
          <w:rFonts w:ascii="Times New Roman" w:hAnsi="Times New Roman"/>
          <w:sz w:val="24"/>
          <w:szCs w:val="24"/>
        </w:rPr>
        <w:t>elevando o número de mi</w:t>
      </w:r>
      <w:r w:rsidR="009C1D25" w:rsidRPr="009F6463">
        <w:rPr>
          <w:rFonts w:ascii="Times New Roman" w:hAnsi="Times New Roman"/>
          <w:sz w:val="24"/>
          <w:szCs w:val="24"/>
        </w:rPr>
        <w:t>ócitos</w:t>
      </w:r>
      <w:r w:rsidR="00B671EA" w:rsidRPr="009F6463">
        <w:rPr>
          <w:rFonts w:ascii="Times New Roman" w:hAnsi="Times New Roman"/>
          <w:sz w:val="24"/>
          <w:szCs w:val="24"/>
        </w:rPr>
        <w:t xml:space="preserve"> e consequentemente de fibras musculares</w:t>
      </w:r>
      <w:r w:rsidR="00D17D4F" w:rsidRPr="009F6463">
        <w:rPr>
          <w:rFonts w:ascii="Times New Roman" w:hAnsi="Times New Roman"/>
          <w:sz w:val="24"/>
          <w:szCs w:val="24"/>
        </w:rPr>
        <w:t>.</w:t>
      </w:r>
      <w:r w:rsidR="005E12DA" w:rsidRPr="009F6463">
        <w:rPr>
          <w:rFonts w:ascii="Times New Roman" w:hAnsi="Times New Roman"/>
          <w:sz w:val="24"/>
          <w:szCs w:val="24"/>
        </w:rPr>
        <w:t xml:space="preserve"> </w:t>
      </w:r>
      <w:r w:rsidR="007B4EEB" w:rsidRPr="009F6463">
        <w:rPr>
          <w:rFonts w:ascii="Times New Roman" w:hAnsi="Times New Roman"/>
          <w:sz w:val="24"/>
          <w:szCs w:val="24"/>
        </w:rPr>
        <w:t xml:space="preserve"> </w:t>
      </w:r>
      <w:r w:rsidRPr="009F6463">
        <w:rPr>
          <w:rFonts w:ascii="Times New Roman" w:hAnsi="Times New Roman"/>
          <w:sz w:val="24"/>
          <w:szCs w:val="24"/>
        </w:rPr>
        <w:t xml:space="preserve">  </w:t>
      </w:r>
    </w:p>
    <w:p w14:paraId="1742E9D4" w14:textId="5FD70FF8" w:rsidR="00847ACE" w:rsidRPr="009F6463" w:rsidRDefault="00847ACE" w:rsidP="009F6463">
      <w:pPr>
        <w:spacing w:after="0" w:line="360" w:lineRule="auto"/>
        <w:jc w:val="both"/>
        <w:rPr>
          <w:rFonts w:ascii="Times New Roman" w:hAnsi="Times New Roman"/>
          <w:sz w:val="24"/>
          <w:szCs w:val="24"/>
        </w:rPr>
      </w:pPr>
      <w:r w:rsidRPr="009F6463">
        <w:rPr>
          <w:rFonts w:ascii="Times New Roman" w:hAnsi="Times New Roman"/>
          <w:sz w:val="24"/>
          <w:szCs w:val="24"/>
        </w:rPr>
        <w:tab/>
        <w:t xml:space="preserve">Trabalhos </w:t>
      </w:r>
      <w:r w:rsidR="00331B3E" w:rsidRPr="009F6463">
        <w:rPr>
          <w:rFonts w:ascii="Times New Roman" w:hAnsi="Times New Roman"/>
          <w:sz w:val="24"/>
          <w:szCs w:val="24"/>
        </w:rPr>
        <w:t>direcionados a avaliação d</w:t>
      </w:r>
      <w:r w:rsidRPr="009F6463">
        <w:rPr>
          <w:rFonts w:ascii="Times New Roman" w:hAnsi="Times New Roman"/>
          <w:sz w:val="24"/>
          <w:szCs w:val="24"/>
        </w:rPr>
        <w:t>a suplementação com nucleotídeos, indicaram ações sobre o sistema imunológico e sugeriram que a suplementação com nucleotídeos pode ser importante em condições de imunossupressão. Cabe considerar que diferentes nucleotídeos podem atuar de forma distinta e propuseram que novos estudos devem ser realizados com foco em outros sistemas do organismo</w:t>
      </w:r>
      <w:r w:rsidR="007E613F">
        <w:rPr>
          <w:rFonts w:ascii="Times New Roman" w:hAnsi="Times New Roman"/>
          <w:sz w:val="24"/>
          <w:szCs w:val="24"/>
        </w:rPr>
        <w:t>.</w:t>
      </w:r>
      <w:r w:rsidR="007E613F">
        <w:rPr>
          <w:rFonts w:ascii="Times New Roman" w:hAnsi="Times New Roman"/>
          <w:sz w:val="24"/>
          <w:szCs w:val="24"/>
          <w:vertAlign w:val="superscript"/>
        </w:rPr>
        <w:t>7</w:t>
      </w:r>
      <w:r w:rsidRPr="009F6463">
        <w:rPr>
          <w:rFonts w:ascii="Times New Roman" w:hAnsi="Times New Roman"/>
          <w:sz w:val="24"/>
          <w:szCs w:val="24"/>
        </w:rPr>
        <w:t xml:space="preserve">       </w:t>
      </w:r>
      <w:r w:rsidRPr="009F6463">
        <w:rPr>
          <w:rFonts w:ascii="Times New Roman" w:hAnsi="Times New Roman"/>
          <w:sz w:val="24"/>
          <w:szCs w:val="24"/>
        </w:rPr>
        <w:tab/>
      </w:r>
    </w:p>
    <w:p w14:paraId="7D111F10" w14:textId="26C3817C" w:rsidR="00847ACE" w:rsidRPr="009F6463" w:rsidRDefault="00847ACE" w:rsidP="009F6463">
      <w:pPr>
        <w:spacing w:after="0" w:line="360" w:lineRule="auto"/>
        <w:ind w:firstLine="708"/>
        <w:jc w:val="both"/>
        <w:rPr>
          <w:rFonts w:ascii="Times New Roman" w:hAnsi="Times New Roman"/>
          <w:sz w:val="24"/>
          <w:szCs w:val="24"/>
        </w:rPr>
      </w:pPr>
      <w:r w:rsidRPr="009F6463">
        <w:rPr>
          <w:rFonts w:ascii="Times New Roman" w:hAnsi="Times New Roman"/>
          <w:sz w:val="24"/>
          <w:szCs w:val="24"/>
        </w:rPr>
        <w:t xml:space="preserve">O objetivo deste trabalho foi avaliar as ações da suplementação com nucleotídeos sobre parâmetros metabólicos e morfométricos </w:t>
      </w:r>
      <w:r w:rsidR="00E649AD" w:rsidRPr="009F6463">
        <w:rPr>
          <w:rFonts w:ascii="Times New Roman" w:hAnsi="Times New Roman"/>
          <w:sz w:val="24"/>
          <w:szCs w:val="24"/>
        </w:rPr>
        <w:t>na</w:t>
      </w:r>
      <w:r w:rsidRPr="009F6463">
        <w:rPr>
          <w:rFonts w:ascii="Times New Roman" w:hAnsi="Times New Roman"/>
          <w:sz w:val="24"/>
          <w:szCs w:val="24"/>
        </w:rPr>
        <w:t xml:space="preserve"> musculatura esquelética submetida a imobilização.  </w:t>
      </w:r>
    </w:p>
    <w:p w14:paraId="14E199BB" w14:textId="77777777" w:rsidR="00847ACE" w:rsidRPr="009F6463" w:rsidRDefault="00847ACE" w:rsidP="009F6463">
      <w:pPr>
        <w:spacing w:after="0" w:line="360" w:lineRule="auto"/>
        <w:jc w:val="both"/>
        <w:rPr>
          <w:rFonts w:ascii="Times New Roman" w:hAnsi="Times New Roman"/>
          <w:sz w:val="24"/>
          <w:szCs w:val="24"/>
        </w:rPr>
      </w:pPr>
    </w:p>
    <w:p w14:paraId="2DD36A95" w14:textId="1E2BB35C" w:rsidR="00847ACE" w:rsidRPr="009F6463" w:rsidRDefault="00847ACE" w:rsidP="009F6463">
      <w:pPr>
        <w:spacing w:after="0" w:line="360" w:lineRule="auto"/>
        <w:jc w:val="both"/>
        <w:rPr>
          <w:rFonts w:ascii="Times New Roman" w:hAnsi="Times New Roman"/>
          <w:b/>
          <w:sz w:val="24"/>
          <w:szCs w:val="24"/>
        </w:rPr>
      </w:pPr>
      <w:r w:rsidRPr="009F6463">
        <w:rPr>
          <w:rFonts w:ascii="Times New Roman" w:hAnsi="Times New Roman"/>
          <w:b/>
          <w:sz w:val="24"/>
          <w:szCs w:val="24"/>
        </w:rPr>
        <w:t>MÉTODOS</w:t>
      </w:r>
    </w:p>
    <w:p w14:paraId="22ACB331" w14:textId="75405A4A" w:rsidR="00847ACE" w:rsidRPr="009F6463" w:rsidRDefault="00847ACE" w:rsidP="009F6463">
      <w:pPr>
        <w:spacing w:after="0" w:line="360" w:lineRule="auto"/>
        <w:ind w:firstLine="708"/>
        <w:jc w:val="both"/>
        <w:rPr>
          <w:rFonts w:ascii="Times New Roman" w:hAnsi="Times New Roman"/>
          <w:sz w:val="24"/>
          <w:szCs w:val="24"/>
        </w:rPr>
      </w:pPr>
      <w:r w:rsidRPr="009F6463">
        <w:rPr>
          <w:rFonts w:ascii="Times New Roman" w:hAnsi="Times New Roman"/>
          <w:b/>
          <w:sz w:val="24"/>
          <w:szCs w:val="24"/>
        </w:rPr>
        <w:t xml:space="preserve">Animais: </w:t>
      </w:r>
      <w:r w:rsidRPr="009F6463">
        <w:rPr>
          <w:rFonts w:ascii="Times New Roman" w:hAnsi="Times New Roman"/>
          <w:sz w:val="24"/>
          <w:szCs w:val="24"/>
        </w:rPr>
        <w:t xml:space="preserve">Utilizou-se ratos machos da linhagem </w:t>
      </w:r>
      <w:r w:rsidRPr="009F6463">
        <w:rPr>
          <w:rFonts w:ascii="Times New Roman" w:hAnsi="Times New Roman"/>
          <w:i/>
          <w:sz w:val="24"/>
          <w:szCs w:val="24"/>
        </w:rPr>
        <w:t>Wistar</w:t>
      </w:r>
      <w:r w:rsidRPr="009F6463">
        <w:rPr>
          <w:rFonts w:ascii="Times New Roman" w:hAnsi="Times New Roman"/>
          <w:sz w:val="24"/>
          <w:szCs w:val="24"/>
        </w:rPr>
        <w:t xml:space="preserve"> com 3 meses de idade e massa corpórea média de 298±6 g determinada com balança marca Filizola ®. Os ratos foram alojados em gaiolas coletivas contendo 4 animais em sala climatizada (23±2 ºC) com ciclo claro/escuro de 12/12 h recebendo água e ração à vontade. Este estudo foi aprovado pel</w:t>
      </w:r>
      <w:r w:rsidR="001443A3" w:rsidRPr="009F6463">
        <w:rPr>
          <w:rFonts w:ascii="Times New Roman" w:hAnsi="Times New Roman"/>
          <w:sz w:val="24"/>
          <w:szCs w:val="24"/>
        </w:rPr>
        <w:t>a</w:t>
      </w:r>
      <w:r w:rsidRPr="009F6463">
        <w:rPr>
          <w:rFonts w:ascii="Times New Roman" w:hAnsi="Times New Roman"/>
          <w:sz w:val="24"/>
          <w:szCs w:val="24"/>
        </w:rPr>
        <w:t xml:space="preserve"> C</w:t>
      </w:r>
      <w:r w:rsidR="001443A3" w:rsidRPr="009F6463">
        <w:rPr>
          <w:rFonts w:ascii="Times New Roman" w:hAnsi="Times New Roman"/>
          <w:sz w:val="24"/>
          <w:szCs w:val="24"/>
        </w:rPr>
        <w:t>EUA/</w:t>
      </w:r>
      <w:r w:rsidR="00551E03" w:rsidRPr="009F6463">
        <w:rPr>
          <w:rFonts w:ascii="Times New Roman" w:hAnsi="Times New Roman"/>
          <w:sz w:val="24"/>
          <w:szCs w:val="24"/>
        </w:rPr>
        <w:t xml:space="preserve">UNIMEP </w:t>
      </w:r>
      <w:r w:rsidRPr="009F6463">
        <w:rPr>
          <w:rFonts w:ascii="Times New Roman" w:hAnsi="Times New Roman"/>
          <w:sz w:val="24"/>
          <w:szCs w:val="24"/>
        </w:rPr>
        <w:t>sob protocolo 0</w:t>
      </w:r>
      <w:r w:rsidR="00A80655" w:rsidRPr="009F6463">
        <w:rPr>
          <w:rFonts w:ascii="Times New Roman" w:hAnsi="Times New Roman"/>
          <w:sz w:val="24"/>
          <w:szCs w:val="24"/>
        </w:rPr>
        <w:t>9</w:t>
      </w:r>
      <w:r w:rsidRPr="009F6463">
        <w:rPr>
          <w:rFonts w:ascii="Times New Roman" w:hAnsi="Times New Roman"/>
          <w:sz w:val="24"/>
          <w:szCs w:val="24"/>
        </w:rPr>
        <w:t>/201</w:t>
      </w:r>
      <w:r w:rsidR="00A80655" w:rsidRPr="009F6463">
        <w:rPr>
          <w:rFonts w:ascii="Times New Roman" w:hAnsi="Times New Roman"/>
          <w:sz w:val="24"/>
          <w:szCs w:val="24"/>
        </w:rPr>
        <w:t>8</w:t>
      </w:r>
      <w:r w:rsidRPr="009F6463">
        <w:rPr>
          <w:rFonts w:ascii="Times New Roman" w:hAnsi="Times New Roman"/>
          <w:sz w:val="24"/>
          <w:szCs w:val="24"/>
        </w:rPr>
        <w:t>.</w:t>
      </w:r>
      <w:r w:rsidRPr="009F6463">
        <w:rPr>
          <w:rFonts w:ascii="Times New Roman" w:hAnsi="Times New Roman"/>
          <w:i/>
          <w:sz w:val="24"/>
          <w:szCs w:val="24"/>
        </w:rPr>
        <w:t xml:space="preserve"> </w:t>
      </w:r>
      <w:r w:rsidRPr="009F6463">
        <w:rPr>
          <w:rFonts w:ascii="Times New Roman" w:hAnsi="Times New Roman"/>
          <w:sz w:val="24"/>
          <w:szCs w:val="24"/>
        </w:rPr>
        <w:t xml:space="preserve">   </w:t>
      </w:r>
    </w:p>
    <w:p w14:paraId="56632934" w14:textId="766EBC2B" w:rsidR="00847ACE" w:rsidRPr="009F6463" w:rsidRDefault="00847ACE" w:rsidP="009F6463">
      <w:pPr>
        <w:spacing w:after="0" w:line="360" w:lineRule="auto"/>
        <w:ind w:firstLine="708"/>
        <w:jc w:val="both"/>
        <w:rPr>
          <w:rFonts w:ascii="Times New Roman" w:hAnsi="Times New Roman"/>
          <w:sz w:val="24"/>
          <w:szCs w:val="24"/>
        </w:rPr>
      </w:pPr>
      <w:r w:rsidRPr="009F6463">
        <w:rPr>
          <w:rFonts w:ascii="Times New Roman" w:hAnsi="Times New Roman"/>
          <w:b/>
          <w:sz w:val="24"/>
          <w:szCs w:val="24"/>
        </w:rPr>
        <w:t xml:space="preserve">Grupos experimentais: </w:t>
      </w:r>
      <w:r w:rsidRPr="009F6463">
        <w:rPr>
          <w:rFonts w:ascii="Times New Roman" w:hAnsi="Times New Roman"/>
          <w:sz w:val="24"/>
          <w:szCs w:val="24"/>
        </w:rPr>
        <w:t>Os animais foram divididos aleatoriamente em 4 grupos (n=</w:t>
      </w:r>
      <w:r w:rsidR="00027327" w:rsidRPr="009F6463">
        <w:rPr>
          <w:rFonts w:ascii="Times New Roman" w:hAnsi="Times New Roman"/>
          <w:sz w:val="24"/>
          <w:szCs w:val="24"/>
        </w:rPr>
        <w:t>6</w:t>
      </w:r>
      <w:r w:rsidRPr="009F6463">
        <w:rPr>
          <w:rFonts w:ascii="Times New Roman" w:hAnsi="Times New Roman"/>
          <w:sz w:val="24"/>
          <w:szCs w:val="24"/>
        </w:rPr>
        <w:t xml:space="preserve"> por grupo) denominados: Grupo Controle (C); Grupo Imobilizado (I); Grupo suplementado com nucleotídeos denominado Nucleocell (T); Grupo imobilizado suplementado com nucleotídeos denominado Nucleocell (IT). Na imobilização utilizou-se o modelo de órtese de resina acrílica, conforme figura 1 </w:t>
      </w:r>
      <w:r w:rsidR="001443A3" w:rsidRPr="009F6463">
        <w:rPr>
          <w:rFonts w:ascii="Times New Roman" w:hAnsi="Times New Roman"/>
          <w:sz w:val="24"/>
          <w:szCs w:val="24"/>
        </w:rPr>
        <w:t>permanecendo por 7 dias</w:t>
      </w:r>
      <w:r w:rsidRPr="009F6463">
        <w:rPr>
          <w:rFonts w:ascii="Times New Roman" w:hAnsi="Times New Roman"/>
          <w:sz w:val="24"/>
          <w:szCs w:val="24"/>
        </w:rPr>
        <w:t xml:space="preserve">. A adaptação da órtese ocorreu após </w:t>
      </w:r>
      <w:r w:rsidRPr="009F6463">
        <w:rPr>
          <w:rFonts w:ascii="Times New Roman" w:hAnsi="Times New Roman"/>
          <w:sz w:val="24"/>
          <w:szCs w:val="24"/>
        </w:rPr>
        <w:lastRenderedPageBreak/>
        <w:t xml:space="preserve">anestesia com Dopalen® (Cloridrato de Cetamina) 0,09 mL/100g e Rompun® (Cloridrato de Xilazina) 0,06 mL/100g por massa corporal em uma proporção de 3:2, via intramuscular. </w:t>
      </w:r>
      <w:r w:rsidR="00F2733E" w:rsidRPr="009F6463">
        <w:rPr>
          <w:rFonts w:ascii="Times New Roman" w:hAnsi="Times New Roman"/>
          <w:sz w:val="24"/>
          <w:szCs w:val="24"/>
        </w:rPr>
        <w:t xml:space="preserve">Os animais foram tratados </w:t>
      </w:r>
      <w:r w:rsidR="00D81C05" w:rsidRPr="009F6463">
        <w:rPr>
          <w:rFonts w:ascii="Times New Roman" w:hAnsi="Times New Roman"/>
          <w:sz w:val="24"/>
          <w:szCs w:val="24"/>
        </w:rPr>
        <w:t xml:space="preserve">com suplemento contendo </w:t>
      </w:r>
      <w:r w:rsidR="00F2733E" w:rsidRPr="009F6463">
        <w:rPr>
          <w:rFonts w:ascii="Times New Roman" w:hAnsi="Times New Roman"/>
          <w:sz w:val="24"/>
          <w:szCs w:val="24"/>
        </w:rPr>
        <w:t xml:space="preserve">16% de nucleotídeos </w:t>
      </w:r>
      <w:r w:rsidR="001443A3" w:rsidRPr="009F6463">
        <w:rPr>
          <w:rFonts w:ascii="Times New Roman" w:hAnsi="Times New Roman"/>
          <w:sz w:val="24"/>
          <w:szCs w:val="24"/>
        </w:rPr>
        <w:t xml:space="preserve">(Nucleocell, </w:t>
      </w:r>
      <w:r w:rsidRPr="009F6463">
        <w:rPr>
          <w:rFonts w:ascii="Times New Roman" w:hAnsi="Times New Roman"/>
          <w:sz w:val="24"/>
          <w:szCs w:val="24"/>
        </w:rPr>
        <w:t>marca Sponser®</w:t>
      </w:r>
      <w:r w:rsidR="001443A3" w:rsidRPr="009F6463">
        <w:rPr>
          <w:rFonts w:ascii="Times New Roman" w:hAnsi="Times New Roman"/>
          <w:sz w:val="24"/>
          <w:szCs w:val="24"/>
        </w:rPr>
        <w:t>)</w:t>
      </w:r>
      <w:r w:rsidRPr="009F6463">
        <w:rPr>
          <w:rFonts w:ascii="Times New Roman" w:hAnsi="Times New Roman"/>
          <w:sz w:val="24"/>
          <w:szCs w:val="24"/>
        </w:rPr>
        <w:t>, administrado pela via orogástrica na concentração de 4 mg/</w:t>
      </w:r>
      <w:r w:rsidR="00BB3259" w:rsidRPr="009F6463">
        <w:rPr>
          <w:rFonts w:ascii="Times New Roman" w:hAnsi="Times New Roman"/>
          <w:sz w:val="24"/>
          <w:szCs w:val="24"/>
        </w:rPr>
        <w:t>100</w:t>
      </w:r>
      <w:r w:rsidR="00D81C05" w:rsidRPr="009F6463">
        <w:rPr>
          <w:rFonts w:ascii="Times New Roman" w:hAnsi="Times New Roman"/>
          <w:sz w:val="24"/>
          <w:szCs w:val="24"/>
        </w:rPr>
        <w:t>g</w:t>
      </w:r>
      <w:r w:rsidR="00BB3259" w:rsidRPr="009F6463">
        <w:rPr>
          <w:rFonts w:ascii="Times New Roman" w:hAnsi="Times New Roman"/>
          <w:sz w:val="24"/>
          <w:szCs w:val="24"/>
        </w:rPr>
        <w:t>/</w:t>
      </w:r>
      <w:r w:rsidRPr="009F6463">
        <w:rPr>
          <w:rFonts w:ascii="Times New Roman" w:hAnsi="Times New Roman"/>
          <w:sz w:val="24"/>
          <w:szCs w:val="24"/>
        </w:rPr>
        <w:t>dia durante 7 dias. Cabe ressaltar que no texto, o termo suplementado indica o tratamento com nucleotídeos na dose citada anteriormente.</w:t>
      </w:r>
    </w:p>
    <w:p w14:paraId="12BCA498" w14:textId="77777777" w:rsidR="00B70C46" w:rsidRPr="009F6463" w:rsidRDefault="00B70C46" w:rsidP="009F6463">
      <w:pPr>
        <w:autoSpaceDE w:val="0"/>
        <w:autoSpaceDN w:val="0"/>
        <w:adjustRightInd w:val="0"/>
        <w:spacing w:after="0" w:line="360" w:lineRule="auto"/>
        <w:jc w:val="center"/>
        <w:rPr>
          <w:rFonts w:ascii="Times New Roman" w:hAnsi="Times New Roman"/>
          <w:sz w:val="24"/>
          <w:szCs w:val="24"/>
        </w:rPr>
      </w:pPr>
      <w:r w:rsidRPr="009F6463">
        <w:rPr>
          <w:rFonts w:ascii="Times New Roman" w:hAnsi="Times New Roman"/>
          <w:noProof/>
          <w:sz w:val="24"/>
          <w:szCs w:val="24"/>
          <w:lang w:eastAsia="pt-BR"/>
        </w:rPr>
        <w:drawing>
          <wp:inline distT="0" distB="0" distL="0" distR="0" wp14:anchorId="11F8B89B" wp14:editId="33C07F3C">
            <wp:extent cx="2525303" cy="1789043"/>
            <wp:effectExtent l="0" t="0" r="889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63039" cy="1815777"/>
                    </a:xfrm>
                    <a:prstGeom prst="rect">
                      <a:avLst/>
                    </a:prstGeom>
                    <a:noFill/>
                    <a:ln w="9525">
                      <a:noFill/>
                      <a:miter lim="800000"/>
                      <a:headEnd/>
                      <a:tailEnd/>
                    </a:ln>
                  </pic:spPr>
                </pic:pic>
              </a:graphicData>
            </a:graphic>
          </wp:inline>
        </w:drawing>
      </w:r>
    </w:p>
    <w:p w14:paraId="4220ED09" w14:textId="31A7A935" w:rsidR="00847ACE" w:rsidRPr="009F6463" w:rsidRDefault="00B70C46" w:rsidP="009F6463">
      <w:pPr>
        <w:spacing w:after="0" w:line="360" w:lineRule="auto"/>
        <w:jc w:val="both"/>
        <w:rPr>
          <w:rFonts w:ascii="Times New Roman" w:hAnsi="Times New Roman"/>
          <w:b/>
          <w:sz w:val="24"/>
          <w:szCs w:val="24"/>
        </w:rPr>
      </w:pPr>
      <w:r w:rsidRPr="009F6463">
        <w:rPr>
          <w:rFonts w:ascii="Times New Roman" w:hAnsi="Times New Roman"/>
          <w:color w:val="000000"/>
          <w:sz w:val="24"/>
          <w:szCs w:val="24"/>
        </w:rPr>
        <w:t xml:space="preserve">Figura 1. Modelo de órtese utilizado na imobilização. Em A pode ser observado órtese e a figura B mostra a órtese adaptada ao corpo do animal </w:t>
      </w:r>
      <w:r w:rsidR="005B2603" w:rsidRPr="009F6463">
        <w:rPr>
          <w:rFonts w:ascii="Times New Roman" w:hAnsi="Times New Roman"/>
          <w:color w:val="000000"/>
          <w:sz w:val="24"/>
          <w:szCs w:val="24"/>
        </w:rPr>
        <w:t xml:space="preserve">de acordo com a proposta de SILVA </w:t>
      </w:r>
      <w:r w:rsidR="005B2603" w:rsidRPr="009F6463">
        <w:rPr>
          <w:rFonts w:ascii="Times New Roman" w:hAnsi="Times New Roman"/>
          <w:i/>
          <w:iCs/>
          <w:color w:val="000000"/>
          <w:sz w:val="24"/>
          <w:szCs w:val="24"/>
        </w:rPr>
        <w:t>et al.</w:t>
      </w:r>
      <w:r w:rsidR="00B14F01" w:rsidRPr="009F6463">
        <w:rPr>
          <w:rFonts w:ascii="Times New Roman" w:hAnsi="Times New Roman"/>
          <w:color w:val="000000"/>
          <w:sz w:val="24"/>
          <w:szCs w:val="24"/>
        </w:rPr>
        <w:t xml:space="preserve">, </w:t>
      </w:r>
      <w:r w:rsidR="005B2603" w:rsidRPr="009F6463">
        <w:rPr>
          <w:rFonts w:ascii="Times New Roman" w:hAnsi="Times New Roman"/>
          <w:color w:val="000000"/>
          <w:sz w:val="24"/>
          <w:szCs w:val="24"/>
        </w:rPr>
        <w:t>(2006).</w:t>
      </w:r>
    </w:p>
    <w:p w14:paraId="4F925227" w14:textId="77777777" w:rsidR="00B70C46" w:rsidRPr="009F6463" w:rsidRDefault="00B70C46" w:rsidP="009F6463">
      <w:pPr>
        <w:spacing w:after="0" w:line="360" w:lineRule="auto"/>
        <w:ind w:firstLine="708"/>
        <w:jc w:val="both"/>
        <w:rPr>
          <w:rFonts w:ascii="Times New Roman" w:hAnsi="Times New Roman"/>
          <w:b/>
          <w:sz w:val="24"/>
          <w:szCs w:val="24"/>
        </w:rPr>
      </w:pPr>
    </w:p>
    <w:p w14:paraId="4C0A3071" w14:textId="0CFBF951" w:rsidR="00847ACE" w:rsidRPr="009F6463" w:rsidRDefault="00847ACE" w:rsidP="009F6463">
      <w:pPr>
        <w:spacing w:after="0" w:line="360" w:lineRule="auto"/>
        <w:ind w:firstLine="708"/>
        <w:jc w:val="both"/>
        <w:rPr>
          <w:rFonts w:ascii="Times New Roman" w:hAnsi="Times New Roman"/>
          <w:sz w:val="24"/>
          <w:szCs w:val="24"/>
        </w:rPr>
      </w:pPr>
      <w:r w:rsidRPr="009F6463">
        <w:rPr>
          <w:rFonts w:ascii="Times New Roman" w:hAnsi="Times New Roman"/>
          <w:b/>
          <w:sz w:val="24"/>
          <w:szCs w:val="24"/>
        </w:rPr>
        <w:t xml:space="preserve">Procedimentos: </w:t>
      </w:r>
      <w:r w:rsidRPr="009F6463">
        <w:rPr>
          <w:rFonts w:ascii="Times New Roman" w:hAnsi="Times New Roman"/>
          <w:sz w:val="24"/>
          <w:szCs w:val="24"/>
        </w:rPr>
        <w:t xml:space="preserve">Após os </w:t>
      </w:r>
      <w:r w:rsidR="00FF096F" w:rsidRPr="009F6463">
        <w:rPr>
          <w:rFonts w:ascii="Times New Roman" w:hAnsi="Times New Roman"/>
          <w:sz w:val="24"/>
          <w:szCs w:val="24"/>
        </w:rPr>
        <w:t>7</w:t>
      </w:r>
      <w:r w:rsidRPr="009F6463">
        <w:rPr>
          <w:rFonts w:ascii="Times New Roman" w:hAnsi="Times New Roman"/>
          <w:sz w:val="24"/>
          <w:szCs w:val="24"/>
        </w:rPr>
        <w:t xml:space="preserve"> dias experimentais, os animais foram decapitados e coletadas amostras </w:t>
      </w:r>
      <w:r w:rsidR="001443A3" w:rsidRPr="009F6463">
        <w:rPr>
          <w:rFonts w:ascii="Times New Roman" w:hAnsi="Times New Roman"/>
          <w:sz w:val="24"/>
          <w:szCs w:val="24"/>
        </w:rPr>
        <w:t xml:space="preserve">do fígado, </w:t>
      </w:r>
      <w:r w:rsidRPr="009F6463">
        <w:rPr>
          <w:rFonts w:ascii="Times New Roman" w:hAnsi="Times New Roman"/>
          <w:sz w:val="24"/>
          <w:szCs w:val="24"/>
        </w:rPr>
        <w:t xml:space="preserve">dos músculos sóleo, </w:t>
      </w:r>
      <w:r w:rsidR="00B72092" w:rsidRPr="009F6463">
        <w:rPr>
          <w:rFonts w:ascii="Times New Roman" w:hAnsi="Times New Roman"/>
          <w:sz w:val="24"/>
          <w:szCs w:val="24"/>
        </w:rPr>
        <w:t>gastrocnêmio</w:t>
      </w:r>
      <w:r w:rsidRPr="009F6463">
        <w:rPr>
          <w:rFonts w:ascii="Times New Roman" w:hAnsi="Times New Roman"/>
          <w:sz w:val="24"/>
          <w:szCs w:val="24"/>
        </w:rPr>
        <w:t xml:space="preserve"> branco e </w:t>
      </w:r>
      <w:r w:rsidR="00B72092" w:rsidRPr="009F6463">
        <w:rPr>
          <w:rFonts w:ascii="Times New Roman" w:hAnsi="Times New Roman"/>
          <w:sz w:val="24"/>
          <w:szCs w:val="24"/>
        </w:rPr>
        <w:t>gastrocnêmio</w:t>
      </w:r>
      <w:r w:rsidRPr="009F6463">
        <w:rPr>
          <w:rFonts w:ascii="Times New Roman" w:hAnsi="Times New Roman"/>
          <w:sz w:val="24"/>
          <w:szCs w:val="24"/>
        </w:rPr>
        <w:t xml:space="preserve"> porção vermelha, </w:t>
      </w:r>
      <w:r w:rsidR="001443A3" w:rsidRPr="009F6463">
        <w:rPr>
          <w:rFonts w:ascii="Times New Roman" w:hAnsi="Times New Roman"/>
          <w:sz w:val="24"/>
          <w:szCs w:val="24"/>
        </w:rPr>
        <w:t xml:space="preserve">foram coletadas </w:t>
      </w:r>
      <w:r w:rsidR="00E03C35" w:rsidRPr="009F6463">
        <w:rPr>
          <w:rFonts w:ascii="Times New Roman" w:hAnsi="Times New Roman"/>
          <w:sz w:val="24"/>
          <w:szCs w:val="24"/>
        </w:rPr>
        <w:t>e encaminhad</w:t>
      </w:r>
      <w:r w:rsidR="001443A3" w:rsidRPr="009F6463">
        <w:rPr>
          <w:rFonts w:ascii="Times New Roman" w:hAnsi="Times New Roman"/>
          <w:sz w:val="24"/>
          <w:szCs w:val="24"/>
        </w:rPr>
        <w:t>as</w:t>
      </w:r>
      <w:r w:rsidR="00E03C35" w:rsidRPr="009F6463">
        <w:rPr>
          <w:rFonts w:ascii="Times New Roman" w:hAnsi="Times New Roman"/>
          <w:sz w:val="24"/>
          <w:szCs w:val="24"/>
        </w:rPr>
        <w:t xml:space="preserve"> para avaliação bioquímica e morfológica. O músculo sóleo fo</w:t>
      </w:r>
      <w:r w:rsidR="00D81C05" w:rsidRPr="009F6463">
        <w:rPr>
          <w:rFonts w:ascii="Times New Roman" w:hAnsi="Times New Roman"/>
          <w:sz w:val="24"/>
          <w:szCs w:val="24"/>
        </w:rPr>
        <w:t>i</w:t>
      </w:r>
      <w:r w:rsidR="00E03C35" w:rsidRPr="009F6463">
        <w:rPr>
          <w:rFonts w:ascii="Times New Roman" w:hAnsi="Times New Roman"/>
          <w:sz w:val="24"/>
          <w:szCs w:val="24"/>
        </w:rPr>
        <w:t xml:space="preserve"> pesado, em seguida, o seu segmento ventral foi colocado em solução tamponada em formol a 10% para a fixação. Após 48 horas de fixação as peças foram desidratadas em álcool etílico, diafanização em xilol sendo incluídas em paraplast. </w:t>
      </w:r>
      <w:r w:rsidRPr="009F6463">
        <w:rPr>
          <w:rFonts w:ascii="Times New Roman" w:hAnsi="Times New Roman"/>
          <w:sz w:val="24"/>
          <w:szCs w:val="24"/>
        </w:rPr>
        <w:t>Foram realizados cortes transversais não seriados de 7 µm de espessura e corados em Hematoxilina-Eosina (H:E). Para análise da área das fibras musculares foram</w:t>
      </w:r>
      <w:r w:rsidRPr="009F6463">
        <w:rPr>
          <w:rFonts w:ascii="Times New Roman" w:hAnsi="Times New Roman"/>
          <w:b/>
          <w:sz w:val="24"/>
          <w:szCs w:val="24"/>
        </w:rPr>
        <w:t xml:space="preserve"> </w:t>
      </w:r>
      <w:r w:rsidRPr="009F6463">
        <w:rPr>
          <w:rFonts w:ascii="Times New Roman" w:hAnsi="Times New Roman"/>
          <w:sz w:val="24"/>
          <w:szCs w:val="24"/>
        </w:rPr>
        <w:t>selecionados 5 cortes por animal e para cada um</w:t>
      </w:r>
      <w:r w:rsidR="00075767" w:rsidRPr="009F6463">
        <w:rPr>
          <w:rFonts w:ascii="Times New Roman" w:hAnsi="Times New Roman"/>
          <w:sz w:val="24"/>
          <w:szCs w:val="24"/>
        </w:rPr>
        <w:t>,</w:t>
      </w:r>
      <w:r w:rsidRPr="009F6463">
        <w:rPr>
          <w:rFonts w:ascii="Times New Roman" w:hAnsi="Times New Roman"/>
          <w:sz w:val="24"/>
          <w:szCs w:val="24"/>
        </w:rPr>
        <w:t xml:space="preserve"> realizado 5 capturas de imagens através de um software chamado de Image Pró-Plus 4.5 e uma câmera digital (JVC) acoplada a um microscópio com ligação ao computador. As imagens foram captadas com uma resolução de 640x480 pixels com uma objetiva de 10x visualizada em uma área de tela (área frame) de 190.464,12 µm².</w:t>
      </w:r>
      <w:r w:rsidR="001B08CE" w:rsidRPr="009F6463">
        <w:rPr>
          <w:rFonts w:ascii="Times New Roman" w:hAnsi="Times New Roman"/>
          <w:sz w:val="24"/>
          <w:szCs w:val="24"/>
        </w:rPr>
        <w:t xml:space="preserve"> Realizou-se 15 interseções aleatórias analisando-se a área de secção transversa de 375 fibras musculares.</w:t>
      </w:r>
      <w:r w:rsidR="00B70C46" w:rsidRPr="009F6463">
        <w:rPr>
          <w:rFonts w:ascii="Times New Roman" w:hAnsi="Times New Roman"/>
          <w:sz w:val="24"/>
          <w:szCs w:val="24"/>
        </w:rPr>
        <w:t xml:space="preserve"> </w:t>
      </w:r>
      <w:r w:rsidRPr="009F6463">
        <w:rPr>
          <w:rFonts w:ascii="Times New Roman" w:hAnsi="Times New Roman"/>
          <w:sz w:val="24"/>
          <w:szCs w:val="24"/>
        </w:rPr>
        <w:t>Na determinação das reservas hepáticas e musculares de</w:t>
      </w:r>
      <w:r w:rsidRPr="009F6463">
        <w:rPr>
          <w:rFonts w:ascii="Times New Roman" w:hAnsi="Times New Roman"/>
          <w:b/>
          <w:sz w:val="24"/>
          <w:szCs w:val="24"/>
        </w:rPr>
        <w:t xml:space="preserve"> </w:t>
      </w:r>
      <w:r w:rsidRPr="009F6463">
        <w:rPr>
          <w:rFonts w:ascii="Times New Roman" w:hAnsi="Times New Roman"/>
          <w:sz w:val="24"/>
          <w:szCs w:val="24"/>
        </w:rPr>
        <w:t>glicogênio, utilizou-se o método do fenol sulfúrico</w:t>
      </w:r>
      <w:r w:rsidR="001443A3" w:rsidRPr="009F6463">
        <w:rPr>
          <w:rFonts w:ascii="Times New Roman" w:hAnsi="Times New Roman"/>
          <w:sz w:val="24"/>
          <w:szCs w:val="24"/>
        </w:rPr>
        <w:t xml:space="preserve"> e n</w:t>
      </w:r>
      <w:r w:rsidR="00D81C05" w:rsidRPr="009F6463">
        <w:rPr>
          <w:rFonts w:ascii="Times New Roman" w:hAnsi="Times New Roman"/>
          <w:sz w:val="24"/>
          <w:szCs w:val="24"/>
        </w:rPr>
        <w:t xml:space="preserve">o teste de tolerância a insulina (ITT) </w:t>
      </w:r>
      <w:r w:rsidR="007A5A90" w:rsidRPr="009F6463">
        <w:rPr>
          <w:rFonts w:ascii="Times New Roman" w:hAnsi="Times New Roman"/>
          <w:sz w:val="24"/>
          <w:szCs w:val="24"/>
        </w:rPr>
        <w:t>foi</w:t>
      </w:r>
      <w:r w:rsidRPr="009F6463">
        <w:rPr>
          <w:rFonts w:ascii="Times New Roman" w:hAnsi="Times New Roman"/>
          <w:sz w:val="24"/>
          <w:szCs w:val="24"/>
        </w:rPr>
        <w:t xml:space="preserve"> utilizado glicosímetro (Accu-check</w:t>
      </w:r>
      <w:r w:rsidRPr="009F6463">
        <w:rPr>
          <w:rFonts w:ascii="Times New Roman" w:hAnsi="Times New Roman"/>
          <w:sz w:val="24"/>
          <w:szCs w:val="24"/>
          <w:vertAlign w:val="superscript"/>
        </w:rPr>
        <w:sym w:font="Symbol" w:char="F0D2"/>
      </w:r>
      <w:r w:rsidRPr="009F6463">
        <w:rPr>
          <w:rFonts w:ascii="Times New Roman" w:hAnsi="Times New Roman"/>
          <w:sz w:val="24"/>
          <w:szCs w:val="24"/>
          <w:vertAlign w:val="superscript"/>
        </w:rPr>
        <w:t xml:space="preserve"> </w:t>
      </w:r>
      <w:r w:rsidRPr="009F6463">
        <w:rPr>
          <w:rFonts w:ascii="Times New Roman" w:hAnsi="Times New Roman"/>
          <w:sz w:val="24"/>
          <w:szCs w:val="24"/>
        </w:rPr>
        <w:t>-</w:t>
      </w:r>
      <w:r w:rsidRPr="009F6463">
        <w:rPr>
          <w:rFonts w:ascii="Times New Roman" w:hAnsi="Times New Roman"/>
          <w:sz w:val="24"/>
          <w:szCs w:val="24"/>
          <w:vertAlign w:val="superscript"/>
        </w:rPr>
        <w:t xml:space="preserve"> </w:t>
      </w:r>
      <w:r w:rsidRPr="009F6463">
        <w:rPr>
          <w:rFonts w:ascii="Times New Roman" w:hAnsi="Times New Roman"/>
          <w:sz w:val="24"/>
          <w:szCs w:val="24"/>
        </w:rPr>
        <w:t>Roche)</w:t>
      </w:r>
      <w:r w:rsidR="001443A3" w:rsidRPr="009F6463">
        <w:rPr>
          <w:rFonts w:ascii="Times New Roman" w:hAnsi="Times New Roman"/>
          <w:sz w:val="24"/>
          <w:szCs w:val="24"/>
        </w:rPr>
        <w:t>, por sua vez, n</w:t>
      </w:r>
      <w:r w:rsidR="007A5A90" w:rsidRPr="009F6463">
        <w:rPr>
          <w:rFonts w:ascii="Times New Roman" w:hAnsi="Times New Roman"/>
          <w:sz w:val="24"/>
          <w:szCs w:val="24"/>
        </w:rPr>
        <w:t xml:space="preserve">a determinação da relação </w:t>
      </w:r>
      <w:r w:rsidRPr="009F6463">
        <w:rPr>
          <w:rFonts w:ascii="Times New Roman" w:hAnsi="Times New Roman"/>
          <w:sz w:val="24"/>
          <w:szCs w:val="24"/>
        </w:rPr>
        <w:t>proteínas totais</w:t>
      </w:r>
      <w:r w:rsidR="007A5A90" w:rsidRPr="009F6463">
        <w:rPr>
          <w:rFonts w:ascii="Times New Roman" w:hAnsi="Times New Roman"/>
          <w:sz w:val="24"/>
          <w:szCs w:val="24"/>
        </w:rPr>
        <w:t>/DNA</w:t>
      </w:r>
      <w:r w:rsidRPr="009F6463">
        <w:rPr>
          <w:rFonts w:ascii="Times New Roman" w:hAnsi="Times New Roman"/>
          <w:sz w:val="24"/>
          <w:szCs w:val="24"/>
        </w:rPr>
        <w:t xml:space="preserve"> foi utilizado KIT de </w:t>
      </w:r>
      <w:r w:rsidRPr="009F6463">
        <w:rPr>
          <w:rFonts w:ascii="Times New Roman" w:hAnsi="Times New Roman"/>
          <w:sz w:val="24"/>
          <w:szCs w:val="24"/>
        </w:rPr>
        <w:lastRenderedPageBreak/>
        <w:t>uso laboratorial</w:t>
      </w:r>
      <w:r w:rsidR="007A5A90" w:rsidRPr="009F6463">
        <w:rPr>
          <w:rFonts w:ascii="Times New Roman" w:hAnsi="Times New Roman"/>
          <w:sz w:val="24"/>
          <w:szCs w:val="24"/>
        </w:rPr>
        <w:t xml:space="preserve"> (Sigma diagnostic).</w:t>
      </w:r>
      <w:r w:rsidR="00B70C46" w:rsidRPr="009F6463">
        <w:rPr>
          <w:rFonts w:ascii="Times New Roman" w:hAnsi="Times New Roman"/>
          <w:sz w:val="24"/>
          <w:szCs w:val="24"/>
        </w:rPr>
        <w:t xml:space="preserve"> </w:t>
      </w:r>
      <w:r w:rsidR="007A5A90" w:rsidRPr="009F6463">
        <w:rPr>
          <w:rFonts w:ascii="Times New Roman" w:hAnsi="Times New Roman"/>
          <w:sz w:val="24"/>
          <w:szCs w:val="24"/>
        </w:rPr>
        <w:t>A</w:t>
      </w:r>
      <w:r w:rsidRPr="009F6463">
        <w:rPr>
          <w:rFonts w:ascii="Times New Roman" w:hAnsi="Times New Roman"/>
          <w:sz w:val="24"/>
          <w:szCs w:val="24"/>
        </w:rPr>
        <w:t xml:space="preserve"> análise estatística foi realizada inicialmente pelo teste de normalidade de Kolmogorov-Smirnov seguido de ANOVA e teste de Tukey</w:t>
      </w:r>
      <w:r w:rsidR="007A5A90" w:rsidRPr="009F6463">
        <w:rPr>
          <w:rFonts w:ascii="Times New Roman" w:hAnsi="Times New Roman"/>
          <w:sz w:val="24"/>
          <w:szCs w:val="24"/>
        </w:rPr>
        <w:t>, p&lt;0,05</w:t>
      </w:r>
      <w:r w:rsidR="00EB2053" w:rsidRPr="009F6463">
        <w:rPr>
          <w:rFonts w:ascii="Times New Roman" w:hAnsi="Times New Roman"/>
          <w:sz w:val="24"/>
          <w:szCs w:val="24"/>
        </w:rPr>
        <w:t>.</w:t>
      </w:r>
    </w:p>
    <w:p w14:paraId="3BE895DF" w14:textId="77777777" w:rsidR="001658CC" w:rsidRPr="009F6463" w:rsidRDefault="001658CC" w:rsidP="009F6463">
      <w:pPr>
        <w:spacing w:after="0" w:line="360" w:lineRule="auto"/>
        <w:jc w:val="both"/>
        <w:rPr>
          <w:rFonts w:ascii="Times New Roman" w:hAnsi="Times New Roman"/>
          <w:b/>
          <w:sz w:val="24"/>
          <w:szCs w:val="24"/>
        </w:rPr>
      </w:pPr>
    </w:p>
    <w:p w14:paraId="6C7ED936" w14:textId="77777777" w:rsidR="00847ACE" w:rsidRPr="009F6463" w:rsidRDefault="00847ACE" w:rsidP="009F6463">
      <w:pPr>
        <w:spacing w:after="0" w:line="360" w:lineRule="auto"/>
        <w:jc w:val="both"/>
        <w:rPr>
          <w:rFonts w:ascii="Times New Roman" w:hAnsi="Times New Roman"/>
          <w:b/>
          <w:sz w:val="24"/>
          <w:szCs w:val="24"/>
        </w:rPr>
      </w:pPr>
      <w:r w:rsidRPr="009F6463">
        <w:rPr>
          <w:rFonts w:ascii="Times New Roman" w:hAnsi="Times New Roman"/>
          <w:b/>
          <w:sz w:val="24"/>
          <w:szCs w:val="24"/>
        </w:rPr>
        <w:t>RESULTADOS</w:t>
      </w:r>
    </w:p>
    <w:p w14:paraId="4119223A" w14:textId="3B28D33C" w:rsidR="0050064A" w:rsidRPr="009F6463" w:rsidRDefault="00847ACE" w:rsidP="009F6463">
      <w:pPr>
        <w:spacing w:after="0" w:line="360" w:lineRule="auto"/>
        <w:jc w:val="both"/>
        <w:rPr>
          <w:rFonts w:ascii="Times New Roman" w:hAnsi="Times New Roman"/>
          <w:sz w:val="24"/>
          <w:szCs w:val="24"/>
        </w:rPr>
      </w:pPr>
      <w:r w:rsidRPr="009F6463">
        <w:rPr>
          <w:rFonts w:ascii="Times New Roman" w:hAnsi="Times New Roman"/>
          <w:b/>
          <w:sz w:val="24"/>
          <w:szCs w:val="24"/>
        </w:rPr>
        <w:tab/>
      </w:r>
      <w:r w:rsidRPr="009F6463">
        <w:rPr>
          <w:rFonts w:ascii="Times New Roman" w:hAnsi="Times New Roman"/>
          <w:sz w:val="24"/>
          <w:szCs w:val="24"/>
        </w:rPr>
        <w:t xml:space="preserve">Na avaliação da massa corporal não foi observado diferença entre os grupos experimentais, estando assim representados: 300 ± 11 g no grupo C; 293 ± 12 g no grupo I; 300 ± 14 g no grupo T e 291 ± 13 g no grupo IT.  </w:t>
      </w:r>
      <w:r w:rsidR="0050064A" w:rsidRPr="009F6463">
        <w:rPr>
          <w:rFonts w:ascii="Times New Roman" w:hAnsi="Times New Roman"/>
          <w:sz w:val="24"/>
          <w:szCs w:val="24"/>
        </w:rPr>
        <w:t xml:space="preserve">A seguir, foi avaliado a massa do músculo sóleo, tendo como parâmetro </w:t>
      </w:r>
      <w:r w:rsidR="001443A3" w:rsidRPr="009F6463">
        <w:rPr>
          <w:rFonts w:ascii="Times New Roman" w:hAnsi="Times New Roman"/>
          <w:sz w:val="24"/>
          <w:szCs w:val="24"/>
        </w:rPr>
        <w:t xml:space="preserve">anatômico </w:t>
      </w:r>
      <w:r w:rsidR="0050064A" w:rsidRPr="009F6463">
        <w:rPr>
          <w:rFonts w:ascii="Times New Roman" w:hAnsi="Times New Roman"/>
          <w:sz w:val="24"/>
          <w:szCs w:val="24"/>
        </w:rPr>
        <w:t xml:space="preserve">seu limite facilmente definido e foi observado que frente </w:t>
      </w:r>
      <w:r w:rsidR="00027327" w:rsidRPr="009F6463">
        <w:rPr>
          <w:rFonts w:ascii="Times New Roman" w:hAnsi="Times New Roman"/>
          <w:sz w:val="24"/>
          <w:szCs w:val="24"/>
        </w:rPr>
        <w:t>n</w:t>
      </w:r>
      <w:r w:rsidR="0050064A" w:rsidRPr="009F6463">
        <w:rPr>
          <w:rFonts w:ascii="Times New Roman" w:hAnsi="Times New Roman"/>
          <w:sz w:val="24"/>
          <w:szCs w:val="24"/>
        </w:rPr>
        <w:t xml:space="preserve">a </w:t>
      </w:r>
      <w:r w:rsidR="00027327" w:rsidRPr="009F6463">
        <w:rPr>
          <w:rFonts w:ascii="Times New Roman" w:hAnsi="Times New Roman"/>
          <w:sz w:val="24"/>
          <w:szCs w:val="24"/>
        </w:rPr>
        <w:t>imobilização</w:t>
      </w:r>
      <w:r w:rsidR="0050064A" w:rsidRPr="009F6463">
        <w:rPr>
          <w:rFonts w:ascii="Times New Roman" w:hAnsi="Times New Roman"/>
          <w:sz w:val="24"/>
          <w:szCs w:val="24"/>
        </w:rPr>
        <w:t xml:space="preserve"> houve redução de 42% na massa</w:t>
      </w:r>
      <w:r w:rsidR="00481E37" w:rsidRPr="009F6463">
        <w:rPr>
          <w:rFonts w:ascii="Times New Roman" w:hAnsi="Times New Roman"/>
          <w:sz w:val="24"/>
          <w:szCs w:val="24"/>
        </w:rPr>
        <w:t xml:space="preserve"> muscular</w:t>
      </w:r>
      <w:r w:rsidR="0050064A" w:rsidRPr="009F6463">
        <w:rPr>
          <w:rFonts w:ascii="Times New Roman" w:hAnsi="Times New Roman"/>
          <w:sz w:val="24"/>
          <w:szCs w:val="24"/>
        </w:rPr>
        <w:t>. Cabe ressaltar que, o tratamento com o suplemento não modificou a massa do músculo normal</w:t>
      </w:r>
      <w:r w:rsidR="007A5A90" w:rsidRPr="009F6463">
        <w:rPr>
          <w:rFonts w:ascii="Times New Roman" w:hAnsi="Times New Roman"/>
          <w:sz w:val="24"/>
          <w:szCs w:val="24"/>
        </w:rPr>
        <w:t xml:space="preserve">, </w:t>
      </w:r>
      <w:r w:rsidR="00027327" w:rsidRPr="009F6463">
        <w:rPr>
          <w:rFonts w:ascii="Times New Roman" w:hAnsi="Times New Roman"/>
          <w:sz w:val="24"/>
          <w:szCs w:val="24"/>
        </w:rPr>
        <w:t>porém</w:t>
      </w:r>
      <w:r w:rsidR="0050064A" w:rsidRPr="009F6463">
        <w:rPr>
          <w:rFonts w:ascii="Times New Roman" w:hAnsi="Times New Roman"/>
          <w:sz w:val="24"/>
          <w:szCs w:val="24"/>
        </w:rPr>
        <w:t xml:space="preserve">, no grupo </w:t>
      </w:r>
      <w:r w:rsidR="00481E37" w:rsidRPr="009F6463">
        <w:rPr>
          <w:rFonts w:ascii="Times New Roman" w:hAnsi="Times New Roman"/>
          <w:sz w:val="24"/>
          <w:szCs w:val="24"/>
        </w:rPr>
        <w:t>IT</w:t>
      </w:r>
      <w:r w:rsidR="0050064A" w:rsidRPr="009F6463">
        <w:rPr>
          <w:rFonts w:ascii="Times New Roman" w:hAnsi="Times New Roman"/>
          <w:sz w:val="24"/>
          <w:szCs w:val="24"/>
        </w:rPr>
        <w:t xml:space="preserve"> foi observado massa 28% maior, se comparado ao </w:t>
      </w:r>
      <w:r w:rsidR="00481E37" w:rsidRPr="009F6463">
        <w:rPr>
          <w:rFonts w:ascii="Times New Roman" w:hAnsi="Times New Roman"/>
          <w:sz w:val="24"/>
          <w:szCs w:val="24"/>
        </w:rPr>
        <w:t>I.</w:t>
      </w:r>
      <w:r w:rsidR="0050064A" w:rsidRPr="009F6463">
        <w:rPr>
          <w:rFonts w:ascii="Times New Roman" w:hAnsi="Times New Roman"/>
          <w:sz w:val="24"/>
          <w:szCs w:val="24"/>
        </w:rPr>
        <w:t xml:space="preserve"> </w:t>
      </w:r>
      <w:r w:rsidR="00481E37" w:rsidRPr="009F6463">
        <w:rPr>
          <w:rFonts w:ascii="Times New Roman" w:hAnsi="Times New Roman"/>
          <w:sz w:val="24"/>
          <w:szCs w:val="24"/>
        </w:rPr>
        <w:t>P</w:t>
      </w:r>
      <w:r w:rsidR="0050064A" w:rsidRPr="009F6463">
        <w:rPr>
          <w:rFonts w:ascii="Times New Roman" w:hAnsi="Times New Roman"/>
          <w:sz w:val="24"/>
          <w:szCs w:val="24"/>
        </w:rPr>
        <w:t xml:space="preserve">orém, ainda ficou 25% menor que o </w:t>
      </w:r>
      <w:r w:rsidR="00481E37" w:rsidRPr="009F6463">
        <w:rPr>
          <w:rFonts w:ascii="Times New Roman" w:hAnsi="Times New Roman"/>
          <w:sz w:val="24"/>
          <w:szCs w:val="24"/>
        </w:rPr>
        <w:t>C</w:t>
      </w:r>
      <w:r w:rsidR="00027327" w:rsidRPr="009F6463">
        <w:rPr>
          <w:rFonts w:ascii="Times New Roman" w:hAnsi="Times New Roman"/>
          <w:sz w:val="24"/>
          <w:szCs w:val="24"/>
        </w:rPr>
        <w:t xml:space="preserve"> </w:t>
      </w:r>
      <w:r w:rsidR="00547BBA" w:rsidRPr="009F6463">
        <w:rPr>
          <w:rFonts w:ascii="Times New Roman" w:hAnsi="Times New Roman"/>
          <w:sz w:val="24"/>
          <w:szCs w:val="24"/>
        </w:rPr>
        <w:t>(tabela</w:t>
      </w:r>
      <w:r w:rsidR="0050064A" w:rsidRPr="009F6463">
        <w:rPr>
          <w:rFonts w:ascii="Times New Roman" w:hAnsi="Times New Roman"/>
          <w:sz w:val="24"/>
          <w:szCs w:val="24"/>
        </w:rPr>
        <w:t xml:space="preserve"> </w:t>
      </w:r>
      <w:r w:rsidR="00547BBA" w:rsidRPr="009F6463">
        <w:rPr>
          <w:rFonts w:ascii="Times New Roman" w:hAnsi="Times New Roman"/>
          <w:sz w:val="24"/>
          <w:szCs w:val="24"/>
        </w:rPr>
        <w:t>1)</w:t>
      </w:r>
      <w:r w:rsidR="0050064A" w:rsidRPr="009F6463">
        <w:rPr>
          <w:rFonts w:ascii="Times New Roman" w:hAnsi="Times New Roman"/>
          <w:sz w:val="24"/>
          <w:szCs w:val="24"/>
        </w:rPr>
        <w:t>.</w:t>
      </w:r>
    </w:p>
    <w:p w14:paraId="6EA855AA" w14:textId="77777777" w:rsidR="00547BBA" w:rsidRDefault="00547BBA" w:rsidP="009F6463">
      <w:pPr>
        <w:spacing w:after="0" w:line="360" w:lineRule="auto"/>
        <w:ind w:left="142" w:right="-1"/>
        <w:contextualSpacing/>
        <w:jc w:val="both"/>
        <w:rPr>
          <w:rFonts w:ascii="Times New Roman" w:hAnsi="Times New Roman"/>
          <w:sz w:val="24"/>
          <w:szCs w:val="24"/>
        </w:rPr>
      </w:pPr>
    </w:p>
    <w:p w14:paraId="2961A4B2" w14:textId="26142A52" w:rsidR="007A5A90" w:rsidRPr="009F6463" w:rsidRDefault="007A5A90" w:rsidP="009F6463">
      <w:pPr>
        <w:spacing w:after="0" w:line="360" w:lineRule="auto"/>
        <w:ind w:left="142" w:right="-1"/>
        <w:contextualSpacing/>
        <w:jc w:val="both"/>
        <w:rPr>
          <w:rFonts w:ascii="Times New Roman" w:hAnsi="Times New Roman"/>
          <w:sz w:val="24"/>
          <w:szCs w:val="24"/>
        </w:rPr>
      </w:pPr>
      <w:r w:rsidRPr="009F6463">
        <w:rPr>
          <w:rFonts w:ascii="Times New Roman" w:hAnsi="Times New Roman"/>
          <w:sz w:val="24"/>
          <w:szCs w:val="24"/>
        </w:rPr>
        <w:t xml:space="preserve">Tabela 1. </w:t>
      </w:r>
      <w:r w:rsidR="00027327" w:rsidRPr="009F6463">
        <w:rPr>
          <w:rFonts w:ascii="Times New Roman" w:hAnsi="Times New Roman"/>
          <w:sz w:val="24"/>
          <w:szCs w:val="24"/>
        </w:rPr>
        <w:t>Massa</w:t>
      </w:r>
      <w:r w:rsidRPr="009F6463">
        <w:rPr>
          <w:rFonts w:ascii="Times New Roman" w:hAnsi="Times New Roman"/>
          <w:sz w:val="24"/>
          <w:szCs w:val="24"/>
        </w:rPr>
        <w:t xml:space="preserve"> (mg) e relação proteína total/ DNA (mg/100mg) do músculo sóleo nos grupos: controle (C), Imobilizado (I), Tratado com nucleotídeos (T) e Imobilizado tratado com nucleotídeos (IT). Os valore</w:t>
      </w:r>
      <w:r w:rsidR="00027327" w:rsidRPr="009F6463">
        <w:rPr>
          <w:rFonts w:ascii="Times New Roman" w:hAnsi="Times New Roman"/>
          <w:sz w:val="24"/>
          <w:szCs w:val="24"/>
        </w:rPr>
        <w:t>s correspondem a média ± dp, n=6</w:t>
      </w:r>
      <w:r w:rsidRPr="009F6463">
        <w:rPr>
          <w:rFonts w:ascii="Times New Roman" w:hAnsi="Times New Roman"/>
          <w:sz w:val="24"/>
          <w:szCs w:val="24"/>
        </w:rPr>
        <w:t xml:space="preserve">. *p&lt;0,05 comparado ao </w:t>
      </w:r>
      <w:r w:rsidR="00481E37" w:rsidRPr="009F6463">
        <w:rPr>
          <w:rFonts w:ascii="Times New Roman" w:hAnsi="Times New Roman"/>
          <w:sz w:val="24"/>
          <w:szCs w:val="24"/>
        </w:rPr>
        <w:t>C</w:t>
      </w:r>
      <w:r w:rsidRPr="009F6463">
        <w:rPr>
          <w:rFonts w:ascii="Times New Roman" w:hAnsi="Times New Roman"/>
          <w:sz w:val="24"/>
          <w:szCs w:val="24"/>
        </w:rPr>
        <w:t xml:space="preserve">; #p&lt;0,05 comparado ao grupo </w:t>
      </w:r>
      <w:r w:rsidR="00481E37" w:rsidRPr="009F6463">
        <w:rPr>
          <w:rFonts w:ascii="Times New Roman" w:hAnsi="Times New Roman"/>
          <w:sz w:val="24"/>
          <w:szCs w:val="24"/>
        </w:rPr>
        <w:t>I</w:t>
      </w:r>
      <w:r w:rsidRPr="009F6463">
        <w:rPr>
          <w:rFonts w:ascii="Times New Roman" w:hAnsi="Times New Roman"/>
          <w:sz w:val="24"/>
          <w:szCs w:val="24"/>
        </w:rPr>
        <w:t>.</w:t>
      </w:r>
    </w:p>
    <w:tbl>
      <w:tblPr>
        <w:tblStyle w:val="Tabelacomgrade"/>
        <w:tblW w:w="0" w:type="auto"/>
        <w:jc w:val="center"/>
        <w:tblLook w:val="04A0" w:firstRow="1" w:lastRow="0" w:firstColumn="1" w:lastColumn="0" w:noHBand="0" w:noVBand="1"/>
      </w:tblPr>
      <w:tblGrid>
        <w:gridCol w:w="2410"/>
        <w:gridCol w:w="1276"/>
        <w:gridCol w:w="1417"/>
        <w:gridCol w:w="1276"/>
        <w:gridCol w:w="1701"/>
      </w:tblGrid>
      <w:tr w:rsidR="002509B7" w:rsidRPr="009F6463" w14:paraId="07652314" w14:textId="77777777" w:rsidTr="00562ADA">
        <w:trPr>
          <w:trHeight w:hRule="exact" w:val="340"/>
          <w:jc w:val="center"/>
        </w:trPr>
        <w:tc>
          <w:tcPr>
            <w:tcW w:w="2410" w:type="dxa"/>
            <w:tcBorders>
              <w:left w:val="nil"/>
            </w:tcBorders>
            <w:vAlign w:val="center"/>
          </w:tcPr>
          <w:p w14:paraId="7EA53A47" w14:textId="77777777" w:rsidR="00D61C2B" w:rsidRPr="009F6463" w:rsidRDefault="00D61C2B" w:rsidP="009F6463">
            <w:pPr>
              <w:spacing w:line="360" w:lineRule="auto"/>
              <w:jc w:val="center"/>
              <w:rPr>
                <w:rFonts w:ascii="Times New Roman" w:hAnsi="Times New Roman"/>
                <w:szCs w:val="24"/>
              </w:rPr>
            </w:pPr>
          </w:p>
        </w:tc>
        <w:tc>
          <w:tcPr>
            <w:tcW w:w="1276" w:type="dxa"/>
            <w:vAlign w:val="center"/>
          </w:tcPr>
          <w:p w14:paraId="23B9C296"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C</w:t>
            </w:r>
          </w:p>
        </w:tc>
        <w:tc>
          <w:tcPr>
            <w:tcW w:w="1417" w:type="dxa"/>
            <w:vAlign w:val="center"/>
          </w:tcPr>
          <w:p w14:paraId="286AB3A9"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I</w:t>
            </w:r>
          </w:p>
        </w:tc>
        <w:tc>
          <w:tcPr>
            <w:tcW w:w="1276" w:type="dxa"/>
            <w:vAlign w:val="center"/>
          </w:tcPr>
          <w:p w14:paraId="207B1298"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T</w:t>
            </w:r>
          </w:p>
        </w:tc>
        <w:tc>
          <w:tcPr>
            <w:tcW w:w="1701" w:type="dxa"/>
            <w:tcBorders>
              <w:right w:val="nil"/>
            </w:tcBorders>
            <w:vAlign w:val="center"/>
          </w:tcPr>
          <w:p w14:paraId="2C850D8A"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IT</w:t>
            </w:r>
          </w:p>
        </w:tc>
      </w:tr>
      <w:tr w:rsidR="002509B7" w:rsidRPr="009F6463" w14:paraId="018632F0" w14:textId="77777777" w:rsidTr="00562ADA">
        <w:trPr>
          <w:trHeight w:hRule="exact" w:val="340"/>
          <w:jc w:val="center"/>
        </w:trPr>
        <w:tc>
          <w:tcPr>
            <w:tcW w:w="2410" w:type="dxa"/>
            <w:tcBorders>
              <w:left w:val="nil"/>
            </w:tcBorders>
            <w:vAlign w:val="center"/>
          </w:tcPr>
          <w:p w14:paraId="4DFF75BB" w14:textId="20E7CE53" w:rsidR="00D61C2B" w:rsidRPr="009F6463" w:rsidRDefault="00027327" w:rsidP="009F6463">
            <w:pPr>
              <w:spacing w:line="360" w:lineRule="auto"/>
              <w:jc w:val="center"/>
              <w:rPr>
                <w:rFonts w:ascii="Times New Roman" w:hAnsi="Times New Roman"/>
                <w:szCs w:val="24"/>
              </w:rPr>
            </w:pPr>
            <w:r w:rsidRPr="009F6463">
              <w:rPr>
                <w:rFonts w:ascii="Times New Roman" w:hAnsi="Times New Roman"/>
                <w:szCs w:val="24"/>
              </w:rPr>
              <w:t>Massa</w:t>
            </w:r>
            <w:r w:rsidR="00D61C2B" w:rsidRPr="009F6463">
              <w:rPr>
                <w:rFonts w:ascii="Times New Roman" w:hAnsi="Times New Roman"/>
                <w:szCs w:val="24"/>
              </w:rPr>
              <w:t xml:space="preserve"> (mg)</w:t>
            </w:r>
          </w:p>
        </w:tc>
        <w:tc>
          <w:tcPr>
            <w:tcW w:w="1276" w:type="dxa"/>
            <w:vAlign w:val="center"/>
          </w:tcPr>
          <w:p w14:paraId="5C545B00"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120 ± 12</w:t>
            </w:r>
          </w:p>
        </w:tc>
        <w:tc>
          <w:tcPr>
            <w:tcW w:w="1417" w:type="dxa"/>
            <w:vAlign w:val="center"/>
          </w:tcPr>
          <w:p w14:paraId="2B340790"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70 ± 10</w:t>
            </w:r>
            <w:r w:rsidRPr="009F6463">
              <w:rPr>
                <w:rFonts w:ascii="Times New Roman" w:hAnsi="Times New Roman"/>
                <w:szCs w:val="24"/>
                <w:vertAlign w:val="superscript"/>
              </w:rPr>
              <w:t>*</w:t>
            </w:r>
          </w:p>
        </w:tc>
        <w:tc>
          <w:tcPr>
            <w:tcW w:w="1276" w:type="dxa"/>
            <w:vAlign w:val="center"/>
          </w:tcPr>
          <w:p w14:paraId="0612DCC2"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130 ± 15</w:t>
            </w:r>
          </w:p>
        </w:tc>
        <w:tc>
          <w:tcPr>
            <w:tcW w:w="1701" w:type="dxa"/>
            <w:tcBorders>
              <w:right w:val="nil"/>
            </w:tcBorders>
            <w:vAlign w:val="center"/>
          </w:tcPr>
          <w:p w14:paraId="1CABAFDB"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90 ± 11</w:t>
            </w:r>
            <w:r w:rsidRPr="009F6463">
              <w:rPr>
                <w:rFonts w:ascii="Times New Roman" w:hAnsi="Times New Roman"/>
                <w:szCs w:val="24"/>
                <w:vertAlign w:val="superscript"/>
              </w:rPr>
              <w:t>*,#</w:t>
            </w:r>
          </w:p>
        </w:tc>
      </w:tr>
      <w:tr w:rsidR="00D61C2B" w:rsidRPr="009F6463" w14:paraId="79A43475" w14:textId="77777777" w:rsidTr="00562ADA">
        <w:trPr>
          <w:trHeight w:hRule="exact" w:val="340"/>
          <w:jc w:val="center"/>
        </w:trPr>
        <w:tc>
          <w:tcPr>
            <w:tcW w:w="2410" w:type="dxa"/>
            <w:tcBorders>
              <w:left w:val="nil"/>
            </w:tcBorders>
            <w:vAlign w:val="center"/>
          </w:tcPr>
          <w:p w14:paraId="145CD484"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PT/DNA (mg/100mg)</w:t>
            </w:r>
          </w:p>
        </w:tc>
        <w:tc>
          <w:tcPr>
            <w:tcW w:w="1276" w:type="dxa"/>
            <w:vAlign w:val="center"/>
          </w:tcPr>
          <w:p w14:paraId="48518FB0" w14:textId="328B53A2"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0,</w:t>
            </w:r>
            <w:r w:rsidR="00547BBA" w:rsidRPr="009F6463">
              <w:rPr>
                <w:rFonts w:ascii="Times New Roman" w:hAnsi="Times New Roman"/>
                <w:szCs w:val="24"/>
              </w:rPr>
              <w:t>8 ±</w:t>
            </w:r>
            <w:r w:rsidRPr="009F6463">
              <w:rPr>
                <w:rFonts w:ascii="Times New Roman" w:hAnsi="Times New Roman"/>
                <w:szCs w:val="24"/>
              </w:rPr>
              <w:t xml:space="preserve"> 0,05</w:t>
            </w:r>
          </w:p>
        </w:tc>
        <w:tc>
          <w:tcPr>
            <w:tcW w:w="1417" w:type="dxa"/>
            <w:vAlign w:val="center"/>
          </w:tcPr>
          <w:p w14:paraId="7C024011"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0,4 ± 0,04</w:t>
            </w:r>
            <w:r w:rsidRPr="009F6463">
              <w:rPr>
                <w:rFonts w:ascii="Times New Roman" w:hAnsi="Times New Roman"/>
                <w:szCs w:val="24"/>
                <w:vertAlign w:val="superscript"/>
              </w:rPr>
              <w:t>*</w:t>
            </w:r>
          </w:p>
        </w:tc>
        <w:tc>
          <w:tcPr>
            <w:tcW w:w="1276" w:type="dxa"/>
            <w:vAlign w:val="center"/>
          </w:tcPr>
          <w:p w14:paraId="7D60CEB3"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0,9 ± 0,03</w:t>
            </w:r>
          </w:p>
        </w:tc>
        <w:tc>
          <w:tcPr>
            <w:tcW w:w="1701" w:type="dxa"/>
            <w:tcBorders>
              <w:right w:val="nil"/>
            </w:tcBorders>
            <w:vAlign w:val="center"/>
          </w:tcPr>
          <w:p w14:paraId="05E6930E" w14:textId="77777777" w:rsidR="00D61C2B" w:rsidRPr="009F6463" w:rsidRDefault="00D61C2B" w:rsidP="009F6463">
            <w:pPr>
              <w:spacing w:line="360" w:lineRule="auto"/>
              <w:jc w:val="center"/>
              <w:rPr>
                <w:rFonts w:ascii="Times New Roman" w:hAnsi="Times New Roman"/>
                <w:szCs w:val="24"/>
              </w:rPr>
            </w:pPr>
            <w:r w:rsidRPr="009F6463">
              <w:rPr>
                <w:rFonts w:ascii="Times New Roman" w:hAnsi="Times New Roman"/>
                <w:szCs w:val="24"/>
              </w:rPr>
              <w:t>0,6 ± 0,02</w:t>
            </w:r>
            <w:r w:rsidRPr="009F6463">
              <w:rPr>
                <w:rFonts w:ascii="Times New Roman" w:hAnsi="Times New Roman"/>
                <w:szCs w:val="24"/>
                <w:vertAlign w:val="superscript"/>
              </w:rPr>
              <w:t>*,#</w:t>
            </w:r>
          </w:p>
        </w:tc>
      </w:tr>
    </w:tbl>
    <w:p w14:paraId="47A11915" w14:textId="77777777" w:rsidR="002D4D46" w:rsidRPr="009F6463" w:rsidRDefault="002D4D46" w:rsidP="009F6463">
      <w:pPr>
        <w:spacing w:after="0" w:line="360" w:lineRule="auto"/>
        <w:ind w:left="142" w:right="-1"/>
        <w:contextualSpacing/>
        <w:jc w:val="both"/>
        <w:rPr>
          <w:rFonts w:ascii="Times New Roman" w:hAnsi="Times New Roman"/>
          <w:sz w:val="24"/>
          <w:szCs w:val="24"/>
        </w:rPr>
      </w:pPr>
    </w:p>
    <w:p w14:paraId="22643E62" w14:textId="3012F503" w:rsidR="001D46DA" w:rsidRPr="009F6463" w:rsidRDefault="001D46DA" w:rsidP="009F6463">
      <w:pPr>
        <w:spacing w:after="0" w:line="360" w:lineRule="auto"/>
        <w:ind w:left="142" w:right="-1" w:firstLine="567"/>
        <w:contextualSpacing/>
        <w:jc w:val="both"/>
        <w:rPr>
          <w:rFonts w:ascii="Times New Roman" w:hAnsi="Times New Roman"/>
          <w:sz w:val="24"/>
          <w:szCs w:val="24"/>
        </w:rPr>
      </w:pPr>
      <w:r w:rsidRPr="009F6463">
        <w:rPr>
          <w:rFonts w:ascii="Times New Roman" w:hAnsi="Times New Roman"/>
          <w:sz w:val="24"/>
          <w:szCs w:val="24"/>
        </w:rPr>
        <w:t xml:space="preserve">Na avaliação morfométrica foi determinado a área de secção transversa (AST) das fibras do músculo sóleo </w:t>
      </w:r>
      <w:r w:rsidR="007A5A90" w:rsidRPr="009F6463">
        <w:rPr>
          <w:rFonts w:ascii="Times New Roman" w:hAnsi="Times New Roman"/>
          <w:sz w:val="24"/>
          <w:szCs w:val="24"/>
        </w:rPr>
        <w:t>sendo</w:t>
      </w:r>
      <w:r w:rsidRPr="009F6463">
        <w:rPr>
          <w:rFonts w:ascii="Times New Roman" w:hAnsi="Times New Roman"/>
          <w:sz w:val="24"/>
          <w:szCs w:val="24"/>
        </w:rPr>
        <w:t xml:space="preserve"> verificado que a imobilização induziu redução de 66% na AST. Neste sentido, </w:t>
      </w:r>
      <w:r w:rsidR="007A5A90" w:rsidRPr="009F6463">
        <w:rPr>
          <w:rFonts w:ascii="Times New Roman" w:hAnsi="Times New Roman"/>
          <w:sz w:val="24"/>
          <w:szCs w:val="24"/>
        </w:rPr>
        <w:t xml:space="preserve">destaca-se que </w:t>
      </w:r>
      <w:r w:rsidRPr="009F6463">
        <w:rPr>
          <w:rFonts w:ascii="Times New Roman" w:hAnsi="Times New Roman"/>
          <w:sz w:val="24"/>
          <w:szCs w:val="24"/>
        </w:rPr>
        <w:t xml:space="preserve">o tratamento de músculos normais com o suplemento não modificou a AST, por outro lado, no grupo </w:t>
      </w:r>
      <w:r w:rsidR="00820547" w:rsidRPr="009F6463">
        <w:rPr>
          <w:rFonts w:ascii="Times New Roman" w:hAnsi="Times New Roman"/>
          <w:sz w:val="24"/>
          <w:szCs w:val="24"/>
        </w:rPr>
        <w:t>IT</w:t>
      </w:r>
      <w:r w:rsidRPr="009F6463">
        <w:rPr>
          <w:rFonts w:ascii="Times New Roman" w:hAnsi="Times New Roman"/>
          <w:sz w:val="24"/>
          <w:szCs w:val="24"/>
        </w:rPr>
        <w:t>, a AST foi 88% maior, se comparado ao</w:t>
      </w:r>
      <w:r w:rsidR="00481E37" w:rsidRPr="009F6463">
        <w:rPr>
          <w:rFonts w:ascii="Times New Roman" w:hAnsi="Times New Roman"/>
          <w:sz w:val="24"/>
          <w:szCs w:val="24"/>
        </w:rPr>
        <w:t xml:space="preserve"> grupo</w:t>
      </w:r>
      <w:r w:rsidRPr="009F6463">
        <w:rPr>
          <w:rFonts w:ascii="Times New Roman" w:hAnsi="Times New Roman"/>
          <w:sz w:val="24"/>
          <w:szCs w:val="24"/>
        </w:rPr>
        <w:t xml:space="preserve"> </w:t>
      </w:r>
      <w:r w:rsidR="00820547" w:rsidRPr="009F6463">
        <w:rPr>
          <w:rFonts w:ascii="Times New Roman" w:hAnsi="Times New Roman"/>
          <w:sz w:val="24"/>
          <w:szCs w:val="24"/>
        </w:rPr>
        <w:t>I</w:t>
      </w:r>
      <w:r w:rsidRPr="009F6463">
        <w:rPr>
          <w:rFonts w:ascii="Times New Roman" w:hAnsi="Times New Roman"/>
          <w:sz w:val="24"/>
          <w:szCs w:val="24"/>
        </w:rPr>
        <w:t>, indicando menor perda de massa</w:t>
      </w:r>
      <w:r w:rsidR="00481E37" w:rsidRPr="009F6463">
        <w:rPr>
          <w:rFonts w:ascii="Times New Roman" w:hAnsi="Times New Roman"/>
          <w:sz w:val="24"/>
          <w:szCs w:val="24"/>
        </w:rPr>
        <w:t xml:space="preserve"> muscular</w:t>
      </w:r>
      <w:r w:rsidRPr="009F6463">
        <w:rPr>
          <w:rFonts w:ascii="Times New Roman" w:hAnsi="Times New Roman"/>
          <w:sz w:val="24"/>
          <w:szCs w:val="24"/>
        </w:rPr>
        <w:t xml:space="preserve"> (figura </w:t>
      </w:r>
      <w:r w:rsidR="00F538AF" w:rsidRPr="009F6463">
        <w:rPr>
          <w:rFonts w:ascii="Times New Roman" w:hAnsi="Times New Roman"/>
          <w:sz w:val="24"/>
          <w:szCs w:val="24"/>
        </w:rPr>
        <w:t>2</w:t>
      </w:r>
      <w:r w:rsidRPr="009F6463">
        <w:rPr>
          <w:rFonts w:ascii="Times New Roman" w:hAnsi="Times New Roman"/>
          <w:sz w:val="24"/>
          <w:szCs w:val="24"/>
        </w:rPr>
        <w:t xml:space="preserve">). A figura </w:t>
      </w:r>
      <w:r w:rsidR="00F538AF" w:rsidRPr="009F6463">
        <w:rPr>
          <w:rFonts w:ascii="Times New Roman" w:hAnsi="Times New Roman"/>
          <w:sz w:val="24"/>
          <w:szCs w:val="24"/>
        </w:rPr>
        <w:t>3</w:t>
      </w:r>
      <w:r w:rsidRPr="009F6463">
        <w:rPr>
          <w:rFonts w:ascii="Times New Roman" w:hAnsi="Times New Roman"/>
          <w:sz w:val="24"/>
          <w:szCs w:val="24"/>
        </w:rPr>
        <w:t xml:space="preserve"> contém as imagens das lâminas histológicas obtidas nos diferentes grupos experimentais.</w:t>
      </w:r>
    </w:p>
    <w:p w14:paraId="3447B5F9" w14:textId="77777777" w:rsidR="00B14F01" w:rsidRPr="009F6463" w:rsidRDefault="00B14F01" w:rsidP="009F6463">
      <w:pPr>
        <w:spacing w:after="0" w:line="360" w:lineRule="auto"/>
        <w:ind w:firstLine="708"/>
        <w:jc w:val="both"/>
        <w:rPr>
          <w:rFonts w:ascii="Times New Roman" w:hAnsi="Times New Roman"/>
          <w:sz w:val="24"/>
          <w:szCs w:val="24"/>
        </w:rPr>
      </w:pPr>
      <w:r w:rsidRPr="009F6463">
        <w:rPr>
          <w:rFonts w:ascii="Times New Roman" w:hAnsi="Times New Roman"/>
          <w:sz w:val="24"/>
          <w:szCs w:val="24"/>
        </w:rPr>
        <w:t>Para avaliar o número de mionúcleos, foi determinada a relação proteína total/DNA nas mesmas condições supra citadas sendo verificado que houve redução de 50% nesta relação devido a imobilização, não havendo diferença entre os grupos C e T, e de forma similar ao observado na massa, o grupo IT apresentou relação PT/DNA 50% maior se comparado ao grupo imobilizado, indicando menor perda de fibras indicadas pelo número de mionúcleos (tabela 1).</w:t>
      </w:r>
    </w:p>
    <w:p w14:paraId="3E1CD3EB" w14:textId="77777777" w:rsidR="00B14F01" w:rsidRPr="009F6463" w:rsidRDefault="00B14F01" w:rsidP="009F6463">
      <w:pPr>
        <w:spacing w:after="0" w:line="360" w:lineRule="auto"/>
        <w:ind w:firstLine="708"/>
        <w:jc w:val="both"/>
        <w:rPr>
          <w:rFonts w:ascii="Times New Roman" w:hAnsi="Times New Roman"/>
          <w:sz w:val="24"/>
          <w:szCs w:val="24"/>
        </w:rPr>
      </w:pPr>
      <w:r w:rsidRPr="009F6463">
        <w:rPr>
          <w:rFonts w:ascii="Times New Roman" w:hAnsi="Times New Roman"/>
          <w:sz w:val="24"/>
          <w:szCs w:val="24"/>
        </w:rPr>
        <w:t xml:space="preserve">Na análise das reservas glicogênicas musculares (RG) foi verificado que a imobilização promoveu redução atingindo 34% no sóleo, 43% no gastrocnêmio porção branca e 38% no gastrocnêmio porção vermelha. O mesmo perfil de análise realizada nos músculos </w:t>
      </w:r>
      <w:r w:rsidRPr="009F6463">
        <w:rPr>
          <w:rFonts w:ascii="Times New Roman" w:hAnsi="Times New Roman"/>
          <w:sz w:val="24"/>
          <w:szCs w:val="24"/>
        </w:rPr>
        <w:lastRenderedPageBreak/>
        <w:t>suplementados demonstrou elevação de 60% nas RG do sóleo, 48% no gastrocnêmio porção branca e 30% no gastrocnêmio porção vermelha. Por sua vez, no grupo IT foi verificado que a elevação nas RG atingiu 68% no sóleo e gastrocnêmio porção branca e 45,8% no gastrocnêmio porção vermelha, se comparado ao grupo I, como mostra a figura 4.</w:t>
      </w:r>
    </w:p>
    <w:p w14:paraId="7EB5B97A" w14:textId="77777777" w:rsidR="00B70C46" w:rsidRPr="009F6463" w:rsidRDefault="00B70C46" w:rsidP="009F6463">
      <w:pPr>
        <w:spacing w:line="360" w:lineRule="auto"/>
        <w:jc w:val="center"/>
        <w:rPr>
          <w:rFonts w:ascii="Times New Roman" w:hAnsi="Times New Roman"/>
          <w:sz w:val="24"/>
          <w:szCs w:val="24"/>
        </w:rPr>
      </w:pPr>
      <w:r w:rsidRPr="009F6463">
        <w:rPr>
          <w:rFonts w:ascii="Times New Roman" w:hAnsi="Times New Roman"/>
          <w:noProof/>
          <w:sz w:val="24"/>
          <w:szCs w:val="24"/>
          <w:lang w:eastAsia="pt-BR"/>
        </w:rPr>
        <w:drawing>
          <wp:inline distT="0" distB="0" distL="0" distR="0" wp14:anchorId="7C5D41DA" wp14:editId="5CD5E781">
            <wp:extent cx="3729162" cy="2274073"/>
            <wp:effectExtent l="0" t="0" r="508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996EC4" w14:textId="12689C76" w:rsidR="00B70C46" w:rsidRDefault="00B70C46" w:rsidP="007E613F">
      <w:pPr>
        <w:tabs>
          <w:tab w:val="left" w:pos="8222"/>
        </w:tabs>
        <w:spacing w:after="0"/>
        <w:ind w:right="-1"/>
        <w:jc w:val="both"/>
        <w:rPr>
          <w:rFonts w:ascii="Times New Roman" w:hAnsi="Times New Roman"/>
          <w:sz w:val="24"/>
          <w:szCs w:val="24"/>
        </w:rPr>
      </w:pPr>
      <w:r w:rsidRPr="009F6463">
        <w:rPr>
          <w:rFonts w:ascii="Times New Roman" w:hAnsi="Times New Roman"/>
          <w:sz w:val="24"/>
          <w:szCs w:val="24"/>
        </w:rPr>
        <w:t>Figura 2.  Área de secção transversa (AST, µm</w:t>
      </w:r>
      <w:r w:rsidRPr="009F6463">
        <w:rPr>
          <w:rFonts w:ascii="Times New Roman" w:hAnsi="Times New Roman"/>
          <w:sz w:val="24"/>
          <w:szCs w:val="24"/>
          <w:vertAlign w:val="superscript"/>
        </w:rPr>
        <w:t>2</w:t>
      </w:r>
      <w:r w:rsidRPr="009F6463">
        <w:rPr>
          <w:rFonts w:ascii="Times New Roman" w:hAnsi="Times New Roman"/>
          <w:sz w:val="24"/>
          <w:szCs w:val="24"/>
        </w:rPr>
        <w:t xml:space="preserve">) das fibras do músculo sóleo nos grupos: </w:t>
      </w:r>
      <w:r w:rsidR="00B14F01" w:rsidRPr="009F6463">
        <w:rPr>
          <w:rFonts w:ascii="Times New Roman" w:hAnsi="Times New Roman"/>
          <w:sz w:val="24"/>
          <w:szCs w:val="24"/>
        </w:rPr>
        <w:t>C</w:t>
      </w:r>
      <w:r w:rsidRPr="009F6463">
        <w:rPr>
          <w:rFonts w:ascii="Times New Roman" w:hAnsi="Times New Roman"/>
          <w:sz w:val="24"/>
          <w:szCs w:val="24"/>
        </w:rPr>
        <w:t xml:space="preserve">ontrole (C), Imobilizado (I), </w:t>
      </w:r>
      <w:r w:rsidR="00B14F01" w:rsidRPr="009F6463">
        <w:rPr>
          <w:rFonts w:ascii="Times New Roman" w:hAnsi="Times New Roman"/>
          <w:sz w:val="24"/>
          <w:szCs w:val="24"/>
        </w:rPr>
        <w:t>Suplementado</w:t>
      </w:r>
      <w:r w:rsidRPr="009F6463">
        <w:rPr>
          <w:rFonts w:ascii="Times New Roman" w:hAnsi="Times New Roman"/>
          <w:sz w:val="24"/>
          <w:szCs w:val="24"/>
        </w:rPr>
        <w:t xml:space="preserve"> </w:t>
      </w:r>
      <w:r w:rsidRPr="009F6463">
        <w:rPr>
          <w:rFonts w:ascii="Times New Roman" w:hAnsi="Times New Roman"/>
          <w:color w:val="000000" w:themeColor="text1"/>
          <w:sz w:val="24"/>
          <w:szCs w:val="24"/>
        </w:rPr>
        <w:t xml:space="preserve">com nucleotídeos </w:t>
      </w:r>
      <w:r w:rsidRPr="009F6463">
        <w:rPr>
          <w:rFonts w:ascii="Times New Roman" w:hAnsi="Times New Roman"/>
          <w:sz w:val="24"/>
          <w:szCs w:val="24"/>
        </w:rPr>
        <w:t>(T) e Imobilizado suplementado com nucleotídeos (IT). Os valores correspondem a média ± dp, n=8. *p&lt;0,05 comparado ao C; #p&lt;0,05 comparado ao grupo I.</w:t>
      </w:r>
    </w:p>
    <w:p w14:paraId="36FB47A8" w14:textId="77777777" w:rsidR="007E613F" w:rsidRPr="009F6463" w:rsidRDefault="007E613F" w:rsidP="007E613F">
      <w:pPr>
        <w:tabs>
          <w:tab w:val="left" w:pos="8222"/>
        </w:tabs>
        <w:spacing w:after="0"/>
        <w:ind w:right="-1"/>
        <w:jc w:val="both"/>
        <w:rPr>
          <w:rFonts w:ascii="Times New Roman" w:hAnsi="Times New Roman"/>
          <w:sz w:val="24"/>
          <w:szCs w:val="24"/>
        </w:rPr>
      </w:pPr>
    </w:p>
    <w:p w14:paraId="151F2EAF" w14:textId="77777777" w:rsidR="007E613F" w:rsidRDefault="00B70C46" w:rsidP="007E613F">
      <w:pPr>
        <w:spacing w:line="360" w:lineRule="auto"/>
        <w:jc w:val="center"/>
        <w:rPr>
          <w:rFonts w:ascii="Times New Roman" w:hAnsi="Times New Roman"/>
          <w:color w:val="000000" w:themeColor="text1"/>
          <w:sz w:val="24"/>
          <w:szCs w:val="24"/>
        </w:rPr>
      </w:pPr>
      <w:r w:rsidRPr="009F6463">
        <w:rPr>
          <w:rFonts w:ascii="Times New Roman" w:hAnsi="Times New Roman"/>
          <w:noProof/>
          <w:color w:val="000000" w:themeColor="text1"/>
          <w:sz w:val="24"/>
          <w:szCs w:val="24"/>
          <w:lang w:eastAsia="pt-BR"/>
        </w:rPr>
        <w:drawing>
          <wp:inline distT="0" distB="0" distL="0" distR="0" wp14:anchorId="3F6FA10C" wp14:editId="59A9A1DE">
            <wp:extent cx="2995722" cy="232464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029658" cy="2350979"/>
                    </a:xfrm>
                    <a:prstGeom prst="rect">
                      <a:avLst/>
                    </a:prstGeom>
                    <a:noFill/>
                    <a:ln>
                      <a:noFill/>
                    </a:ln>
                  </pic:spPr>
                </pic:pic>
              </a:graphicData>
            </a:graphic>
          </wp:inline>
        </w:drawing>
      </w:r>
    </w:p>
    <w:p w14:paraId="3D47C43B" w14:textId="684EBBD9" w:rsidR="00B70C46" w:rsidRPr="009F6463" w:rsidRDefault="00B70C46" w:rsidP="007E613F">
      <w:pPr>
        <w:spacing w:line="360" w:lineRule="auto"/>
        <w:jc w:val="both"/>
        <w:rPr>
          <w:rFonts w:ascii="Times New Roman" w:hAnsi="Times New Roman"/>
          <w:color w:val="000000" w:themeColor="text1"/>
          <w:sz w:val="24"/>
          <w:szCs w:val="24"/>
        </w:rPr>
      </w:pPr>
      <w:r w:rsidRPr="009F6463">
        <w:rPr>
          <w:rFonts w:ascii="Times New Roman" w:hAnsi="Times New Roman"/>
          <w:color w:val="000000" w:themeColor="text1"/>
          <w:sz w:val="24"/>
          <w:szCs w:val="24"/>
        </w:rPr>
        <w:br/>
        <w:t xml:space="preserve">Figura 3. Área de secção transversa (AST) do músculo sóleo dos grupos Controle (C); Imobilizados (I); </w:t>
      </w:r>
      <w:r w:rsidRPr="009F6463">
        <w:rPr>
          <w:rFonts w:ascii="Times New Roman" w:hAnsi="Times New Roman"/>
          <w:sz w:val="24"/>
          <w:szCs w:val="24"/>
        </w:rPr>
        <w:t xml:space="preserve">Suplementado </w:t>
      </w:r>
      <w:r w:rsidRPr="009F6463">
        <w:rPr>
          <w:rFonts w:ascii="Times New Roman" w:hAnsi="Times New Roman"/>
          <w:color w:val="000000" w:themeColor="text1"/>
          <w:sz w:val="24"/>
          <w:szCs w:val="24"/>
        </w:rPr>
        <w:t xml:space="preserve">com nucleotídeos (T); Imobilizado </w:t>
      </w:r>
      <w:r w:rsidRPr="009F6463">
        <w:rPr>
          <w:rFonts w:ascii="Times New Roman" w:hAnsi="Times New Roman"/>
          <w:sz w:val="24"/>
          <w:szCs w:val="24"/>
        </w:rPr>
        <w:t xml:space="preserve">Suplementado </w:t>
      </w:r>
      <w:r w:rsidRPr="009F6463">
        <w:rPr>
          <w:rFonts w:ascii="Times New Roman" w:hAnsi="Times New Roman"/>
          <w:color w:val="000000" w:themeColor="text1"/>
          <w:sz w:val="24"/>
          <w:szCs w:val="24"/>
        </w:rPr>
        <w:t>com nucleotídeos (IT). Aumento de 10x (barra = 100 μm).</w:t>
      </w:r>
    </w:p>
    <w:p w14:paraId="6E04E125" w14:textId="77777777" w:rsidR="00B70C46" w:rsidRPr="009F6463" w:rsidRDefault="00B70C46" w:rsidP="009F6463">
      <w:pPr>
        <w:spacing w:line="360" w:lineRule="auto"/>
        <w:jc w:val="center"/>
        <w:rPr>
          <w:rFonts w:ascii="Times New Roman" w:hAnsi="Times New Roman"/>
          <w:sz w:val="24"/>
          <w:szCs w:val="24"/>
        </w:rPr>
      </w:pPr>
      <w:r w:rsidRPr="009F6463">
        <w:rPr>
          <w:rFonts w:ascii="Times New Roman" w:hAnsi="Times New Roman"/>
          <w:noProof/>
          <w:sz w:val="24"/>
          <w:szCs w:val="24"/>
          <w:lang w:eastAsia="pt-BR"/>
        </w:rPr>
        <w:lastRenderedPageBreak/>
        <w:drawing>
          <wp:inline distT="0" distB="0" distL="0" distR="0" wp14:anchorId="0B957DC7" wp14:editId="5ABD9568">
            <wp:extent cx="4858247" cy="2695492"/>
            <wp:effectExtent l="0" t="0" r="0" b="0"/>
            <wp:docPr id="14"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3E42CD" w14:textId="685147A4" w:rsidR="00B70C46" w:rsidRPr="009F6463" w:rsidRDefault="00B70C46" w:rsidP="009F6463">
      <w:pPr>
        <w:tabs>
          <w:tab w:val="left" w:pos="8222"/>
        </w:tabs>
        <w:spacing w:after="0" w:line="360" w:lineRule="auto"/>
        <w:ind w:right="-1"/>
        <w:jc w:val="both"/>
        <w:rPr>
          <w:rFonts w:ascii="Times New Roman" w:hAnsi="Times New Roman"/>
          <w:color w:val="000000" w:themeColor="text1"/>
          <w:sz w:val="24"/>
          <w:szCs w:val="24"/>
        </w:rPr>
      </w:pPr>
      <w:r w:rsidRPr="009F6463">
        <w:rPr>
          <w:rFonts w:ascii="Times New Roman" w:hAnsi="Times New Roman"/>
          <w:color w:val="000000" w:themeColor="text1"/>
          <w:sz w:val="24"/>
          <w:szCs w:val="24"/>
        </w:rPr>
        <w:t xml:space="preserve">Figura 4. Concentração muscular de glicogênio </w:t>
      </w:r>
      <w:r w:rsidR="00861FC2" w:rsidRPr="009F6463">
        <w:rPr>
          <w:rFonts w:ascii="Times New Roman" w:hAnsi="Times New Roman"/>
          <w:color w:val="000000" w:themeColor="text1"/>
          <w:sz w:val="24"/>
          <w:szCs w:val="24"/>
        </w:rPr>
        <w:t xml:space="preserve">(mg/100mg|) </w:t>
      </w:r>
      <w:r w:rsidRPr="009F6463">
        <w:rPr>
          <w:rFonts w:ascii="Times New Roman" w:hAnsi="Times New Roman"/>
          <w:color w:val="000000" w:themeColor="text1"/>
          <w:sz w:val="24"/>
          <w:szCs w:val="24"/>
        </w:rPr>
        <w:t xml:space="preserve">no </w:t>
      </w:r>
      <w:r w:rsidR="00861FC2" w:rsidRPr="009F6463">
        <w:rPr>
          <w:rFonts w:ascii="Times New Roman" w:hAnsi="Times New Roman"/>
          <w:color w:val="000000" w:themeColor="text1"/>
          <w:sz w:val="24"/>
          <w:szCs w:val="24"/>
        </w:rPr>
        <w:t xml:space="preserve">músculo </w:t>
      </w:r>
      <w:r w:rsidRPr="009F6463">
        <w:rPr>
          <w:rFonts w:ascii="Times New Roman" w:hAnsi="Times New Roman"/>
          <w:color w:val="000000" w:themeColor="text1"/>
          <w:sz w:val="24"/>
          <w:szCs w:val="24"/>
        </w:rPr>
        <w:t>sóleo (S), gastrocnêmio porção branca (G), gastrocnêmio porção vermelha (GV) nos grupos: controle (C), Imobilizado (I), Tratado com nucleotídeos (T) e Imobilizado tratado com nucleotídeos (IT). Os valores correspondem a média ± dp, n=8. *p&lt;0,05 comparado ao grupo C; #p&lt;0,05 comparado ao grupo I.</w:t>
      </w:r>
    </w:p>
    <w:p w14:paraId="2F897097" w14:textId="77777777" w:rsidR="007E613F" w:rsidRDefault="007E613F" w:rsidP="009F6463">
      <w:pPr>
        <w:spacing w:after="0" w:line="360" w:lineRule="auto"/>
        <w:ind w:firstLine="708"/>
        <w:jc w:val="both"/>
        <w:rPr>
          <w:rFonts w:ascii="Times New Roman" w:hAnsi="Times New Roman"/>
          <w:sz w:val="24"/>
          <w:szCs w:val="24"/>
        </w:rPr>
      </w:pPr>
    </w:p>
    <w:p w14:paraId="4C2792D6" w14:textId="59A136CC" w:rsidR="00847ACE" w:rsidRPr="009F6463" w:rsidRDefault="00847ACE" w:rsidP="009F6463">
      <w:pPr>
        <w:spacing w:after="0" w:line="360" w:lineRule="auto"/>
        <w:ind w:firstLine="708"/>
        <w:jc w:val="both"/>
        <w:rPr>
          <w:rFonts w:ascii="Times New Roman" w:hAnsi="Times New Roman"/>
          <w:sz w:val="24"/>
          <w:szCs w:val="24"/>
        </w:rPr>
      </w:pPr>
      <w:r w:rsidRPr="009F6463">
        <w:rPr>
          <w:rFonts w:ascii="Times New Roman" w:hAnsi="Times New Roman"/>
          <w:sz w:val="24"/>
          <w:szCs w:val="24"/>
        </w:rPr>
        <w:t xml:space="preserve">Para dirimir a dúvida quanto </w:t>
      </w:r>
      <w:r w:rsidR="005B1E57" w:rsidRPr="009F6463">
        <w:rPr>
          <w:rFonts w:ascii="Times New Roman" w:hAnsi="Times New Roman"/>
          <w:sz w:val="24"/>
          <w:szCs w:val="24"/>
        </w:rPr>
        <w:t>à</w:t>
      </w:r>
      <w:r w:rsidRPr="009F6463">
        <w:rPr>
          <w:rFonts w:ascii="Times New Roman" w:hAnsi="Times New Roman"/>
          <w:sz w:val="24"/>
          <w:szCs w:val="24"/>
        </w:rPr>
        <w:t xml:space="preserve"> possibilidade do tratamento com o suplemento contendo nucleotídeos</w:t>
      </w:r>
      <w:r w:rsidR="0053652C" w:rsidRPr="009F6463">
        <w:rPr>
          <w:rFonts w:ascii="Times New Roman" w:hAnsi="Times New Roman"/>
          <w:sz w:val="24"/>
          <w:szCs w:val="24"/>
        </w:rPr>
        <w:t xml:space="preserve">, </w:t>
      </w:r>
      <w:r w:rsidRPr="009F6463">
        <w:rPr>
          <w:rFonts w:ascii="Times New Roman" w:hAnsi="Times New Roman"/>
          <w:sz w:val="24"/>
          <w:szCs w:val="24"/>
        </w:rPr>
        <w:t>promove</w:t>
      </w:r>
      <w:r w:rsidR="00AD2A2B" w:rsidRPr="009F6463">
        <w:rPr>
          <w:rFonts w:ascii="Times New Roman" w:hAnsi="Times New Roman"/>
          <w:sz w:val="24"/>
          <w:szCs w:val="24"/>
        </w:rPr>
        <w:t>r</w:t>
      </w:r>
      <w:r w:rsidRPr="009F6463">
        <w:rPr>
          <w:rFonts w:ascii="Times New Roman" w:hAnsi="Times New Roman"/>
          <w:sz w:val="24"/>
          <w:szCs w:val="24"/>
        </w:rPr>
        <w:t xml:space="preserve"> modificaç</w:t>
      </w:r>
      <w:r w:rsidR="0053652C" w:rsidRPr="009F6463">
        <w:rPr>
          <w:rFonts w:ascii="Times New Roman" w:hAnsi="Times New Roman"/>
          <w:sz w:val="24"/>
          <w:szCs w:val="24"/>
        </w:rPr>
        <w:t>ões</w:t>
      </w:r>
      <w:r w:rsidRPr="009F6463">
        <w:rPr>
          <w:rFonts w:ascii="Times New Roman" w:hAnsi="Times New Roman"/>
          <w:sz w:val="24"/>
          <w:szCs w:val="24"/>
        </w:rPr>
        <w:t xml:space="preserve"> na sensibilidade tecidual a insulina</w:t>
      </w:r>
      <w:r w:rsidR="00AD2A2B" w:rsidRPr="009F6463">
        <w:rPr>
          <w:rFonts w:ascii="Times New Roman" w:hAnsi="Times New Roman"/>
          <w:sz w:val="24"/>
          <w:szCs w:val="24"/>
        </w:rPr>
        <w:t>, f</w:t>
      </w:r>
      <w:r w:rsidRPr="009F6463">
        <w:rPr>
          <w:rFonts w:ascii="Times New Roman" w:hAnsi="Times New Roman"/>
          <w:sz w:val="24"/>
          <w:szCs w:val="24"/>
        </w:rPr>
        <w:t xml:space="preserve">oi realizado o teste de tolerância </w:t>
      </w:r>
      <w:r w:rsidR="005B1E57" w:rsidRPr="009F6463">
        <w:rPr>
          <w:rFonts w:ascii="Times New Roman" w:hAnsi="Times New Roman"/>
          <w:sz w:val="24"/>
          <w:szCs w:val="24"/>
        </w:rPr>
        <w:t>à</w:t>
      </w:r>
      <w:r w:rsidRPr="009F6463">
        <w:rPr>
          <w:rFonts w:ascii="Times New Roman" w:hAnsi="Times New Roman"/>
          <w:sz w:val="24"/>
          <w:szCs w:val="24"/>
        </w:rPr>
        <w:t xml:space="preserve"> insulina (ITT) sendo verificado que o grupo suplementado apresentou aumento de 15% na velocidade de decaimento da glicemia, representado por 8,73 ± 0,1 %/min no grupo </w:t>
      </w:r>
      <w:r w:rsidR="00820547" w:rsidRPr="009F6463">
        <w:rPr>
          <w:rFonts w:ascii="Times New Roman" w:hAnsi="Times New Roman"/>
          <w:sz w:val="24"/>
          <w:szCs w:val="24"/>
        </w:rPr>
        <w:t>C</w:t>
      </w:r>
      <w:r w:rsidRPr="009F6463">
        <w:rPr>
          <w:rFonts w:ascii="Times New Roman" w:hAnsi="Times New Roman"/>
          <w:sz w:val="24"/>
          <w:szCs w:val="24"/>
        </w:rPr>
        <w:t xml:space="preserve"> e 9,78 ± 0,1 %/min no grupo </w:t>
      </w:r>
      <w:r w:rsidR="00820547" w:rsidRPr="009F6463">
        <w:rPr>
          <w:rFonts w:ascii="Times New Roman" w:hAnsi="Times New Roman"/>
          <w:sz w:val="24"/>
          <w:szCs w:val="24"/>
        </w:rPr>
        <w:t>T</w:t>
      </w:r>
      <w:r w:rsidRPr="009F6463">
        <w:rPr>
          <w:rFonts w:ascii="Times New Roman" w:hAnsi="Times New Roman"/>
          <w:sz w:val="24"/>
          <w:szCs w:val="24"/>
        </w:rPr>
        <w:t>. Um fato importante a se considerar</w:t>
      </w:r>
      <w:r w:rsidR="00AD2A2B" w:rsidRPr="009F6463">
        <w:rPr>
          <w:rFonts w:ascii="Times New Roman" w:hAnsi="Times New Roman"/>
          <w:sz w:val="24"/>
          <w:szCs w:val="24"/>
        </w:rPr>
        <w:t>,</w:t>
      </w:r>
      <w:r w:rsidRPr="009F6463">
        <w:rPr>
          <w:rFonts w:ascii="Times New Roman" w:hAnsi="Times New Roman"/>
          <w:sz w:val="24"/>
          <w:szCs w:val="24"/>
        </w:rPr>
        <w:t xml:space="preserve"> é que a glicemia não foi modificada pelo tratamento, mantendo-se dentro da </w:t>
      </w:r>
      <w:r w:rsidR="006D174C" w:rsidRPr="009F6463">
        <w:rPr>
          <w:rFonts w:ascii="Times New Roman" w:hAnsi="Times New Roman"/>
          <w:sz w:val="24"/>
          <w:szCs w:val="24"/>
        </w:rPr>
        <w:t>normoglicemia</w:t>
      </w:r>
      <w:r w:rsidRPr="009F6463">
        <w:rPr>
          <w:rFonts w:ascii="Times New Roman" w:hAnsi="Times New Roman"/>
          <w:sz w:val="24"/>
          <w:szCs w:val="24"/>
        </w:rPr>
        <w:t xml:space="preserve"> descrita para a espécie, e assim </w:t>
      </w:r>
      <w:r w:rsidR="00AD2A2B" w:rsidRPr="009F6463">
        <w:rPr>
          <w:rFonts w:ascii="Times New Roman" w:hAnsi="Times New Roman"/>
          <w:sz w:val="24"/>
          <w:szCs w:val="24"/>
        </w:rPr>
        <w:t>descrita</w:t>
      </w:r>
      <w:r w:rsidRPr="009F6463">
        <w:rPr>
          <w:rFonts w:ascii="Times New Roman" w:hAnsi="Times New Roman"/>
          <w:sz w:val="24"/>
          <w:szCs w:val="24"/>
        </w:rPr>
        <w:t xml:space="preserve">, a saber: 125 ± 12 mg/dL no grupo </w:t>
      </w:r>
      <w:r w:rsidR="00820547" w:rsidRPr="009F6463">
        <w:rPr>
          <w:rFonts w:ascii="Times New Roman" w:hAnsi="Times New Roman"/>
          <w:sz w:val="24"/>
          <w:szCs w:val="24"/>
        </w:rPr>
        <w:t>C</w:t>
      </w:r>
      <w:r w:rsidRPr="009F6463">
        <w:rPr>
          <w:rFonts w:ascii="Times New Roman" w:hAnsi="Times New Roman"/>
          <w:sz w:val="24"/>
          <w:szCs w:val="24"/>
        </w:rPr>
        <w:t xml:space="preserve">; 130 ± 17 mg/dL no grupo </w:t>
      </w:r>
      <w:r w:rsidR="00820547" w:rsidRPr="009F6463">
        <w:rPr>
          <w:rFonts w:ascii="Times New Roman" w:hAnsi="Times New Roman"/>
          <w:sz w:val="24"/>
          <w:szCs w:val="24"/>
        </w:rPr>
        <w:t>I</w:t>
      </w:r>
      <w:r w:rsidRPr="009F6463">
        <w:rPr>
          <w:rFonts w:ascii="Times New Roman" w:hAnsi="Times New Roman"/>
          <w:sz w:val="24"/>
          <w:szCs w:val="24"/>
        </w:rPr>
        <w:t xml:space="preserve">; 140 ± 10 mg/dL no grupo </w:t>
      </w:r>
      <w:r w:rsidR="00820547" w:rsidRPr="009F6463">
        <w:rPr>
          <w:rFonts w:ascii="Times New Roman" w:hAnsi="Times New Roman"/>
          <w:sz w:val="24"/>
          <w:szCs w:val="24"/>
        </w:rPr>
        <w:t>T</w:t>
      </w:r>
      <w:r w:rsidRPr="009F6463">
        <w:rPr>
          <w:rFonts w:ascii="Times New Roman" w:hAnsi="Times New Roman"/>
          <w:sz w:val="24"/>
          <w:szCs w:val="24"/>
        </w:rPr>
        <w:t xml:space="preserve"> e 118 ± 12 mg/dL no grupo </w:t>
      </w:r>
      <w:r w:rsidR="00820547" w:rsidRPr="009F6463">
        <w:rPr>
          <w:rFonts w:ascii="Times New Roman" w:hAnsi="Times New Roman"/>
          <w:sz w:val="24"/>
          <w:szCs w:val="24"/>
        </w:rPr>
        <w:t>IT</w:t>
      </w:r>
      <w:r w:rsidRPr="009F6463">
        <w:rPr>
          <w:rFonts w:ascii="Times New Roman" w:hAnsi="Times New Roman"/>
          <w:sz w:val="24"/>
          <w:szCs w:val="24"/>
        </w:rPr>
        <w:t xml:space="preserve">.     </w:t>
      </w:r>
    </w:p>
    <w:p w14:paraId="0C51E2AF" w14:textId="77777777" w:rsidR="00331418" w:rsidRPr="009F6463" w:rsidRDefault="00331418" w:rsidP="009F6463">
      <w:pPr>
        <w:spacing w:after="0" w:line="360" w:lineRule="auto"/>
        <w:jc w:val="both"/>
        <w:rPr>
          <w:rFonts w:ascii="Times New Roman" w:hAnsi="Times New Roman"/>
          <w:b/>
          <w:sz w:val="24"/>
          <w:szCs w:val="24"/>
        </w:rPr>
      </w:pPr>
    </w:p>
    <w:p w14:paraId="37B0458A" w14:textId="063A7973" w:rsidR="00847ACE" w:rsidRPr="009F6463" w:rsidRDefault="00847ACE" w:rsidP="009F6463">
      <w:pPr>
        <w:spacing w:after="0" w:line="360" w:lineRule="auto"/>
        <w:jc w:val="both"/>
        <w:rPr>
          <w:rFonts w:ascii="Times New Roman" w:hAnsi="Times New Roman"/>
          <w:b/>
          <w:sz w:val="24"/>
          <w:szCs w:val="24"/>
        </w:rPr>
      </w:pPr>
      <w:r w:rsidRPr="009F6463">
        <w:rPr>
          <w:rFonts w:ascii="Times New Roman" w:hAnsi="Times New Roman"/>
          <w:b/>
          <w:sz w:val="24"/>
          <w:szCs w:val="24"/>
        </w:rPr>
        <w:t>DISCUSSÃO</w:t>
      </w:r>
    </w:p>
    <w:p w14:paraId="4925CA18" w14:textId="178917F4" w:rsidR="00847ACE" w:rsidRPr="009F6463" w:rsidRDefault="00847ACE" w:rsidP="009F6463">
      <w:pPr>
        <w:pStyle w:val="Corpodetexto3"/>
        <w:spacing w:after="0" w:line="360" w:lineRule="auto"/>
        <w:ind w:firstLine="709"/>
        <w:jc w:val="both"/>
        <w:rPr>
          <w:sz w:val="24"/>
          <w:szCs w:val="24"/>
        </w:rPr>
      </w:pPr>
      <w:r w:rsidRPr="009F6463">
        <w:rPr>
          <w:sz w:val="24"/>
          <w:szCs w:val="24"/>
        </w:rPr>
        <w:t>A comunidade científica busca o entendimento das alterações geradas pelo desuso muscular</w:t>
      </w:r>
      <w:r w:rsidR="00D1364D" w:rsidRPr="009F6463">
        <w:rPr>
          <w:sz w:val="24"/>
          <w:szCs w:val="24"/>
        </w:rPr>
        <w:t>,</w:t>
      </w:r>
      <w:r w:rsidRPr="009F6463">
        <w:rPr>
          <w:sz w:val="24"/>
          <w:szCs w:val="24"/>
        </w:rPr>
        <w:t xml:space="preserve"> no intuito de desenvolver novos recursos que possam contribuir para minimizar as alterações qu</w:t>
      </w:r>
      <w:r w:rsidR="00C2154A" w:rsidRPr="009F6463">
        <w:rPr>
          <w:sz w:val="24"/>
          <w:szCs w:val="24"/>
        </w:rPr>
        <w:t>í</w:t>
      </w:r>
      <w:r w:rsidRPr="009F6463">
        <w:rPr>
          <w:sz w:val="24"/>
          <w:szCs w:val="24"/>
        </w:rPr>
        <w:t>mio</w:t>
      </w:r>
      <w:r w:rsidR="00937CB4" w:rsidRPr="009F6463">
        <w:rPr>
          <w:sz w:val="24"/>
          <w:szCs w:val="24"/>
        </w:rPr>
        <w:t>-</w:t>
      </w:r>
      <w:r w:rsidRPr="009F6463">
        <w:rPr>
          <w:sz w:val="24"/>
          <w:szCs w:val="24"/>
        </w:rPr>
        <w:t>metabólicas que acompanham a imobilização muscular.</w:t>
      </w:r>
      <w:r w:rsidR="00C10BE0" w:rsidRPr="009F6463">
        <w:rPr>
          <w:sz w:val="24"/>
          <w:szCs w:val="24"/>
        </w:rPr>
        <w:t xml:space="preserve"> </w:t>
      </w:r>
      <w:r w:rsidRPr="009F6463">
        <w:rPr>
          <w:sz w:val="24"/>
          <w:szCs w:val="24"/>
        </w:rPr>
        <w:t>O desuso muscular crônico, produzido por condições de inatividade prolongada, desnervação ou suspensão do membro (microgravidade), induz resistência à insulina potencializando o estado catabólico em músculos esqueléticos de humanos e ratos, fibrose intramuscular, redução da extensibilidade muscular, além de limitação da liberdade de movimento articular</w:t>
      </w:r>
      <w:r w:rsidR="007E613F">
        <w:rPr>
          <w:sz w:val="24"/>
          <w:szCs w:val="24"/>
        </w:rPr>
        <w:t>.</w:t>
      </w:r>
      <w:r w:rsidR="007E613F">
        <w:rPr>
          <w:sz w:val="24"/>
          <w:szCs w:val="24"/>
          <w:vertAlign w:val="superscript"/>
        </w:rPr>
        <w:t>8-9</w:t>
      </w:r>
    </w:p>
    <w:p w14:paraId="49C6C7D2" w14:textId="20EA0A40" w:rsidR="00847ACE" w:rsidRPr="009F6463" w:rsidRDefault="00847ACE" w:rsidP="009F6463">
      <w:pPr>
        <w:pStyle w:val="Corpodetexto3"/>
        <w:spacing w:line="360" w:lineRule="auto"/>
        <w:ind w:firstLine="708"/>
        <w:jc w:val="both"/>
        <w:rPr>
          <w:sz w:val="24"/>
          <w:szCs w:val="24"/>
        </w:rPr>
      </w:pPr>
      <w:r w:rsidRPr="009F6463">
        <w:rPr>
          <w:sz w:val="24"/>
          <w:szCs w:val="24"/>
        </w:rPr>
        <w:lastRenderedPageBreak/>
        <w:t>Há tempo</w:t>
      </w:r>
      <w:r w:rsidR="0053652C" w:rsidRPr="009F6463">
        <w:rPr>
          <w:sz w:val="24"/>
          <w:szCs w:val="24"/>
        </w:rPr>
        <w:t>s</w:t>
      </w:r>
      <w:r w:rsidRPr="009F6463">
        <w:rPr>
          <w:sz w:val="24"/>
          <w:szCs w:val="24"/>
        </w:rPr>
        <w:t xml:space="preserve">, tem-se descrito que a </w:t>
      </w:r>
      <w:r w:rsidR="00AD5413" w:rsidRPr="009F6463">
        <w:rPr>
          <w:sz w:val="24"/>
          <w:szCs w:val="24"/>
        </w:rPr>
        <w:t xml:space="preserve">atrofia </w:t>
      </w:r>
      <w:r w:rsidRPr="009F6463">
        <w:rPr>
          <w:sz w:val="24"/>
          <w:szCs w:val="24"/>
        </w:rPr>
        <w:t>é um processo desencadeado em diferentes intensidades e de forma seletiva atinge em diferentes nuances cada tipo de músculo</w:t>
      </w:r>
      <w:r w:rsidRPr="009F6463">
        <w:rPr>
          <w:sz w:val="24"/>
          <w:szCs w:val="24"/>
          <w:vertAlign w:val="superscript"/>
        </w:rPr>
        <w:t>15</w:t>
      </w:r>
      <w:r w:rsidRPr="009F6463">
        <w:rPr>
          <w:sz w:val="24"/>
          <w:szCs w:val="24"/>
        </w:rPr>
        <w:t>. Desta maneira as fibras do tipo I possuem</w:t>
      </w:r>
      <w:r w:rsidR="008B5AD4" w:rsidRPr="009F6463">
        <w:rPr>
          <w:sz w:val="24"/>
          <w:szCs w:val="24"/>
        </w:rPr>
        <w:t xml:space="preserve"> maior susceptibilidade</w:t>
      </w:r>
      <w:r w:rsidRPr="009F6463">
        <w:rPr>
          <w:sz w:val="24"/>
          <w:szCs w:val="24"/>
        </w:rPr>
        <w:t xml:space="preserve"> em relação às fibras do tipo II, sendo consequentemente mais afetadas pelo desuso. </w:t>
      </w:r>
      <w:r w:rsidR="008803D9">
        <w:rPr>
          <w:sz w:val="24"/>
          <w:szCs w:val="24"/>
        </w:rPr>
        <w:t>Kasper et al.,</w:t>
      </w:r>
      <w:r w:rsidR="007E613F">
        <w:rPr>
          <w:sz w:val="24"/>
          <w:szCs w:val="24"/>
        </w:rPr>
        <w:t xml:space="preserve"> </w:t>
      </w:r>
      <w:r w:rsidRPr="009F6463">
        <w:rPr>
          <w:sz w:val="24"/>
          <w:szCs w:val="24"/>
        </w:rPr>
        <w:t>observ</w:t>
      </w:r>
      <w:r w:rsidR="007E613F">
        <w:rPr>
          <w:sz w:val="24"/>
          <w:szCs w:val="24"/>
        </w:rPr>
        <w:t>a</w:t>
      </w:r>
      <w:r w:rsidR="008803D9">
        <w:rPr>
          <w:sz w:val="24"/>
          <w:szCs w:val="24"/>
        </w:rPr>
        <w:t>ram</w:t>
      </w:r>
      <w:r w:rsidRPr="009F6463">
        <w:rPr>
          <w:sz w:val="24"/>
          <w:szCs w:val="24"/>
        </w:rPr>
        <w:t xml:space="preserve"> maior susceptividade à </w:t>
      </w:r>
      <w:r w:rsidR="00AD5413" w:rsidRPr="009F6463">
        <w:rPr>
          <w:sz w:val="24"/>
          <w:szCs w:val="24"/>
        </w:rPr>
        <w:t xml:space="preserve">atrofia </w:t>
      </w:r>
      <w:r w:rsidRPr="009F6463">
        <w:rPr>
          <w:sz w:val="24"/>
          <w:szCs w:val="24"/>
        </w:rPr>
        <w:t xml:space="preserve">em fibras lentas oxidativas e </w:t>
      </w:r>
      <w:r w:rsidR="007E613F">
        <w:rPr>
          <w:sz w:val="24"/>
          <w:szCs w:val="24"/>
        </w:rPr>
        <w:t>posteriormente em 2004 foi observado n</w:t>
      </w:r>
      <w:r w:rsidRPr="009F6463">
        <w:rPr>
          <w:sz w:val="24"/>
          <w:szCs w:val="24"/>
        </w:rPr>
        <w:t>o músculo sóleo maior comprometimento em situações de desuso por ser predominantemente formado por fibras do tipo I</w:t>
      </w:r>
      <w:r w:rsidR="007E613F">
        <w:rPr>
          <w:sz w:val="24"/>
          <w:szCs w:val="24"/>
        </w:rPr>
        <w:t>.</w:t>
      </w:r>
      <w:r w:rsidR="007E613F">
        <w:rPr>
          <w:sz w:val="24"/>
          <w:szCs w:val="24"/>
          <w:vertAlign w:val="superscript"/>
        </w:rPr>
        <w:t>10-11</w:t>
      </w:r>
    </w:p>
    <w:p w14:paraId="69ECA7FE" w14:textId="0168A45E" w:rsidR="00847ACE" w:rsidRPr="009F6463" w:rsidRDefault="00847ACE" w:rsidP="009F6463">
      <w:pPr>
        <w:pStyle w:val="Corpodetexto3"/>
        <w:spacing w:line="360" w:lineRule="auto"/>
        <w:ind w:firstLine="709"/>
        <w:jc w:val="both"/>
        <w:rPr>
          <w:sz w:val="24"/>
          <w:szCs w:val="24"/>
        </w:rPr>
      </w:pPr>
      <w:r w:rsidRPr="009F6463">
        <w:rPr>
          <w:sz w:val="24"/>
          <w:szCs w:val="24"/>
        </w:rPr>
        <w:t>Os dados expressos neste trabalho indicam que devido ao desuso houve redução das reservas glicogênicas</w:t>
      </w:r>
      <w:r w:rsidR="008E7C5C" w:rsidRPr="009F6463">
        <w:rPr>
          <w:sz w:val="24"/>
          <w:szCs w:val="24"/>
        </w:rPr>
        <w:t xml:space="preserve">, </w:t>
      </w:r>
      <w:r w:rsidR="00F477B0" w:rsidRPr="009F6463">
        <w:rPr>
          <w:sz w:val="24"/>
          <w:szCs w:val="24"/>
        </w:rPr>
        <w:t>menor área de secção transversa e diminuição na relação de proteína total e DNA</w:t>
      </w:r>
      <w:r w:rsidRPr="009F6463">
        <w:rPr>
          <w:sz w:val="24"/>
          <w:szCs w:val="24"/>
        </w:rPr>
        <w:t xml:space="preserve"> acompanhando os autores que sugerem a maior susceptibilidade das fibras tipo I</w:t>
      </w:r>
      <w:r w:rsidR="00F477B0" w:rsidRPr="009F6463">
        <w:rPr>
          <w:sz w:val="24"/>
          <w:szCs w:val="24"/>
        </w:rPr>
        <w:t xml:space="preserve"> as quais são mais sensíveis a essas intervenções</w:t>
      </w:r>
      <w:r w:rsidR="00054F23" w:rsidRPr="009F6463">
        <w:rPr>
          <w:sz w:val="24"/>
          <w:szCs w:val="24"/>
        </w:rPr>
        <w:t xml:space="preserve">, </w:t>
      </w:r>
      <w:r w:rsidR="00162EDD" w:rsidRPr="009F6463">
        <w:rPr>
          <w:sz w:val="24"/>
          <w:szCs w:val="24"/>
        </w:rPr>
        <w:t>caracterizando</w:t>
      </w:r>
      <w:r w:rsidR="00054F23" w:rsidRPr="009F6463">
        <w:rPr>
          <w:sz w:val="24"/>
          <w:szCs w:val="24"/>
        </w:rPr>
        <w:t xml:space="preserve"> redução na sensibilidade de vias insulínicas</w:t>
      </w:r>
      <w:r w:rsidRPr="009F6463">
        <w:rPr>
          <w:sz w:val="24"/>
          <w:szCs w:val="24"/>
        </w:rPr>
        <w:t>. Neste sentido, tem-se observado que as fibras lentas em situação de desuso apresentam marcantes alterações histo-fisiológicas como irregularidades no retículo sarcoplasmático, fibrilas desintegradas, lesão mitocondrial, linhas Z estendidas, condensação e fragmentação da cromatina nuclear e redução de sarcômeros em paralelo</w:t>
      </w:r>
      <w:r w:rsidR="005D4B60" w:rsidRPr="009F6463">
        <w:rPr>
          <w:sz w:val="24"/>
          <w:szCs w:val="24"/>
        </w:rPr>
        <w:t>, ocasionando resistência à insulina, aumento do tecido conjuntivo intramuscular, fibrose, redução da densidade dos capilares, extensibilidade muscular e limitação na mobilidade articular</w:t>
      </w:r>
      <w:r w:rsidR="007E613F">
        <w:rPr>
          <w:sz w:val="24"/>
          <w:szCs w:val="24"/>
        </w:rPr>
        <w:t>.</w:t>
      </w:r>
      <w:r w:rsidR="007E613F" w:rsidRPr="007E613F">
        <w:rPr>
          <w:sz w:val="24"/>
          <w:szCs w:val="24"/>
          <w:vertAlign w:val="superscript"/>
        </w:rPr>
        <w:t>12</w:t>
      </w:r>
    </w:p>
    <w:p w14:paraId="36F599E9" w14:textId="4D97F139" w:rsidR="00847ACE" w:rsidRPr="007E613F" w:rsidRDefault="007E613F" w:rsidP="009F6463">
      <w:pPr>
        <w:pStyle w:val="Corpodetexto2"/>
        <w:spacing w:line="360" w:lineRule="auto"/>
        <w:ind w:firstLine="709"/>
        <w:jc w:val="both"/>
        <w:rPr>
          <w:szCs w:val="24"/>
          <w:vertAlign w:val="superscript"/>
        </w:rPr>
      </w:pPr>
      <w:r>
        <w:rPr>
          <w:szCs w:val="24"/>
        </w:rPr>
        <w:t xml:space="preserve">Em </w:t>
      </w:r>
      <w:r w:rsidR="00847ACE" w:rsidRPr="009F6463">
        <w:rPr>
          <w:szCs w:val="24"/>
        </w:rPr>
        <w:t>2003</w:t>
      </w:r>
      <w:r>
        <w:rPr>
          <w:szCs w:val="24"/>
        </w:rPr>
        <w:t xml:space="preserve"> foram estudados</w:t>
      </w:r>
      <w:r w:rsidR="00847ACE" w:rsidRPr="009F6463">
        <w:rPr>
          <w:szCs w:val="24"/>
        </w:rPr>
        <w:t xml:space="preserve"> ratos com suspensão de membros posteriores e demonstraram que a resistência à insulina acompanha o processo de atrofia muscular induzida pelo desuso em músculos esqueléticos de contração lenta, como o músculo sóleo. Simultaneamente, esses autores também observaram redução na expressão de </w:t>
      </w:r>
      <w:r w:rsidR="00AA73D1" w:rsidRPr="009F6463">
        <w:rPr>
          <w:szCs w:val="24"/>
        </w:rPr>
        <w:t>receptores de substrato de insulina e da atividade da proteína JNK</w:t>
      </w:r>
      <w:r w:rsidR="00BE3D6A" w:rsidRPr="009F6463">
        <w:rPr>
          <w:szCs w:val="24"/>
        </w:rPr>
        <w:t>,</w:t>
      </w:r>
      <w:r w:rsidR="00AA73D1" w:rsidRPr="009F6463">
        <w:rPr>
          <w:szCs w:val="24"/>
        </w:rPr>
        <w:t xml:space="preserve"> que auxilia na regulação do processo de autodestruição celular </w:t>
      </w:r>
      <w:r w:rsidR="00847ACE" w:rsidRPr="009F6463">
        <w:rPr>
          <w:szCs w:val="24"/>
        </w:rPr>
        <w:t xml:space="preserve">nos músculos </w:t>
      </w:r>
      <w:r w:rsidR="00E77882" w:rsidRPr="009F6463">
        <w:rPr>
          <w:szCs w:val="24"/>
        </w:rPr>
        <w:t xml:space="preserve">atrofiados </w:t>
      </w:r>
      <w:r w:rsidR="00847ACE" w:rsidRPr="009F6463">
        <w:rPr>
          <w:szCs w:val="24"/>
        </w:rPr>
        <w:t>e a correlacionaram com a degradação da proteína IRS-1, evidenciando redução na efetividade da sinalização insulínica. Além disso, observaram também uma redução na atividade da enzima Akt.</w:t>
      </w:r>
      <w:r>
        <w:rPr>
          <w:szCs w:val="24"/>
          <w:vertAlign w:val="superscript"/>
        </w:rPr>
        <w:t>13</w:t>
      </w:r>
    </w:p>
    <w:p w14:paraId="071E42EF" w14:textId="2646F767" w:rsidR="00847ACE" w:rsidRPr="009F6463" w:rsidRDefault="00847ACE" w:rsidP="009F6463">
      <w:pPr>
        <w:pStyle w:val="Corpodetexto2"/>
        <w:spacing w:line="360" w:lineRule="auto"/>
        <w:ind w:firstLine="709"/>
        <w:jc w:val="both"/>
        <w:rPr>
          <w:szCs w:val="24"/>
        </w:rPr>
      </w:pPr>
      <w:r w:rsidRPr="009F6463">
        <w:rPr>
          <w:szCs w:val="24"/>
        </w:rPr>
        <w:t>Os dados aqui apresentados corroboram para explicar a redução no peso do músculo sóleo, bem como, na área de secção transversa, indicando a multiplicidade de eventos provocados pelo desuso e a maior susceptibilidade das fibras vermelhas.</w:t>
      </w:r>
      <w:r w:rsidR="00A407B6" w:rsidRPr="009F6463">
        <w:rPr>
          <w:szCs w:val="24"/>
        </w:rPr>
        <w:t xml:space="preserve"> </w:t>
      </w:r>
      <w:r w:rsidRPr="009F6463">
        <w:rPr>
          <w:szCs w:val="24"/>
        </w:rPr>
        <w:t>De forma consensual têm sido descritos que as principais alterações morfofuncionais e metabólicas estão totalmente configuradas no período de 7 dias pós-imobilização, fato que, este estudo corrobora ao demonstrar o comprometimento na massa muscular e área de secção transversa das fibras quando submetidas ao desuso por esse período</w:t>
      </w:r>
      <w:r w:rsidR="007B2207" w:rsidRPr="009F6463">
        <w:rPr>
          <w:szCs w:val="24"/>
        </w:rPr>
        <w:t xml:space="preserve">, o mesmo foi apresentado pelo devido trabalho e foi representado tanto pela diminuição do peso úmido como da relação Proteína Total/DNA, </w:t>
      </w:r>
      <w:r w:rsidR="007B2207" w:rsidRPr="009F6463">
        <w:rPr>
          <w:szCs w:val="24"/>
        </w:rPr>
        <w:lastRenderedPageBreak/>
        <w:t>no grupo IT a suplementação mostrou-se eficiente em agir na perda da massa e na relação citada acima</w:t>
      </w:r>
      <w:r w:rsidR="008803D9">
        <w:rPr>
          <w:szCs w:val="24"/>
        </w:rPr>
        <w:t>.</w:t>
      </w:r>
      <w:r w:rsidR="007E613F">
        <w:rPr>
          <w:szCs w:val="24"/>
          <w:vertAlign w:val="superscript"/>
        </w:rPr>
        <w:t>10</w:t>
      </w:r>
    </w:p>
    <w:p w14:paraId="2EFA82A6" w14:textId="5BA13EC2" w:rsidR="00847ACE" w:rsidRPr="009F6463" w:rsidRDefault="006F1B72" w:rsidP="009F6463">
      <w:pPr>
        <w:autoSpaceDE w:val="0"/>
        <w:autoSpaceDN w:val="0"/>
        <w:adjustRightInd w:val="0"/>
        <w:spacing w:after="0" w:line="360" w:lineRule="auto"/>
        <w:ind w:firstLine="708"/>
        <w:jc w:val="both"/>
        <w:rPr>
          <w:rFonts w:ascii="Times New Roman" w:hAnsi="Times New Roman"/>
          <w:sz w:val="24"/>
          <w:szCs w:val="24"/>
        </w:rPr>
      </w:pPr>
      <w:r w:rsidRPr="009F6463">
        <w:rPr>
          <w:rFonts w:ascii="Times New Roman" w:hAnsi="Times New Roman"/>
          <w:iCs/>
          <w:sz w:val="24"/>
          <w:szCs w:val="24"/>
        </w:rPr>
        <w:t xml:space="preserve">Essa proteção aconteceu devido </w:t>
      </w:r>
      <w:r w:rsidR="007E613F" w:rsidRPr="009F6463">
        <w:rPr>
          <w:rFonts w:ascii="Times New Roman" w:hAnsi="Times New Roman"/>
          <w:iCs/>
          <w:sz w:val="24"/>
          <w:szCs w:val="24"/>
        </w:rPr>
        <w:t>à</w:t>
      </w:r>
      <w:r w:rsidRPr="009F6463">
        <w:rPr>
          <w:rFonts w:ascii="Times New Roman" w:hAnsi="Times New Roman"/>
          <w:iCs/>
          <w:sz w:val="24"/>
          <w:szCs w:val="24"/>
        </w:rPr>
        <w:t xml:space="preserve"> influência dos nucleotídeos na taxa de maturação celular, crescimento tecidual, aumento na concentração de RNA e nas atividades enzimáticas e concentração de proteínas, possibilitando a aceleração da recuperação morfofuncional</w:t>
      </w:r>
      <w:r w:rsidR="007E613F">
        <w:rPr>
          <w:rFonts w:ascii="Times New Roman" w:hAnsi="Times New Roman"/>
          <w:iCs/>
          <w:sz w:val="24"/>
          <w:szCs w:val="24"/>
        </w:rPr>
        <w:t xml:space="preserve">. </w:t>
      </w:r>
      <w:r w:rsidR="007E613F">
        <w:rPr>
          <w:rFonts w:ascii="Times New Roman" w:hAnsi="Times New Roman"/>
          <w:iCs/>
          <w:sz w:val="24"/>
          <w:szCs w:val="24"/>
          <w:vertAlign w:val="superscript"/>
        </w:rPr>
        <w:t>11.</w:t>
      </w:r>
      <w:r w:rsidRPr="009F6463">
        <w:rPr>
          <w:rFonts w:ascii="Times New Roman" w:hAnsi="Times New Roman"/>
          <w:iCs/>
          <w:sz w:val="24"/>
          <w:szCs w:val="24"/>
        </w:rPr>
        <w:t xml:space="preserve"> </w:t>
      </w:r>
      <w:r w:rsidR="00847ACE" w:rsidRPr="009F6463">
        <w:rPr>
          <w:rFonts w:ascii="Times New Roman" w:hAnsi="Times New Roman"/>
          <w:iCs/>
          <w:sz w:val="24"/>
          <w:szCs w:val="24"/>
        </w:rPr>
        <w:t>Os nucleotídeos são compostos de uma base nitrogenada que participam de muitos processos bioquímicos que contribuem para a manutenção da homeostasia energética e funcional do organismo. Estas estruturas são precursoras do DNA e RNA, fonte de energia na formação de ATP, coenzimas tais como NADH além de sinalizadores citosólicos, como</w:t>
      </w:r>
      <w:r w:rsidR="0085708F" w:rsidRPr="009F6463">
        <w:rPr>
          <w:rFonts w:ascii="Times New Roman" w:hAnsi="Times New Roman"/>
          <w:iCs/>
          <w:sz w:val="24"/>
          <w:szCs w:val="24"/>
        </w:rPr>
        <w:t>, por exemplo,</w:t>
      </w:r>
      <w:r w:rsidR="00847ACE" w:rsidRPr="009F6463">
        <w:rPr>
          <w:rFonts w:ascii="Times New Roman" w:hAnsi="Times New Roman"/>
          <w:iCs/>
          <w:sz w:val="24"/>
          <w:szCs w:val="24"/>
        </w:rPr>
        <w:t xml:space="preserve"> o AMP-cíclico e GMP-cíclico</w:t>
      </w:r>
      <w:r w:rsidR="007E613F">
        <w:rPr>
          <w:rFonts w:ascii="Times New Roman" w:hAnsi="Times New Roman"/>
          <w:iCs/>
          <w:sz w:val="24"/>
          <w:szCs w:val="24"/>
        </w:rPr>
        <w:t>.</w:t>
      </w:r>
      <w:r w:rsidR="007E613F">
        <w:rPr>
          <w:rFonts w:ascii="Times New Roman" w:hAnsi="Times New Roman"/>
          <w:iCs/>
          <w:sz w:val="24"/>
          <w:szCs w:val="24"/>
          <w:vertAlign w:val="superscript"/>
        </w:rPr>
        <w:t>11</w:t>
      </w:r>
      <w:r w:rsidR="00F061AD" w:rsidRPr="009F6463">
        <w:rPr>
          <w:rFonts w:ascii="Times New Roman" w:hAnsi="Times New Roman"/>
          <w:iCs/>
          <w:sz w:val="24"/>
          <w:szCs w:val="24"/>
        </w:rPr>
        <w:t xml:space="preserve"> </w:t>
      </w:r>
    </w:p>
    <w:p w14:paraId="5B72DA24" w14:textId="7B3B553E" w:rsidR="00847ACE" w:rsidRPr="009F6463" w:rsidRDefault="00847ACE" w:rsidP="009F6463">
      <w:pPr>
        <w:pStyle w:val="Recuodecorpodetexto"/>
        <w:spacing w:after="0" w:line="360" w:lineRule="auto"/>
        <w:ind w:left="0" w:firstLine="720"/>
        <w:jc w:val="both"/>
      </w:pPr>
      <w:r w:rsidRPr="009F6463">
        <w:t>Passou-se a avaliar os parâmetros até aqui descritos utilizando o suplemento com nucleotídeos e não foi verificado diferença na massa ou na relação proteínas totais/DNA nos músculos normais. Por sua vez, ao direcionarmos a análise para o músculo imobilizado foi verificado menor perda de massa e preservação da AST, indicando que o suplemento possa ter protegido a perda d</w:t>
      </w:r>
      <w:r w:rsidR="008B3933" w:rsidRPr="009F6463">
        <w:t>a</w:t>
      </w:r>
      <w:r w:rsidRPr="009F6463">
        <w:t xml:space="preserve"> massa</w:t>
      </w:r>
      <w:r w:rsidR="008B3933" w:rsidRPr="009F6463">
        <w:t xml:space="preserve"> muscular</w:t>
      </w:r>
      <w:r w:rsidRPr="009F6463">
        <w:t>.</w:t>
      </w:r>
    </w:p>
    <w:p w14:paraId="60278DFD" w14:textId="2FBF4CCD" w:rsidR="00847ACE" w:rsidRPr="009F6463" w:rsidRDefault="00847ACE" w:rsidP="009F6463">
      <w:pPr>
        <w:autoSpaceDE w:val="0"/>
        <w:autoSpaceDN w:val="0"/>
        <w:adjustRightInd w:val="0"/>
        <w:spacing w:after="0" w:line="360" w:lineRule="auto"/>
        <w:ind w:firstLine="708"/>
        <w:jc w:val="both"/>
        <w:rPr>
          <w:rFonts w:ascii="Times New Roman" w:hAnsi="Times New Roman"/>
          <w:sz w:val="24"/>
          <w:szCs w:val="24"/>
        </w:rPr>
      </w:pPr>
      <w:r w:rsidRPr="009F6463">
        <w:rPr>
          <w:rFonts w:ascii="Times New Roman" w:hAnsi="Times New Roman"/>
          <w:sz w:val="24"/>
          <w:szCs w:val="24"/>
        </w:rPr>
        <w:t xml:space="preserve">No que se refere </w:t>
      </w:r>
      <w:r w:rsidR="005E0A55" w:rsidRPr="009F6463">
        <w:rPr>
          <w:rFonts w:ascii="Times New Roman" w:hAnsi="Times New Roman"/>
          <w:sz w:val="24"/>
          <w:szCs w:val="24"/>
        </w:rPr>
        <w:t>às</w:t>
      </w:r>
      <w:r w:rsidRPr="009F6463">
        <w:rPr>
          <w:rFonts w:ascii="Times New Roman" w:hAnsi="Times New Roman"/>
          <w:sz w:val="24"/>
          <w:szCs w:val="24"/>
        </w:rPr>
        <w:t xml:space="preserve"> vias </w:t>
      </w:r>
      <w:r w:rsidR="00EB2053" w:rsidRPr="009F6463">
        <w:rPr>
          <w:rFonts w:ascii="Times New Roman" w:hAnsi="Times New Roman"/>
          <w:sz w:val="24"/>
          <w:szCs w:val="24"/>
        </w:rPr>
        <w:t>pós-absortivas</w:t>
      </w:r>
      <w:r w:rsidRPr="009F6463">
        <w:rPr>
          <w:rFonts w:ascii="Times New Roman" w:hAnsi="Times New Roman"/>
          <w:sz w:val="24"/>
          <w:szCs w:val="24"/>
        </w:rPr>
        <w:t xml:space="preserve"> dos nucleotídeos destaca-se a grande capacidade do duodeno em transferir eficientemente nucleotídeos do trato digestivo para a corrente sanguínea, o qual é direcionado ao fígado e sequencialmente ao tecido muscular. Sendo os nucleotídeos essenciais para a replicação do DNA e síntese de RNAm, tem sido descrito que após</w:t>
      </w:r>
      <w:r w:rsidR="00671679" w:rsidRPr="009F6463">
        <w:rPr>
          <w:rFonts w:ascii="Times New Roman" w:hAnsi="Times New Roman"/>
          <w:sz w:val="24"/>
          <w:szCs w:val="24"/>
        </w:rPr>
        <w:t xml:space="preserve"> a</w:t>
      </w:r>
      <w:r w:rsidRPr="009F6463">
        <w:rPr>
          <w:rFonts w:ascii="Times New Roman" w:hAnsi="Times New Roman"/>
          <w:sz w:val="24"/>
          <w:szCs w:val="24"/>
        </w:rPr>
        <w:t xml:space="preserve"> lesão ou frente a necessidade de regeneração tecidual aumenta a necessidade de nucleotídeos visando um eficiente reparo tecidual. Tem sido descrito em diferentes tecidos que os nucleotídeos promovem aumento no crescimento e maturação celular e também estimulam a diferenciação </w:t>
      </w:r>
      <w:r w:rsidR="00F061AD" w:rsidRPr="009F6463">
        <w:rPr>
          <w:rFonts w:ascii="Times New Roman" w:hAnsi="Times New Roman"/>
          <w:sz w:val="24"/>
          <w:szCs w:val="24"/>
        </w:rPr>
        <w:t>célula</w:t>
      </w:r>
      <w:r w:rsidR="007E613F">
        <w:rPr>
          <w:rFonts w:ascii="Times New Roman" w:hAnsi="Times New Roman"/>
          <w:sz w:val="24"/>
          <w:szCs w:val="24"/>
        </w:rPr>
        <w:t xml:space="preserve">. </w:t>
      </w:r>
      <w:r w:rsidR="007467C8">
        <w:rPr>
          <w:rFonts w:ascii="Times New Roman" w:hAnsi="Times New Roman"/>
          <w:sz w:val="24"/>
          <w:szCs w:val="24"/>
          <w:vertAlign w:val="superscript"/>
        </w:rPr>
        <w:t xml:space="preserve">13- </w:t>
      </w:r>
      <w:r w:rsidR="007E613F">
        <w:rPr>
          <w:rFonts w:ascii="Times New Roman" w:hAnsi="Times New Roman"/>
          <w:sz w:val="24"/>
          <w:szCs w:val="24"/>
          <w:vertAlign w:val="superscript"/>
        </w:rPr>
        <w:t>14</w:t>
      </w:r>
      <w:r w:rsidRPr="009F6463">
        <w:rPr>
          <w:rFonts w:ascii="Times New Roman" w:hAnsi="Times New Roman"/>
          <w:sz w:val="24"/>
          <w:szCs w:val="24"/>
        </w:rPr>
        <w:t xml:space="preserve"> </w:t>
      </w:r>
    </w:p>
    <w:p w14:paraId="687F06DD" w14:textId="45391ADF" w:rsidR="00847ACE" w:rsidRPr="009F6463" w:rsidRDefault="00847ACE" w:rsidP="009F6463">
      <w:pPr>
        <w:shd w:val="clear" w:color="auto" w:fill="FFFFFF"/>
        <w:spacing w:after="0" w:line="360" w:lineRule="auto"/>
        <w:jc w:val="both"/>
        <w:rPr>
          <w:rFonts w:ascii="Times New Roman" w:eastAsia="Times New Roman" w:hAnsi="Times New Roman"/>
          <w:sz w:val="24"/>
          <w:szCs w:val="24"/>
          <w:lang w:val="pt-PT" w:eastAsia="pt-BR"/>
        </w:rPr>
      </w:pPr>
      <w:r w:rsidRPr="009F6463">
        <w:rPr>
          <w:rFonts w:ascii="Times New Roman" w:hAnsi="Times New Roman"/>
          <w:sz w:val="24"/>
          <w:szCs w:val="24"/>
        </w:rPr>
        <w:tab/>
        <w:t>Na análise das reservas glicogênicas musculares foi verificado aumento nos grupos tratados com nucleotídeos. Neste sentido, tem sido descrito que os nucleotídeos atuam com potencializadores de substâncias que são secretagogos elevando a secreção da insulina, ação impar para a melhora na distribuição de substratos metabolizáveis</w:t>
      </w:r>
      <w:r w:rsidR="007467C8">
        <w:rPr>
          <w:rFonts w:ascii="Times New Roman" w:hAnsi="Times New Roman"/>
          <w:sz w:val="24"/>
          <w:szCs w:val="24"/>
        </w:rPr>
        <w:t xml:space="preserve">. </w:t>
      </w:r>
      <w:r w:rsidR="007467C8">
        <w:rPr>
          <w:rFonts w:ascii="Times New Roman" w:hAnsi="Times New Roman"/>
          <w:sz w:val="24"/>
          <w:szCs w:val="24"/>
          <w:vertAlign w:val="superscript"/>
        </w:rPr>
        <w:t>15-16</w:t>
      </w:r>
      <w:r w:rsidR="007467C8">
        <w:rPr>
          <w:rFonts w:ascii="Times New Roman" w:hAnsi="Times New Roman"/>
          <w:sz w:val="24"/>
          <w:szCs w:val="24"/>
        </w:rPr>
        <w:t xml:space="preserve">. </w:t>
      </w:r>
      <w:r w:rsidRPr="009F6463">
        <w:rPr>
          <w:rFonts w:ascii="Times New Roman" w:hAnsi="Times New Roman"/>
          <w:sz w:val="24"/>
          <w:szCs w:val="24"/>
        </w:rPr>
        <w:t>Uma vez que a atrofia muscular está fundamentada na redução das vias sinalizadoras citosólicas que modulam respostas metabólicas e o anabolismo</w:t>
      </w:r>
      <w:r w:rsidR="009127D1" w:rsidRPr="009F6463">
        <w:rPr>
          <w:rFonts w:ascii="Times New Roman" w:hAnsi="Times New Roman"/>
          <w:sz w:val="24"/>
          <w:szCs w:val="24"/>
        </w:rPr>
        <w:t xml:space="preserve"> proteico</w:t>
      </w:r>
      <w:r w:rsidRPr="009F6463">
        <w:rPr>
          <w:rFonts w:ascii="Times New Roman" w:hAnsi="Times New Roman"/>
          <w:sz w:val="24"/>
          <w:szCs w:val="24"/>
        </w:rPr>
        <w:t xml:space="preserve">, tem sido descrito que os nucleotídeos </w:t>
      </w:r>
      <w:r w:rsidRPr="009F6463">
        <w:rPr>
          <w:rFonts w:ascii="Times New Roman" w:eastAsia="Times New Roman" w:hAnsi="Times New Roman"/>
          <w:sz w:val="24"/>
          <w:szCs w:val="24"/>
          <w:lang w:val="pt-PT" w:eastAsia="pt-BR"/>
        </w:rPr>
        <w:t>apresentam propriedades que lhes permitem sinalizar no citosol</w:t>
      </w:r>
      <w:r w:rsidR="004761BE" w:rsidRPr="009F6463">
        <w:rPr>
          <w:rFonts w:ascii="Times New Roman" w:eastAsia="Times New Roman" w:hAnsi="Times New Roman"/>
          <w:sz w:val="24"/>
          <w:szCs w:val="24"/>
          <w:lang w:val="pt-PT" w:eastAsia="pt-BR"/>
        </w:rPr>
        <w:t>. A</w:t>
      </w:r>
      <w:r w:rsidRPr="009F6463">
        <w:rPr>
          <w:rFonts w:ascii="Times New Roman" w:eastAsia="Times New Roman" w:hAnsi="Times New Roman"/>
          <w:sz w:val="24"/>
          <w:szCs w:val="24"/>
          <w:lang w:val="pt-PT" w:eastAsia="pt-BR"/>
        </w:rPr>
        <w:t>ssim, estão presentes em baixas concentrações em células em repouso</w:t>
      </w:r>
      <w:r w:rsidR="00E26E07" w:rsidRPr="009F6463">
        <w:rPr>
          <w:rFonts w:ascii="Times New Roman" w:eastAsia="Times New Roman" w:hAnsi="Times New Roman"/>
          <w:sz w:val="24"/>
          <w:szCs w:val="24"/>
          <w:lang w:val="pt-PT" w:eastAsia="pt-BR"/>
        </w:rPr>
        <w:t>.</w:t>
      </w:r>
      <w:r w:rsidRPr="009F6463">
        <w:rPr>
          <w:rFonts w:ascii="Times New Roman" w:eastAsia="Times New Roman" w:hAnsi="Times New Roman"/>
          <w:sz w:val="24"/>
          <w:szCs w:val="24"/>
          <w:lang w:val="pt-PT" w:eastAsia="pt-BR"/>
        </w:rPr>
        <w:t xml:space="preserve"> </w:t>
      </w:r>
      <w:r w:rsidR="00E26E07" w:rsidRPr="009F6463">
        <w:rPr>
          <w:rFonts w:ascii="Times New Roman" w:eastAsia="Times New Roman" w:hAnsi="Times New Roman"/>
          <w:sz w:val="24"/>
          <w:szCs w:val="24"/>
          <w:lang w:val="pt-PT" w:eastAsia="pt-BR"/>
        </w:rPr>
        <w:t>P</w:t>
      </w:r>
      <w:r w:rsidRPr="009F6463">
        <w:rPr>
          <w:rFonts w:ascii="Times New Roman" w:eastAsia="Times New Roman" w:hAnsi="Times New Roman"/>
          <w:sz w:val="24"/>
          <w:szCs w:val="24"/>
          <w:lang w:val="pt-PT" w:eastAsia="pt-BR"/>
        </w:rPr>
        <w:t>orém</w:t>
      </w:r>
      <w:r w:rsidR="00E26E07" w:rsidRPr="009F6463">
        <w:rPr>
          <w:rFonts w:ascii="Times New Roman" w:eastAsia="Times New Roman" w:hAnsi="Times New Roman"/>
          <w:sz w:val="24"/>
          <w:szCs w:val="24"/>
          <w:lang w:val="pt-PT" w:eastAsia="pt-BR"/>
        </w:rPr>
        <w:t>,</w:t>
      </w:r>
      <w:r w:rsidRPr="009F6463">
        <w:rPr>
          <w:rFonts w:ascii="Times New Roman" w:eastAsia="Times New Roman" w:hAnsi="Times New Roman"/>
          <w:sz w:val="24"/>
          <w:szCs w:val="24"/>
          <w:lang w:val="pt-PT" w:eastAsia="pt-BR"/>
        </w:rPr>
        <w:t xml:space="preserve"> podem ser rapidamente produzidos ou captados</w:t>
      </w:r>
      <w:r w:rsidR="00E26E07" w:rsidRPr="009F6463">
        <w:rPr>
          <w:rFonts w:ascii="Times New Roman" w:eastAsia="Times New Roman" w:hAnsi="Times New Roman"/>
          <w:sz w:val="24"/>
          <w:szCs w:val="24"/>
          <w:lang w:val="pt-PT" w:eastAsia="pt-BR"/>
        </w:rPr>
        <w:t>,</w:t>
      </w:r>
      <w:r w:rsidRPr="009F6463">
        <w:rPr>
          <w:rFonts w:ascii="Times New Roman" w:eastAsia="Times New Roman" w:hAnsi="Times New Roman"/>
          <w:sz w:val="24"/>
          <w:szCs w:val="24"/>
          <w:lang w:val="pt-PT" w:eastAsia="pt-BR"/>
        </w:rPr>
        <w:t xml:space="preserve"> permitindo intensificar a propagação de sinais</w:t>
      </w:r>
      <w:r w:rsidR="007467C8">
        <w:rPr>
          <w:rFonts w:ascii="Times New Roman" w:eastAsia="Times New Roman" w:hAnsi="Times New Roman"/>
          <w:sz w:val="24"/>
          <w:szCs w:val="24"/>
          <w:lang w:val="pt-PT" w:eastAsia="pt-BR"/>
        </w:rPr>
        <w:t xml:space="preserve">. </w:t>
      </w:r>
      <w:r w:rsidR="007467C8">
        <w:rPr>
          <w:rFonts w:ascii="Times New Roman" w:eastAsia="Times New Roman" w:hAnsi="Times New Roman"/>
          <w:sz w:val="24"/>
          <w:szCs w:val="24"/>
          <w:vertAlign w:val="superscript"/>
          <w:lang w:val="pt-PT" w:eastAsia="pt-BR"/>
        </w:rPr>
        <w:t>17</w:t>
      </w:r>
      <w:r w:rsidR="00576AD1" w:rsidRPr="009F6463">
        <w:rPr>
          <w:rFonts w:ascii="Times New Roman" w:eastAsia="Times New Roman" w:hAnsi="Times New Roman"/>
          <w:sz w:val="24"/>
          <w:szCs w:val="24"/>
          <w:lang w:val="pt-PT" w:eastAsia="pt-BR"/>
        </w:rPr>
        <w:t xml:space="preserve">. </w:t>
      </w:r>
      <w:r w:rsidRPr="009F6463">
        <w:rPr>
          <w:rFonts w:ascii="Times New Roman" w:eastAsia="Times New Roman" w:hAnsi="Times New Roman"/>
          <w:sz w:val="24"/>
          <w:szCs w:val="24"/>
          <w:lang w:val="pt-PT" w:eastAsia="pt-BR"/>
        </w:rPr>
        <w:t xml:space="preserve">Desta forma, é sugestivo que concomitante a suplementação e elevação no oferecimento dos nucleotídeos </w:t>
      </w:r>
      <w:r w:rsidR="0085708F" w:rsidRPr="009F6463">
        <w:rPr>
          <w:rFonts w:ascii="Times New Roman" w:eastAsia="Times New Roman" w:hAnsi="Times New Roman"/>
          <w:sz w:val="24"/>
          <w:szCs w:val="24"/>
          <w:lang w:val="pt-PT" w:eastAsia="pt-BR"/>
        </w:rPr>
        <w:t>aumentem</w:t>
      </w:r>
      <w:r w:rsidRPr="009F6463">
        <w:rPr>
          <w:rFonts w:ascii="Times New Roman" w:eastAsia="Times New Roman" w:hAnsi="Times New Roman"/>
          <w:sz w:val="24"/>
          <w:szCs w:val="24"/>
          <w:lang w:val="pt-PT" w:eastAsia="pt-BR"/>
        </w:rPr>
        <w:t xml:space="preserve"> a </w:t>
      </w:r>
      <w:r w:rsidRPr="009F6463">
        <w:rPr>
          <w:rFonts w:ascii="Times New Roman" w:eastAsia="Times New Roman" w:hAnsi="Times New Roman"/>
          <w:sz w:val="24"/>
          <w:szCs w:val="24"/>
          <w:lang w:val="pt-PT" w:eastAsia="pt-BR"/>
        </w:rPr>
        <w:lastRenderedPageBreak/>
        <w:t>possibilidade destes</w:t>
      </w:r>
      <w:r w:rsidR="00E26E07" w:rsidRPr="009F6463">
        <w:rPr>
          <w:rFonts w:ascii="Times New Roman" w:eastAsia="Times New Roman" w:hAnsi="Times New Roman"/>
          <w:sz w:val="24"/>
          <w:szCs w:val="24"/>
          <w:lang w:val="pt-PT" w:eastAsia="pt-BR"/>
        </w:rPr>
        <w:t xml:space="preserve"> de</w:t>
      </w:r>
      <w:r w:rsidRPr="009F6463">
        <w:rPr>
          <w:rFonts w:ascii="Times New Roman" w:eastAsia="Times New Roman" w:hAnsi="Times New Roman"/>
          <w:sz w:val="24"/>
          <w:szCs w:val="24"/>
          <w:lang w:val="pt-PT" w:eastAsia="pt-BR"/>
        </w:rPr>
        <w:t xml:space="preserve"> atuarem na reorganização das vias sinalizadoras citosólicas</w:t>
      </w:r>
      <w:r w:rsidR="009370EE" w:rsidRPr="009F6463">
        <w:rPr>
          <w:rFonts w:ascii="Times New Roman" w:eastAsia="Times New Roman" w:hAnsi="Times New Roman"/>
          <w:sz w:val="24"/>
          <w:szCs w:val="24"/>
          <w:lang w:val="pt-PT" w:eastAsia="pt-BR"/>
        </w:rPr>
        <w:t xml:space="preserve"> pela ativação da</w:t>
      </w:r>
      <w:r w:rsidR="00E26E07" w:rsidRPr="009F6463">
        <w:rPr>
          <w:rFonts w:ascii="Times New Roman" w:eastAsia="Times New Roman" w:hAnsi="Times New Roman"/>
          <w:sz w:val="24"/>
          <w:szCs w:val="24"/>
          <w:lang w:val="pt-PT" w:eastAsia="pt-BR"/>
        </w:rPr>
        <w:t>s</w:t>
      </w:r>
      <w:r w:rsidR="009370EE" w:rsidRPr="009F6463">
        <w:rPr>
          <w:rFonts w:ascii="Times New Roman" w:eastAsia="Times New Roman" w:hAnsi="Times New Roman"/>
          <w:sz w:val="24"/>
          <w:szCs w:val="24"/>
          <w:lang w:val="pt-PT" w:eastAsia="pt-BR"/>
        </w:rPr>
        <w:t xml:space="preserve"> enzima</w:t>
      </w:r>
      <w:r w:rsidR="00E26E07" w:rsidRPr="009F6463">
        <w:rPr>
          <w:rFonts w:ascii="Times New Roman" w:eastAsia="Times New Roman" w:hAnsi="Times New Roman"/>
          <w:sz w:val="24"/>
          <w:szCs w:val="24"/>
          <w:lang w:val="pt-PT" w:eastAsia="pt-BR"/>
        </w:rPr>
        <w:t>s</w:t>
      </w:r>
      <w:r w:rsidR="009370EE" w:rsidRPr="009F6463">
        <w:rPr>
          <w:rFonts w:ascii="Times New Roman" w:eastAsia="Times New Roman" w:hAnsi="Times New Roman"/>
          <w:sz w:val="24"/>
          <w:szCs w:val="24"/>
          <w:lang w:val="pt-PT" w:eastAsia="pt-BR"/>
        </w:rPr>
        <w:t xml:space="preserve"> PI3K</w:t>
      </w:r>
      <w:r w:rsidRPr="009F6463">
        <w:rPr>
          <w:rFonts w:ascii="Times New Roman" w:eastAsia="Times New Roman" w:hAnsi="Times New Roman"/>
          <w:sz w:val="24"/>
          <w:szCs w:val="24"/>
          <w:lang w:val="pt-PT" w:eastAsia="pt-BR"/>
        </w:rPr>
        <w:t xml:space="preserve"> que foram comprometidas pela imobilização.</w:t>
      </w:r>
    </w:p>
    <w:p w14:paraId="6C3731F6" w14:textId="7D35CA91" w:rsidR="00847ACE" w:rsidRPr="009F6463" w:rsidRDefault="00847ACE" w:rsidP="009F6463">
      <w:pPr>
        <w:shd w:val="clear" w:color="auto" w:fill="FFFFFF"/>
        <w:spacing w:after="0" w:line="360" w:lineRule="auto"/>
        <w:ind w:firstLine="708"/>
        <w:jc w:val="both"/>
        <w:rPr>
          <w:rFonts w:ascii="Times New Roman" w:hAnsi="Times New Roman"/>
          <w:sz w:val="24"/>
          <w:szCs w:val="24"/>
        </w:rPr>
      </w:pPr>
      <w:r w:rsidRPr="009F6463">
        <w:rPr>
          <w:rFonts w:ascii="Times New Roman" w:eastAsia="Times New Roman" w:hAnsi="Times New Roman"/>
          <w:sz w:val="24"/>
          <w:szCs w:val="24"/>
          <w:lang w:val="pt-PT" w:eastAsia="pt-BR"/>
        </w:rPr>
        <w:t>Considerando as vias moduladoras ligadas ao metabolismo celular e controle da fo</w:t>
      </w:r>
      <w:r w:rsidR="00576AD1" w:rsidRPr="009F6463">
        <w:rPr>
          <w:rFonts w:ascii="Times New Roman" w:eastAsia="Times New Roman" w:hAnsi="Times New Roman"/>
          <w:sz w:val="24"/>
          <w:szCs w:val="24"/>
          <w:lang w:val="pt-PT" w:eastAsia="pt-BR"/>
        </w:rPr>
        <w:t>rmação das reservas glicogênica, s</w:t>
      </w:r>
      <w:r w:rsidRPr="009F6463">
        <w:rPr>
          <w:rFonts w:ascii="Times New Roman" w:eastAsia="Times New Roman" w:hAnsi="Times New Roman"/>
          <w:sz w:val="24"/>
          <w:szCs w:val="24"/>
          <w:lang w:val="pt-PT" w:eastAsia="pt-BR"/>
        </w:rPr>
        <w:t xml:space="preserve">abe-se que </w:t>
      </w:r>
      <w:r w:rsidRPr="009F6463">
        <w:rPr>
          <w:rFonts w:ascii="Times New Roman" w:hAnsi="Times New Roman"/>
          <w:sz w:val="24"/>
          <w:szCs w:val="24"/>
        </w:rPr>
        <w:t>a PI-3-quinase é uma enzima citosólica ligada a dinâmica celular de captação da glicose, de forma que, inicialmente ativa proteínas alvo como a Akt e as isoformas da aPKC (ζ e λ) em paralelo observa-se que a proto</w:t>
      </w:r>
      <w:r w:rsidR="00D23846" w:rsidRPr="009F6463">
        <w:rPr>
          <w:rFonts w:ascii="Times New Roman" w:hAnsi="Times New Roman"/>
          <w:sz w:val="24"/>
          <w:szCs w:val="24"/>
        </w:rPr>
        <w:t>-</w:t>
      </w:r>
      <w:r w:rsidRPr="009F6463">
        <w:rPr>
          <w:rFonts w:ascii="Times New Roman" w:hAnsi="Times New Roman"/>
          <w:sz w:val="24"/>
          <w:szCs w:val="24"/>
        </w:rPr>
        <w:t>oncogenes Cbl se associa com a proteína adaptadora CAP e forma o complexo Cbl-CAP migrando para a membrana celular e interagindo com o complexo CrkII-C3G, assim ativa-se a proteína TC10 gerando os complexos que induzem a translocação do GLUT4, aumentando a captação e disponibilidade da hexose</w:t>
      </w:r>
      <w:r w:rsidR="007467C8">
        <w:rPr>
          <w:rFonts w:ascii="Times New Roman" w:hAnsi="Times New Roman"/>
          <w:sz w:val="24"/>
          <w:szCs w:val="24"/>
        </w:rPr>
        <w:t xml:space="preserve">. </w:t>
      </w:r>
      <w:r w:rsidR="007467C8">
        <w:rPr>
          <w:rFonts w:ascii="Times New Roman" w:hAnsi="Times New Roman"/>
          <w:sz w:val="24"/>
          <w:szCs w:val="24"/>
          <w:vertAlign w:val="superscript"/>
        </w:rPr>
        <w:t>18</w:t>
      </w:r>
    </w:p>
    <w:p w14:paraId="14F63B21" w14:textId="0B8DE2B1" w:rsidR="00847ACE" w:rsidRPr="009F6463" w:rsidRDefault="00847ACE" w:rsidP="009F6463">
      <w:pPr>
        <w:autoSpaceDE w:val="0"/>
        <w:autoSpaceDN w:val="0"/>
        <w:adjustRightInd w:val="0"/>
        <w:spacing w:after="0" w:line="360" w:lineRule="auto"/>
        <w:jc w:val="both"/>
        <w:rPr>
          <w:rFonts w:ascii="Times New Roman" w:hAnsi="Times New Roman"/>
          <w:sz w:val="24"/>
          <w:szCs w:val="24"/>
        </w:rPr>
      </w:pPr>
      <w:r w:rsidRPr="009F6463">
        <w:rPr>
          <w:rFonts w:ascii="Times New Roman" w:hAnsi="Times New Roman"/>
          <w:sz w:val="24"/>
          <w:szCs w:val="24"/>
        </w:rPr>
        <w:tab/>
        <w:t xml:space="preserve">Quanto </w:t>
      </w:r>
      <w:r w:rsidR="00D323E6" w:rsidRPr="009F6463">
        <w:rPr>
          <w:rFonts w:ascii="Times New Roman" w:hAnsi="Times New Roman"/>
          <w:sz w:val="24"/>
          <w:szCs w:val="24"/>
        </w:rPr>
        <w:t xml:space="preserve">as menores áreas de secção transversa, estabilização de glicogênio muscular, e queda de decaimento da glicemia </w:t>
      </w:r>
      <w:r w:rsidRPr="009F6463">
        <w:rPr>
          <w:rFonts w:ascii="Times New Roman" w:hAnsi="Times New Roman"/>
          <w:sz w:val="24"/>
          <w:szCs w:val="24"/>
        </w:rPr>
        <w:t xml:space="preserve">observada no músculo imobilizado suplementado, </w:t>
      </w:r>
      <w:r w:rsidR="007467C8">
        <w:rPr>
          <w:rFonts w:ascii="Times New Roman" w:hAnsi="Times New Roman"/>
          <w:sz w:val="24"/>
          <w:szCs w:val="24"/>
        </w:rPr>
        <w:t>um</w:t>
      </w:r>
      <w:r w:rsidRPr="009F6463">
        <w:rPr>
          <w:rFonts w:ascii="Times New Roman" w:hAnsi="Times New Roman"/>
          <w:sz w:val="24"/>
          <w:szCs w:val="24"/>
        </w:rPr>
        <w:t xml:space="preserve"> recente trabalho avaliou a suplementação com nucleoproteínas, que é a combinação de aminoácidos e nucleotídeos e observou que </w:t>
      </w:r>
      <w:r w:rsidR="005D7824" w:rsidRPr="009F6463">
        <w:rPr>
          <w:rFonts w:ascii="Times New Roman" w:hAnsi="Times New Roman"/>
          <w:sz w:val="24"/>
          <w:szCs w:val="24"/>
        </w:rPr>
        <w:t>essas substâncias</w:t>
      </w:r>
      <w:r w:rsidRPr="009F6463">
        <w:rPr>
          <w:rFonts w:ascii="Times New Roman" w:hAnsi="Times New Roman"/>
          <w:sz w:val="24"/>
          <w:szCs w:val="24"/>
        </w:rPr>
        <w:t xml:space="preserve"> promovem aumento na atividade do ciclo celular</w:t>
      </w:r>
      <w:r w:rsidR="007467C8">
        <w:rPr>
          <w:rFonts w:ascii="Times New Roman" w:hAnsi="Times New Roman"/>
          <w:sz w:val="24"/>
          <w:szCs w:val="24"/>
          <w:vertAlign w:val="superscript"/>
        </w:rPr>
        <w:t>12</w:t>
      </w:r>
      <w:r w:rsidR="002509B7" w:rsidRPr="009F6463">
        <w:rPr>
          <w:rFonts w:ascii="Times New Roman" w:hAnsi="Times New Roman"/>
          <w:sz w:val="24"/>
          <w:szCs w:val="24"/>
        </w:rPr>
        <w:t>. Desta forma, favoreceu</w:t>
      </w:r>
      <w:r w:rsidRPr="009F6463">
        <w:rPr>
          <w:rFonts w:ascii="Times New Roman" w:hAnsi="Times New Roman"/>
          <w:sz w:val="24"/>
          <w:szCs w:val="24"/>
        </w:rPr>
        <w:t xml:space="preserve"> significativamente a recuperação da massa muscular por aumentar a síntese proteica, hipótese que corroboramos neste estudo.</w:t>
      </w:r>
    </w:p>
    <w:p w14:paraId="192FF152" w14:textId="77777777" w:rsidR="00861FC2" w:rsidRPr="009F6463" w:rsidRDefault="00861FC2" w:rsidP="009F6463">
      <w:pPr>
        <w:spacing w:after="0" w:line="360" w:lineRule="auto"/>
        <w:ind w:right="-1" w:firstLine="708"/>
        <w:jc w:val="both"/>
        <w:rPr>
          <w:rFonts w:ascii="Times New Roman" w:hAnsi="Times New Roman"/>
          <w:sz w:val="24"/>
          <w:szCs w:val="24"/>
        </w:rPr>
      </w:pPr>
    </w:p>
    <w:p w14:paraId="6E269648" w14:textId="3D7F4FAD" w:rsidR="00CC26DC" w:rsidRPr="009F6463" w:rsidRDefault="001658CC" w:rsidP="009F6463">
      <w:pPr>
        <w:spacing w:after="0" w:line="360" w:lineRule="auto"/>
        <w:ind w:right="-1"/>
        <w:jc w:val="both"/>
        <w:rPr>
          <w:rFonts w:ascii="Times New Roman" w:hAnsi="Times New Roman"/>
          <w:sz w:val="24"/>
          <w:szCs w:val="24"/>
        </w:rPr>
      </w:pPr>
      <w:r w:rsidRPr="009F6463">
        <w:rPr>
          <w:rFonts w:ascii="Times New Roman" w:hAnsi="Times New Roman"/>
          <w:b/>
          <w:bCs/>
          <w:sz w:val="24"/>
          <w:szCs w:val="24"/>
        </w:rPr>
        <w:t>CONCLUSÃO</w:t>
      </w:r>
      <w:r w:rsidR="00861FC2" w:rsidRPr="009F6463">
        <w:rPr>
          <w:rFonts w:ascii="Times New Roman" w:hAnsi="Times New Roman"/>
          <w:b/>
          <w:bCs/>
          <w:sz w:val="24"/>
          <w:szCs w:val="24"/>
        </w:rPr>
        <w:t>:</w:t>
      </w:r>
      <w:r w:rsidR="00861FC2" w:rsidRPr="009F6463">
        <w:rPr>
          <w:rFonts w:ascii="Times New Roman" w:hAnsi="Times New Roman"/>
          <w:sz w:val="24"/>
          <w:szCs w:val="24"/>
        </w:rPr>
        <w:t xml:space="preserve"> </w:t>
      </w:r>
      <w:r w:rsidR="00CC26DC" w:rsidRPr="009F6463">
        <w:rPr>
          <w:rFonts w:ascii="Times New Roman" w:hAnsi="Times New Roman"/>
          <w:sz w:val="24"/>
          <w:szCs w:val="24"/>
        </w:rPr>
        <w:t>O</w:t>
      </w:r>
      <w:r w:rsidR="00A026C0" w:rsidRPr="009F6463">
        <w:rPr>
          <w:rFonts w:ascii="Times New Roman" w:hAnsi="Times New Roman"/>
          <w:sz w:val="24"/>
          <w:szCs w:val="24"/>
        </w:rPr>
        <w:t xml:space="preserve"> presente trabalho mostra</w:t>
      </w:r>
      <w:bookmarkStart w:id="1" w:name="_GoBack"/>
      <w:bookmarkEnd w:id="1"/>
      <w:r w:rsidR="00A026C0" w:rsidRPr="009F6463">
        <w:rPr>
          <w:rFonts w:ascii="Times New Roman" w:hAnsi="Times New Roman"/>
          <w:sz w:val="24"/>
          <w:szCs w:val="24"/>
        </w:rPr>
        <w:t xml:space="preserve"> os efeitos dos nucleotídeos em condições de desuso muscular e o seu</w:t>
      </w:r>
      <w:r w:rsidR="00CC26DC" w:rsidRPr="009F6463">
        <w:rPr>
          <w:rFonts w:ascii="Times New Roman" w:hAnsi="Times New Roman"/>
          <w:sz w:val="24"/>
          <w:szCs w:val="24"/>
        </w:rPr>
        <w:t xml:space="preserve"> uso mostr</w:t>
      </w:r>
      <w:r w:rsidR="00861FC2" w:rsidRPr="009F6463">
        <w:rPr>
          <w:rFonts w:ascii="Times New Roman" w:hAnsi="Times New Roman"/>
          <w:sz w:val="24"/>
          <w:szCs w:val="24"/>
        </w:rPr>
        <w:t>ou-se</w:t>
      </w:r>
      <w:r w:rsidR="00CC26DC" w:rsidRPr="009F6463">
        <w:rPr>
          <w:rFonts w:ascii="Times New Roman" w:hAnsi="Times New Roman"/>
          <w:sz w:val="24"/>
          <w:szCs w:val="24"/>
        </w:rPr>
        <w:t xml:space="preserve"> eficiente na preservação das funções energéticas e morfológicas do tecido muscular quando levado a condições atróficas pelo desuso através da imobilização. Sugere-se que o suplemento contendo nucleotídeos pode ser um importante coadjuvante no tratamento </w:t>
      </w:r>
      <w:r w:rsidR="00861FC2" w:rsidRPr="009F6463">
        <w:rPr>
          <w:rFonts w:ascii="Times New Roman" w:hAnsi="Times New Roman"/>
          <w:sz w:val="24"/>
          <w:szCs w:val="24"/>
        </w:rPr>
        <w:t>da</w:t>
      </w:r>
      <w:r w:rsidR="00CC26DC" w:rsidRPr="009F6463">
        <w:rPr>
          <w:rFonts w:ascii="Times New Roman" w:hAnsi="Times New Roman"/>
          <w:sz w:val="24"/>
          <w:szCs w:val="24"/>
        </w:rPr>
        <w:t xml:space="preserve"> atrofia muscular. </w:t>
      </w:r>
    </w:p>
    <w:p w14:paraId="7B46F329" w14:textId="77777777" w:rsidR="003E45FD" w:rsidRPr="009F6463" w:rsidRDefault="003E45FD" w:rsidP="009F6463">
      <w:pPr>
        <w:spacing w:after="0" w:line="360" w:lineRule="auto"/>
        <w:jc w:val="both"/>
        <w:rPr>
          <w:rFonts w:ascii="Times New Roman" w:hAnsi="Times New Roman"/>
          <w:b/>
          <w:color w:val="000000" w:themeColor="text1"/>
          <w:sz w:val="24"/>
          <w:szCs w:val="24"/>
        </w:rPr>
      </w:pPr>
    </w:p>
    <w:p w14:paraId="4DFF2B43" w14:textId="0DC28A79" w:rsidR="00F003D8" w:rsidRPr="009F6463" w:rsidRDefault="00F003D8" w:rsidP="009F6463">
      <w:pPr>
        <w:spacing w:after="0" w:line="360" w:lineRule="auto"/>
        <w:jc w:val="both"/>
        <w:rPr>
          <w:rFonts w:ascii="Times New Roman" w:hAnsi="Times New Roman"/>
          <w:b/>
          <w:color w:val="000000" w:themeColor="text1"/>
          <w:sz w:val="24"/>
          <w:szCs w:val="24"/>
        </w:rPr>
      </w:pPr>
      <w:r w:rsidRPr="009F6463">
        <w:rPr>
          <w:rFonts w:ascii="Times New Roman" w:hAnsi="Times New Roman"/>
          <w:b/>
          <w:color w:val="000000" w:themeColor="text1"/>
          <w:sz w:val="24"/>
          <w:szCs w:val="24"/>
        </w:rPr>
        <w:t>REFERÊNCIAS</w:t>
      </w:r>
    </w:p>
    <w:p w14:paraId="61DF56BD" w14:textId="3E38AD10" w:rsidR="00E56F93" w:rsidRPr="0026660E" w:rsidRDefault="00E56F93" w:rsidP="00E56F93">
      <w:pPr>
        <w:pStyle w:val="PargrafodaLista"/>
        <w:numPr>
          <w:ilvl w:val="0"/>
          <w:numId w:val="3"/>
        </w:numPr>
        <w:shd w:val="clear" w:color="auto" w:fill="FFFFFF"/>
        <w:tabs>
          <w:tab w:val="left" w:pos="284"/>
        </w:tabs>
        <w:spacing w:line="360" w:lineRule="auto"/>
        <w:ind w:left="0" w:firstLine="0"/>
        <w:jc w:val="both"/>
        <w:rPr>
          <w:rFonts w:ascii="Times New Roman" w:eastAsia="Times New Roman" w:hAnsi="Times New Roman"/>
          <w:sz w:val="24"/>
          <w:szCs w:val="24"/>
          <w:lang w:eastAsia="pt-BR"/>
        </w:rPr>
      </w:pPr>
      <w:r w:rsidRPr="0026660E">
        <w:rPr>
          <w:rFonts w:ascii="Times New Roman" w:eastAsia="Times New Roman" w:hAnsi="Times New Roman"/>
          <w:sz w:val="24"/>
          <w:szCs w:val="24"/>
          <w:lang w:eastAsia="pt-BR"/>
        </w:rPr>
        <w:t>R</w:t>
      </w:r>
      <w:r w:rsidR="007467C8" w:rsidRPr="0026660E">
        <w:rPr>
          <w:rFonts w:ascii="Times New Roman" w:eastAsia="Times New Roman" w:hAnsi="Times New Roman"/>
          <w:sz w:val="24"/>
          <w:szCs w:val="24"/>
          <w:lang w:eastAsia="pt-BR"/>
        </w:rPr>
        <w:t>ocha</w:t>
      </w:r>
      <w:r w:rsidRPr="0026660E">
        <w:rPr>
          <w:rFonts w:ascii="Times New Roman" w:eastAsia="Times New Roman" w:hAnsi="Times New Roman"/>
          <w:sz w:val="24"/>
          <w:szCs w:val="24"/>
          <w:lang w:eastAsia="pt-BR"/>
        </w:rPr>
        <w:t xml:space="preserve"> </w:t>
      </w:r>
      <w:r w:rsidR="007467C8" w:rsidRPr="0026660E">
        <w:rPr>
          <w:rFonts w:ascii="Times New Roman" w:eastAsia="Times New Roman" w:hAnsi="Times New Roman"/>
          <w:sz w:val="24"/>
          <w:szCs w:val="24"/>
          <w:lang w:eastAsia="pt-BR"/>
        </w:rPr>
        <w:t>W</w:t>
      </w:r>
      <w:r w:rsidR="007467C8">
        <w:rPr>
          <w:rFonts w:ascii="Times New Roman" w:eastAsia="Times New Roman" w:hAnsi="Times New Roman"/>
          <w:sz w:val="24"/>
          <w:szCs w:val="24"/>
          <w:lang w:eastAsia="pt-BR"/>
        </w:rPr>
        <w:t>A,</w:t>
      </w:r>
      <w:r w:rsidR="007467C8" w:rsidRPr="0026660E">
        <w:rPr>
          <w:rFonts w:ascii="Times New Roman" w:eastAsia="Times New Roman" w:hAnsi="Times New Roman"/>
          <w:sz w:val="24"/>
          <w:szCs w:val="24"/>
          <w:lang w:eastAsia="pt-BR"/>
        </w:rPr>
        <w:t xml:space="preserve"> Gobbi G</w:t>
      </w:r>
      <w:r w:rsidR="007467C8">
        <w:rPr>
          <w:rFonts w:ascii="Times New Roman" w:eastAsia="Times New Roman" w:hAnsi="Times New Roman"/>
          <w:sz w:val="24"/>
          <w:szCs w:val="24"/>
          <w:lang w:eastAsia="pt-BR"/>
        </w:rPr>
        <w:t>A,</w:t>
      </w:r>
      <w:r w:rsidR="007467C8" w:rsidRPr="0026660E">
        <w:rPr>
          <w:rFonts w:ascii="Times New Roman" w:eastAsia="Times New Roman" w:hAnsi="Times New Roman"/>
          <w:sz w:val="24"/>
          <w:szCs w:val="24"/>
          <w:lang w:eastAsia="pt-BR"/>
        </w:rPr>
        <w:t xml:space="preserve"> Araujo V</w:t>
      </w:r>
      <w:r w:rsidR="007467C8">
        <w:rPr>
          <w:rFonts w:ascii="Times New Roman" w:eastAsia="Times New Roman" w:hAnsi="Times New Roman"/>
          <w:sz w:val="24"/>
          <w:szCs w:val="24"/>
          <w:lang w:eastAsia="pt-BR"/>
        </w:rPr>
        <w:t>F,</w:t>
      </w:r>
      <w:r w:rsidR="007467C8" w:rsidRPr="0026660E">
        <w:rPr>
          <w:rFonts w:ascii="Times New Roman" w:eastAsia="Times New Roman" w:hAnsi="Times New Roman"/>
          <w:sz w:val="24"/>
          <w:szCs w:val="24"/>
          <w:lang w:eastAsia="pt-BR"/>
        </w:rPr>
        <w:t xml:space="preserve"> Santuzzi C</w:t>
      </w:r>
      <w:r w:rsidR="007467C8">
        <w:rPr>
          <w:rFonts w:ascii="Times New Roman" w:eastAsia="Times New Roman" w:hAnsi="Times New Roman"/>
          <w:sz w:val="24"/>
          <w:szCs w:val="24"/>
          <w:lang w:eastAsia="pt-BR"/>
        </w:rPr>
        <w:t>H,</w:t>
      </w:r>
      <w:r w:rsidR="007467C8" w:rsidRPr="0026660E">
        <w:rPr>
          <w:rFonts w:ascii="Times New Roman" w:eastAsia="Times New Roman" w:hAnsi="Times New Roman"/>
          <w:sz w:val="24"/>
          <w:szCs w:val="24"/>
          <w:lang w:eastAsia="pt-BR"/>
        </w:rPr>
        <w:t xml:space="preserve"> Coutinho G</w:t>
      </w:r>
      <w:r w:rsidR="007467C8">
        <w:rPr>
          <w:rFonts w:ascii="Times New Roman" w:eastAsia="Times New Roman" w:hAnsi="Times New Roman"/>
          <w:sz w:val="24"/>
          <w:szCs w:val="24"/>
          <w:lang w:eastAsia="pt-BR"/>
        </w:rPr>
        <w:t>C,</w:t>
      </w:r>
      <w:r w:rsidR="007467C8" w:rsidRPr="0026660E">
        <w:rPr>
          <w:rFonts w:ascii="Times New Roman" w:eastAsia="Times New Roman" w:hAnsi="Times New Roman"/>
          <w:sz w:val="24"/>
          <w:szCs w:val="24"/>
          <w:lang w:eastAsia="pt-BR"/>
        </w:rPr>
        <w:t xml:space="preserve"> Nogueira B</w:t>
      </w:r>
      <w:r w:rsidR="007467C8">
        <w:rPr>
          <w:rFonts w:ascii="Times New Roman" w:eastAsia="Times New Roman" w:hAnsi="Times New Roman"/>
          <w:sz w:val="24"/>
          <w:szCs w:val="24"/>
          <w:lang w:eastAsia="pt-BR"/>
        </w:rPr>
        <w:t>V</w:t>
      </w:r>
      <w:r w:rsidR="007467C8" w:rsidRPr="0026660E">
        <w:rPr>
          <w:rFonts w:ascii="Times New Roman" w:eastAsia="Times New Roman" w:hAnsi="Times New Roman"/>
          <w:sz w:val="24"/>
          <w:szCs w:val="24"/>
          <w:lang w:eastAsia="pt-BR"/>
        </w:rPr>
        <w:t>. Gonçalves Wl</w:t>
      </w:r>
      <w:r w:rsidR="00416088">
        <w:rPr>
          <w:rFonts w:ascii="Times New Roman" w:eastAsia="Times New Roman" w:hAnsi="Times New Roman"/>
          <w:sz w:val="24"/>
          <w:szCs w:val="24"/>
          <w:lang w:eastAsia="pt-BR"/>
        </w:rPr>
        <w:t>S</w:t>
      </w:r>
      <w:r w:rsidRPr="0026660E">
        <w:rPr>
          <w:rFonts w:ascii="Times New Roman" w:eastAsia="Times New Roman" w:hAnsi="Times New Roman"/>
          <w:sz w:val="24"/>
          <w:szCs w:val="24"/>
          <w:lang w:eastAsia="pt-BR"/>
        </w:rPr>
        <w:t xml:space="preserve">. Alterações morfofuncionais musculares em resposta ao alongamento passivo em modelo animal de imobilização prolongada de membro posterior. Rev. </w:t>
      </w:r>
      <w:r>
        <w:rPr>
          <w:rFonts w:ascii="Times New Roman" w:eastAsia="Times New Roman" w:hAnsi="Times New Roman"/>
          <w:sz w:val="24"/>
          <w:szCs w:val="24"/>
          <w:lang w:eastAsia="pt-BR"/>
        </w:rPr>
        <w:t>B</w:t>
      </w:r>
      <w:r w:rsidRPr="0026660E">
        <w:rPr>
          <w:rFonts w:ascii="Times New Roman" w:eastAsia="Times New Roman" w:hAnsi="Times New Roman"/>
          <w:sz w:val="24"/>
          <w:szCs w:val="24"/>
          <w:lang w:eastAsia="pt-BR"/>
        </w:rPr>
        <w:t xml:space="preserve">ras. </w:t>
      </w:r>
      <w:r>
        <w:rPr>
          <w:rFonts w:ascii="Times New Roman" w:eastAsia="Times New Roman" w:hAnsi="Times New Roman"/>
          <w:sz w:val="24"/>
          <w:szCs w:val="24"/>
          <w:lang w:eastAsia="pt-BR"/>
        </w:rPr>
        <w:t>M</w:t>
      </w:r>
      <w:r w:rsidRPr="0026660E">
        <w:rPr>
          <w:rFonts w:ascii="Times New Roman" w:eastAsia="Times New Roman" w:hAnsi="Times New Roman"/>
          <w:sz w:val="24"/>
          <w:szCs w:val="24"/>
          <w:lang w:eastAsia="pt-BR"/>
        </w:rPr>
        <w:t>ed. Esporte</w:t>
      </w:r>
      <w:r>
        <w:rPr>
          <w:rFonts w:ascii="Times New Roman" w:eastAsia="Times New Roman" w:hAnsi="Times New Roman"/>
          <w:sz w:val="24"/>
          <w:szCs w:val="24"/>
          <w:lang w:eastAsia="pt-BR"/>
        </w:rPr>
        <w:t>.</w:t>
      </w:r>
      <w:r w:rsidRPr="0026660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2010, 16 (6): 407-410. </w:t>
      </w:r>
    </w:p>
    <w:p w14:paraId="7C3BC4BD" w14:textId="165FD49E" w:rsidR="00E56F93" w:rsidRDefault="00E56F93" w:rsidP="00E56F93">
      <w:pPr>
        <w:shd w:val="clear" w:color="auto" w:fill="FFFFFF"/>
        <w:spacing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2. </w:t>
      </w:r>
      <w:r w:rsidRPr="006E1E84">
        <w:rPr>
          <w:rFonts w:ascii="Times New Roman" w:eastAsia="Times New Roman" w:hAnsi="Times New Roman"/>
          <w:sz w:val="24"/>
          <w:szCs w:val="24"/>
          <w:lang w:eastAsia="pt-BR"/>
        </w:rPr>
        <w:t>C</w:t>
      </w:r>
      <w:r w:rsidR="007467C8" w:rsidRPr="006E1E84">
        <w:rPr>
          <w:rFonts w:ascii="Times New Roman" w:eastAsia="Times New Roman" w:hAnsi="Times New Roman"/>
          <w:sz w:val="24"/>
          <w:szCs w:val="24"/>
          <w:lang w:eastAsia="pt-BR"/>
        </w:rPr>
        <w:t>hingui</w:t>
      </w:r>
      <w:r w:rsidRPr="006E1E84">
        <w:rPr>
          <w:rFonts w:ascii="Times New Roman" w:eastAsia="Times New Roman" w:hAnsi="Times New Roman"/>
          <w:sz w:val="24"/>
          <w:szCs w:val="24"/>
          <w:lang w:eastAsia="pt-BR"/>
        </w:rPr>
        <w:t xml:space="preserve"> LJ, S</w:t>
      </w:r>
      <w:r w:rsidR="007467C8" w:rsidRPr="006E1E84">
        <w:rPr>
          <w:rFonts w:ascii="Times New Roman" w:eastAsia="Times New Roman" w:hAnsi="Times New Roman"/>
          <w:sz w:val="24"/>
          <w:szCs w:val="24"/>
          <w:lang w:eastAsia="pt-BR"/>
        </w:rPr>
        <w:t>everi</w:t>
      </w:r>
      <w:r w:rsidRPr="006E1E84">
        <w:rPr>
          <w:rFonts w:ascii="Times New Roman" w:eastAsia="Times New Roman" w:hAnsi="Times New Roman"/>
          <w:sz w:val="24"/>
          <w:szCs w:val="24"/>
          <w:lang w:eastAsia="pt-BR"/>
        </w:rPr>
        <w:t xml:space="preserve"> MTM, S</w:t>
      </w:r>
      <w:r w:rsidR="007467C8" w:rsidRPr="006E1E84">
        <w:rPr>
          <w:rFonts w:ascii="Times New Roman" w:eastAsia="Times New Roman" w:hAnsi="Times New Roman"/>
          <w:sz w:val="24"/>
          <w:szCs w:val="24"/>
          <w:lang w:eastAsia="pt-BR"/>
        </w:rPr>
        <w:t>ilva</w:t>
      </w:r>
      <w:r w:rsidRPr="006E1E84">
        <w:rPr>
          <w:rFonts w:ascii="Times New Roman" w:eastAsia="Times New Roman" w:hAnsi="Times New Roman"/>
          <w:sz w:val="24"/>
          <w:szCs w:val="24"/>
          <w:lang w:eastAsia="pt-BR"/>
        </w:rPr>
        <w:t xml:space="preserve"> CA. Comportamento quimiometabólico do músculo sóleo na fase aguda da imobilização articular. Fisioterapia e Pesquisa, </w:t>
      </w:r>
      <w:r>
        <w:rPr>
          <w:rFonts w:ascii="Times New Roman" w:eastAsia="Times New Roman" w:hAnsi="Times New Roman"/>
          <w:sz w:val="24"/>
          <w:szCs w:val="24"/>
          <w:lang w:eastAsia="pt-BR"/>
        </w:rPr>
        <w:t xml:space="preserve">2008, </w:t>
      </w:r>
      <w:r w:rsidRPr="006E1E84">
        <w:rPr>
          <w:rFonts w:ascii="Times New Roman" w:eastAsia="Times New Roman" w:hAnsi="Times New Roman"/>
          <w:sz w:val="24"/>
          <w:szCs w:val="24"/>
          <w:lang w:eastAsia="pt-BR"/>
        </w:rPr>
        <w:t>15</w:t>
      </w:r>
      <w:r>
        <w:rPr>
          <w:rFonts w:ascii="Times New Roman" w:eastAsia="Times New Roman" w:hAnsi="Times New Roman"/>
          <w:sz w:val="24"/>
          <w:szCs w:val="24"/>
          <w:lang w:eastAsia="pt-BR"/>
        </w:rPr>
        <w:t xml:space="preserve"> (</w:t>
      </w:r>
      <w:r w:rsidRPr="006E1E84">
        <w:rPr>
          <w:rFonts w:ascii="Times New Roman" w:eastAsia="Times New Roman" w:hAnsi="Times New Roman"/>
          <w:sz w:val="24"/>
          <w:szCs w:val="24"/>
          <w:lang w:eastAsia="pt-BR"/>
        </w:rPr>
        <w:t>2</w:t>
      </w:r>
      <w:r>
        <w:rPr>
          <w:rFonts w:ascii="Times New Roman" w:eastAsia="Times New Roman" w:hAnsi="Times New Roman"/>
          <w:sz w:val="24"/>
          <w:szCs w:val="24"/>
          <w:lang w:eastAsia="pt-BR"/>
        </w:rPr>
        <w:t>): 194-199.</w:t>
      </w:r>
    </w:p>
    <w:p w14:paraId="1BF77E66" w14:textId="03E2C255" w:rsidR="00E56F93" w:rsidRDefault="00E56F93" w:rsidP="00E56F93">
      <w:pPr>
        <w:pStyle w:val="PargrafodaLista"/>
        <w:numPr>
          <w:ilvl w:val="0"/>
          <w:numId w:val="4"/>
        </w:numPr>
        <w:shd w:val="clear" w:color="auto" w:fill="FFFFFF"/>
        <w:tabs>
          <w:tab w:val="left" w:pos="284"/>
        </w:tabs>
        <w:spacing w:after="0" w:line="360" w:lineRule="auto"/>
        <w:ind w:left="0" w:firstLine="0"/>
        <w:jc w:val="both"/>
        <w:rPr>
          <w:rFonts w:ascii="Times New Roman" w:eastAsia="Times New Roman" w:hAnsi="Times New Roman"/>
          <w:sz w:val="24"/>
          <w:szCs w:val="24"/>
          <w:lang w:eastAsia="pt-BR"/>
        </w:rPr>
      </w:pPr>
      <w:r w:rsidRPr="0026660E">
        <w:rPr>
          <w:rFonts w:ascii="Times New Roman" w:eastAsia="Times New Roman" w:hAnsi="Times New Roman"/>
          <w:sz w:val="24"/>
          <w:szCs w:val="24"/>
          <w:lang w:eastAsia="pt-BR"/>
        </w:rPr>
        <w:t>Y</w:t>
      </w:r>
      <w:r w:rsidR="007467C8" w:rsidRPr="0026660E">
        <w:rPr>
          <w:rFonts w:ascii="Times New Roman" w:eastAsia="Times New Roman" w:hAnsi="Times New Roman"/>
          <w:sz w:val="24"/>
          <w:szCs w:val="24"/>
          <w:lang w:eastAsia="pt-BR"/>
        </w:rPr>
        <w:t>e</w:t>
      </w:r>
      <w:r w:rsidRPr="0026660E">
        <w:rPr>
          <w:rFonts w:ascii="Times New Roman" w:eastAsia="Times New Roman" w:hAnsi="Times New Roman"/>
          <w:sz w:val="24"/>
          <w:szCs w:val="24"/>
          <w:lang w:eastAsia="pt-BR"/>
        </w:rPr>
        <w:t xml:space="preserve"> F, B</w:t>
      </w:r>
      <w:r w:rsidR="007467C8" w:rsidRPr="0026660E">
        <w:rPr>
          <w:rFonts w:ascii="Times New Roman" w:eastAsia="Times New Roman" w:hAnsi="Times New Roman"/>
          <w:sz w:val="24"/>
          <w:szCs w:val="24"/>
          <w:lang w:eastAsia="pt-BR"/>
        </w:rPr>
        <w:t>aligand</w:t>
      </w:r>
      <w:r w:rsidRPr="0026660E">
        <w:rPr>
          <w:rFonts w:ascii="Times New Roman" w:eastAsia="Times New Roman" w:hAnsi="Times New Roman"/>
          <w:sz w:val="24"/>
          <w:szCs w:val="24"/>
          <w:lang w:eastAsia="pt-BR"/>
        </w:rPr>
        <w:t xml:space="preserve"> C, K</w:t>
      </w:r>
      <w:r w:rsidR="007467C8" w:rsidRPr="0026660E">
        <w:rPr>
          <w:rFonts w:ascii="Times New Roman" w:eastAsia="Times New Roman" w:hAnsi="Times New Roman"/>
          <w:sz w:val="24"/>
          <w:szCs w:val="24"/>
          <w:lang w:eastAsia="pt-BR"/>
        </w:rPr>
        <w:t>eener</w:t>
      </w:r>
      <w:r w:rsidRPr="0026660E">
        <w:rPr>
          <w:rFonts w:ascii="Times New Roman" w:eastAsia="Times New Roman" w:hAnsi="Times New Roman"/>
          <w:sz w:val="24"/>
          <w:szCs w:val="24"/>
          <w:lang w:eastAsia="pt-BR"/>
        </w:rPr>
        <w:t xml:space="preserve"> JE. Hindlimb muscle morphology and function in a new atrophy model combining spinal cord injury and cast immobilization. J Neurotrauma</w:t>
      </w:r>
      <w:r>
        <w:rPr>
          <w:rFonts w:ascii="Times New Roman" w:eastAsia="Times New Roman" w:hAnsi="Times New Roman"/>
          <w:sz w:val="24"/>
          <w:szCs w:val="24"/>
          <w:lang w:eastAsia="pt-BR"/>
        </w:rPr>
        <w:t>. 2013,</w:t>
      </w:r>
      <w:r w:rsidRPr="0026660E">
        <w:rPr>
          <w:rFonts w:ascii="Times New Roman" w:eastAsia="Times New Roman" w:hAnsi="Times New Roman"/>
          <w:sz w:val="24"/>
          <w:szCs w:val="24"/>
          <w:lang w:eastAsia="pt-BR"/>
        </w:rPr>
        <w:t xml:space="preserve"> 30</w:t>
      </w:r>
      <w:r>
        <w:rPr>
          <w:rFonts w:ascii="Times New Roman" w:eastAsia="Times New Roman" w:hAnsi="Times New Roman"/>
          <w:sz w:val="24"/>
          <w:szCs w:val="24"/>
          <w:lang w:eastAsia="pt-BR"/>
        </w:rPr>
        <w:t xml:space="preserve">: </w:t>
      </w:r>
      <w:r w:rsidRPr="0026660E">
        <w:rPr>
          <w:rFonts w:ascii="Times New Roman" w:eastAsia="Times New Roman" w:hAnsi="Times New Roman"/>
          <w:sz w:val="24"/>
          <w:szCs w:val="24"/>
          <w:lang w:eastAsia="pt-BR"/>
        </w:rPr>
        <w:t>227–235.</w:t>
      </w:r>
    </w:p>
    <w:p w14:paraId="4C8CDBBF" w14:textId="55BCCA26" w:rsidR="00E56F93" w:rsidRDefault="00E56F93" w:rsidP="00E56F93">
      <w:pPr>
        <w:pStyle w:val="PargrafodaLista"/>
        <w:numPr>
          <w:ilvl w:val="0"/>
          <w:numId w:val="4"/>
        </w:numPr>
        <w:tabs>
          <w:tab w:val="left" w:pos="426"/>
        </w:tabs>
        <w:spacing w:after="0" w:line="360" w:lineRule="auto"/>
        <w:ind w:left="0" w:right="-1" w:firstLine="0"/>
        <w:jc w:val="both"/>
        <w:rPr>
          <w:rFonts w:ascii="Times New Roman" w:hAnsi="Times New Roman"/>
          <w:color w:val="000000" w:themeColor="text1"/>
          <w:sz w:val="24"/>
          <w:szCs w:val="24"/>
        </w:rPr>
      </w:pPr>
      <w:r w:rsidRPr="0026660E">
        <w:rPr>
          <w:rFonts w:ascii="Times New Roman" w:hAnsi="Times New Roman"/>
          <w:color w:val="000000" w:themeColor="text1"/>
          <w:sz w:val="24"/>
          <w:szCs w:val="24"/>
        </w:rPr>
        <w:lastRenderedPageBreak/>
        <w:t>A</w:t>
      </w:r>
      <w:r w:rsidR="007467C8" w:rsidRPr="0026660E">
        <w:rPr>
          <w:rFonts w:ascii="Times New Roman" w:hAnsi="Times New Roman"/>
          <w:color w:val="000000" w:themeColor="text1"/>
          <w:sz w:val="24"/>
          <w:szCs w:val="24"/>
        </w:rPr>
        <w:t>oki</w:t>
      </w:r>
      <w:r w:rsidRPr="0026660E">
        <w:rPr>
          <w:rFonts w:ascii="Times New Roman" w:hAnsi="Times New Roman"/>
          <w:color w:val="000000" w:themeColor="text1"/>
          <w:sz w:val="24"/>
          <w:szCs w:val="24"/>
        </w:rPr>
        <w:t xml:space="preserve"> MS, L</w:t>
      </w:r>
      <w:r w:rsidR="007467C8" w:rsidRPr="0026660E">
        <w:rPr>
          <w:rFonts w:ascii="Times New Roman" w:hAnsi="Times New Roman"/>
          <w:color w:val="000000" w:themeColor="text1"/>
          <w:sz w:val="24"/>
          <w:szCs w:val="24"/>
        </w:rPr>
        <w:t>ima</w:t>
      </w:r>
      <w:r w:rsidRPr="0026660E">
        <w:rPr>
          <w:rFonts w:ascii="Times New Roman" w:hAnsi="Times New Roman"/>
          <w:color w:val="000000" w:themeColor="text1"/>
          <w:sz w:val="24"/>
          <w:szCs w:val="24"/>
        </w:rPr>
        <w:t xml:space="preserve"> WP, M</w:t>
      </w:r>
      <w:r w:rsidR="007467C8" w:rsidRPr="0026660E">
        <w:rPr>
          <w:rFonts w:ascii="Times New Roman" w:hAnsi="Times New Roman"/>
          <w:color w:val="000000" w:themeColor="text1"/>
          <w:sz w:val="24"/>
          <w:szCs w:val="24"/>
        </w:rPr>
        <w:t>iyabara</w:t>
      </w:r>
      <w:r w:rsidRPr="0026660E">
        <w:rPr>
          <w:rFonts w:ascii="Times New Roman" w:hAnsi="Times New Roman"/>
          <w:color w:val="000000" w:themeColor="text1"/>
          <w:sz w:val="24"/>
          <w:szCs w:val="24"/>
        </w:rPr>
        <w:t xml:space="preserve"> EH, G</w:t>
      </w:r>
      <w:r w:rsidR="007467C8" w:rsidRPr="0026660E">
        <w:rPr>
          <w:rFonts w:ascii="Times New Roman" w:hAnsi="Times New Roman"/>
          <w:color w:val="000000" w:themeColor="text1"/>
          <w:sz w:val="24"/>
          <w:szCs w:val="24"/>
        </w:rPr>
        <w:t>ouveia</w:t>
      </w:r>
      <w:r w:rsidRPr="0026660E">
        <w:rPr>
          <w:rFonts w:ascii="Times New Roman" w:hAnsi="Times New Roman"/>
          <w:color w:val="000000" w:themeColor="text1"/>
          <w:sz w:val="24"/>
          <w:szCs w:val="24"/>
        </w:rPr>
        <w:t xml:space="preserve"> CHA, M</w:t>
      </w:r>
      <w:r w:rsidR="007467C8" w:rsidRPr="0026660E">
        <w:rPr>
          <w:rFonts w:ascii="Times New Roman" w:hAnsi="Times New Roman"/>
          <w:color w:val="000000" w:themeColor="text1"/>
          <w:sz w:val="24"/>
          <w:szCs w:val="24"/>
        </w:rPr>
        <w:t>oriscot</w:t>
      </w:r>
      <w:r w:rsidRPr="0026660E">
        <w:rPr>
          <w:rFonts w:ascii="Times New Roman" w:hAnsi="Times New Roman"/>
          <w:color w:val="000000" w:themeColor="text1"/>
          <w:sz w:val="24"/>
          <w:szCs w:val="24"/>
        </w:rPr>
        <w:t xml:space="preserve"> AS. </w:t>
      </w:r>
      <w:r w:rsidRPr="0026660E">
        <w:rPr>
          <w:rFonts w:ascii="Times New Roman" w:hAnsi="Times New Roman"/>
          <w:color w:val="000000" w:themeColor="text1"/>
          <w:sz w:val="24"/>
          <w:szCs w:val="24"/>
          <w:lang w:val="en-US"/>
        </w:rPr>
        <w:t xml:space="preserve">Deleterious effects of immobilization upon rat skeletal muscle: role of creatine supplementation. </w:t>
      </w:r>
      <w:r w:rsidRPr="0026660E">
        <w:rPr>
          <w:rFonts w:ascii="Times New Roman" w:hAnsi="Times New Roman"/>
          <w:color w:val="000000" w:themeColor="text1"/>
          <w:sz w:val="24"/>
          <w:szCs w:val="24"/>
        </w:rPr>
        <w:t xml:space="preserve">Clinical </w:t>
      </w:r>
      <w:r>
        <w:rPr>
          <w:rFonts w:ascii="Times New Roman" w:hAnsi="Times New Roman"/>
          <w:color w:val="000000" w:themeColor="text1"/>
          <w:sz w:val="24"/>
          <w:szCs w:val="24"/>
        </w:rPr>
        <w:t>N</w:t>
      </w:r>
      <w:r w:rsidRPr="0026660E">
        <w:rPr>
          <w:rFonts w:ascii="Times New Roman" w:hAnsi="Times New Roman"/>
          <w:color w:val="000000" w:themeColor="text1"/>
          <w:sz w:val="24"/>
          <w:szCs w:val="24"/>
        </w:rPr>
        <w:t>utrition</w:t>
      </w:r>
      <w:r>
        <w:rPr>
          <w:rFonts w:ascii="Times New Roman" w:hAnsi="Times New Roman"/>
          <w:color w:val="000000" w:themeColor="text1"/>
          <w:sz w:val="24"/>
          <w:szCs w:val="24"/>
        </w:rPr>
        <w:t>. 2004</w:t>
      </w:r>
      <w:r w:rsidRPr="0026660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26660E">
        <w:rPr>
          <w:rFonts w:ascii="Times New Roman" w:hAnsi="Times New Roman"/>
          <w:color w:val="000000" w:themeColor="text1"/>
          <w:sz w:val="24"/>
          <w:szCs w:val="24"/>
        </w:rPr>
        <w:t>23</w:t>
      </w:r>
      <w:r>
        <w:rPr>
          <w:rFonts w:ascii="Times New Roman" w:hAnsi="Times New Roman"/>
          <w:color w:val="000000" w:themeColor="text1"/>
          <w:sz w:val="24"/>
          <w:szCs w:val="24"/>
        </w:rPr>
        <w:t>:</w:t>
      </w:r>
      <w:r w:rsidRPr="0026660E">
        <w:rPr>
          <w:rFonts w:ascii="Times New Roman" w:hAnsi="Times New Roman"/>
          <w:color w:val="000000" w:themeColor="text1"/>
          <w:sz w:val="24"/>
          <w:szCs w:val="24"/>
        </w:rPr>
        <w:t xml:space="preserve">1176-1183. </w:t>
      </w:r>
    </w:p>
    <w:p w14:paraId="52D71F01" w14:textId="77777777" w:rsidR="00E56F93" w:rsidRPr="0026660E" w:rsidRDefault="00E56F93" w:rsidP="00E56F93">
      <w:pPr>
        <w:pStyle w:val="PargrafodaLista"/>
        <w:rPr>
          <w:rFonts w:ascii="Times New Roman" w:hAnsi="Times New Roman"/>
          <w:color w:val="000000" w:themeColor="text1"/>
          <w:sz w:val="24"/>
          <w:szCs w:val="24"/>
        </w:rPr>
      </w:pPr>
    </w:p>
    <w:p w14:paraId="21CD4EE5" w14:textId="10F4E0A9" w:rsidR="00E56F93" w:rsidRPr="0026660E" w:rsidRDefault="00E56F93" w:rsidP="00E56F93">
      <w:pPr>
        <w:pStyle w:val="PargrafodaLista"/>
        <w:numPr>
          <w:ilvl w:val="0"/>
          <w:numId w:val="4"/>
        </w:numPr>
        <w:tabs>
          <w:tab w:val="left" w:pos="426"/>
        </w:tabs>
        <w:spacing w:after="0" w:line="360" w:lineRule="auto"/>
        <w:ind w:left="0" w:right="-1" w:firstLine="0"/>
        <w:jc w:val="both"/>
        <w:rPr>
          <w:rFonts w:ascii="Times New Roman" w:hAnsi="Times New Roman"/>
          <w:color w:val="000000" w:themeColor="text1"/>
          <w:sz w:val="24"/>
          <w:szCs w:val="24"/>
          <w:lang w:val="en-US"/>
        </w:rPr>
      </w:pPr>
      <w:r w:rsidRPr="0026660E">
        <w:rPr>
          <w:rFonts w:ascii="Times New Roman" w:hAnsi="Times New Roman"/>
          <w:sz w:val="24"/>
          <w:szCs w:val="24"/>
          <w:bdr w:val="none" w:sz="0" w:space="0" w:color="auto" w:frame="1"/>
          <w:shd w:val="clear" w:color="auto" w:fill="FFFFFF"/>
        </w:rPr>
        <w:t>R</w:t>
      </w:r>
      <w:r w:rsidR="007467C8" w:rsidRPr="0026660E">
        <w:rPr>
          <w:rFonts w:ascii="Times New Roman" w:hAnsi="Times New Roman"/>
          <w:sz w:val="24"/>
          <w:szCs w:val="24"/>
          <w:bdr w:val="none" w:sz="0" w:space="0" w:color="auto" w:frame="1"/>
          <w:shd w:val="clear" w:color="auto" w:fill="FFFFFF"/>
        </w:rPr>
        <w:t>ibeiro</w:t>
      </w:r>
      <w:r w:rsidRPr="0026660E">
        <w:rPr>
          <w:rFonts w:ascii="Times New Roman" w:hAnsi="Times New Roman"/>
          <w:sz w:val="24"/>
          <w:szCs w:val="24"/>
          <w:bdr w:val="none" w:sz="0" w:space="0" w:color="auto" w:frame="1"/>
          <w:shd w:val="clear" w:color="auto" w:fill="FFFFFF"/>
        </w:rPr>
        <w:t xml:space="preserve"> C</w:t>
      </w:r>
      <w:r w:rsidRPr="0026660E">
        <w:rPr>
          <w:rFonts w:ascii="Times New Roman" w:hAnsi="Times New Roman"/>
          <w:color w:val="000000" w:themeColor="text1"/>
          <w:sz w:val="24"/>
          <w:szCs w:val="24"/>
          <w:shd w:val="clear" w:color="auto" w:fill="FFFFFF"/>
        </w:rPr>
        <w:t>,</w:t>
      </w:r>
      <w:r w:rsidRPr="0026660E">
        <w:rPr>
          <w:rStyle w:val="apple-converted-space"/>
          <w:rFonts w:ascii="Times New Roman" w:hAnsi="Times New Roman"/>
          <w:color w:val="000000" w:themeColor="text1"/>
          <w:sz w:val="24"/>
          <w:szCs w:val="24"/>
          <w:shd w:val="clear" w:color="auto" w:fill="FFFFFF"/>
        </w:rPr>
        <w:t> </w:t>
      </w:r>
      <w:r w:rsidRPr="0026660E">
        <w:rPr>
          <w:rFonts w:ascii="Times New Roman" w:hAnsi="Times New Roman"/>
          <w:sz w:val="24"/>
          <w:szCs w:val="24"/>
          <w:bdr w:val="none" w:sz="0" w:space="0" w:color="auto" w:frame="1"/>
          <w:shd w:val="clear" w:color="auto" w:fill="FFFFFF"/>
        </w:rPr>
        <w:t>C</w:t>
      </w:r>
      <w:r w:rsidR="007467C8" w:rsidRPr="0026660E">
        <w:rPr>
          <w:rFonts w:ascii="Times New Roman" w:hAnsi="Times New Roman"/>
          <w:sz w:val="24"/>
          <w:szCs w:val="24"/>
          <w:bdr w:val="none" w:sz="0" w:space="0" w:color="auto" w:frame="1"/>
          <w:shd w:val="clear" w:color="auto" w:fill="FFFFFF"/>
        </w:rPr>
        <w:t>hristofoletti</w:t>
      </w:r>
      <w:r w:rsidRPr="0026660E">
        <w:rPr>
          <w:rStyle w:val="apple-converted-space"/>
          <w:rFonts w:ascii="Times New Roman" w:hAnsi="Times New Roman"/>
          <w:color w:val="000000" w:themeColor="text1"/>
          <w:sz w:val="24"/>
          <w:szCs w:val="24"/>
          <w:shd w:val="clear" w:color="auto" w:fill="FFFFFF"/>
        </w:rPr>
        <w:t> D</w:t>
      </w:r>
      <w:r w:rsidRPr="0026660E">
        <w:rPr>
          <w:rFonts w:ascii="Times New Roman" w:hAnsi="Times New Roman"/>
          <w:color w:val="000000" w:themeColor="text1"/>
          <w:sz w:val="24"/>
          <w:szCs w:val="24"/>
          <w:shd w:val="clear" w:color="auto" w:fill="FFFFFF"/>
        </w:rPr>
        <w:t>, M</w:t>
      </w:r>
      <w:r w:rsidR="007467C8" w:rsidRPr="0026660E">
        <w:rPr>
          <w:rFonts w:ascii="Times New Roman" w:hAnsi="Times New Roman"/>
          <w:color w:val="000000" w:themeColor="text1"/>
          <w:sz w:val="24"/>
          <w:szCs w:val="24"/>
          <w:shd w:val="clear" w:color="auto" w:fill="FFFFFF"/>
        </w:rPr>
        <w:t>arqueri</w:t>
      </w:r>
      <w:r w:rsidRPr="0026660E">
        <w:rPr>
          <w:rFonts w:ascii="Times New Roman" w:hAnsi="Times New Roman"/>
          <w:color w:val="000000" w:themeColor="text1"/>
          <w:sz w:val="24"/>
          <w:szCs w:val="24"/>
          <w:shd w:val="clear" w:color="auto" w:fill="FFFFFF"/>
        </w:rPr>
        <w:t xml:space="preserve"> RC,</w:t>
      </w:r>
      <w:r w:rsidRPr="0026660E">
        <w:rPr>
          <w:rFonts w:ascii="Times New Roman" w:hAnsi="Times New Roman"/>
          <w:sz w:val="24"/>
          <w:szCs w:val="24"/>
          <w:bdr w:val="none" w:sz="0" w:space="0" w:color="auto" w:frame="1"/>
          <w:shd w:val="clear" w:color="auto" w:fill="FFFFFF"/>
        </w:rPr>
        <w:t xml:space="preserve"> P</w:t>
      </w:r>
      <w:r w:rsidR="007467C8" w:rsidRPr="0026660E">
        <w:rPr>
          <w:rFonts w:ascii="Times New Roman" w:hAnsi="Times New Roman"/>
          <w:sz w:val="24"/>
          <w:szCs w:val="24"/>
          <w:bdr w:val="none" w:sz="0" w:space="0" w:color="auto" w:frame="1"/>
          <w:shd w:val="clear" w:color="auto" w:fill="FFFFFF"/>
        </w:rPr>
        <w:t>restes</w:t>
      </w:r>
      <w:r w:rsidRPr="0026660E">
        <w:rPr>
          <w:rFonts w:ascii="Times New Roman" w:hAnsi="Times New Roman"/>
          <w:color w:val="000000" w:themeColor="text1"/>
          <w:sz w:val="24"/>
          <w:szCs w:val="24"/>
        </w:rPr>
        <w:t xml:space="preserve"> J</w:t>
      </w:r>
      <w:r w:rsidRPr="0026660E">
        <w:rPr>
          <w:rFonts w:ascii="Times New Roman" w:hAnsi="Times New Roman"/>
          <w:color w:val="000000" w:themeColor="text1"/>
          <w:sz w:val="24"/>
          <w:szCs w:val="24"/>
          <w:shd w:val="clear" w:color="auto" w:fill="FFFFFF"/>
        </w:rPr>
        <w:t>, T</w:t>
      </w:r>
      <w:r w:rsidR="007467C8" w:rsidRPr="0026660E">
        <w:rPr>
          <w:rFonts w:ascii="Times New Roman" w:hAnsi="Times New Roman"/>
          <w:color w:val="000000" w:themeColor="text1"/>
          <w:sz w:val="24"/>
          <w:szCs w:val="24"/>
          <w:shd w:val="clear" w:color="auto" w:fill="FFFFFF"/>
        </w:rPr>
        <w:t>ibana</w:t>
      </w:r>
      <w:r w:rsidRPr="0026660E">
        <w:rPr>
          <w:rFonts w:ascii="Times New Roman" w:hAnsi="Times New Roman"/>
          <w:color w:val="000000" w:themeColor="text1"/>
          <w:sz w:val="24"/>
          <w:szCs w:val="24"/>
          <w:shd w:val="clear" w:color="auto" w:fill="FFFFFF"/>
        </w:rPr>
        <w:t xml:space="preserve"> RA, P</w:t>
      </w:r>
      <w:r w:rsidR="007467C8" w:rsidRPr="0026660E">
        <w:rPr>
          <w:rFonts w:ascii="Times New Roman" w:hAnsi="Times New Roman"/>
          <w:color w:val="000000" w:themeColor="text1"/>
          <w:sz w:val="24"/>
          <w:szCs w:val="24"/>
          <w:shd w:val="clear" w:color="auto" w:fill="FFFFFF"/>
        </w:rPr>
        <w:t>ereira</w:t>
      </w:r>
      <w:r w:rsidRPr="0026660E">
        <w:rPr>
          <w:rFonts w:ascii="Times New Roman" w:hAnsi="Times New Roman"/>
          <w:color w:val="000000" w:themeColor="text1"/>
          <w:sz w:val="24"/>
          <w:szCs w:val="24"/>
          <w:shd w:val="clear" w:color="auto" w:fill="FFFFFF"/>
        </w:rPr>
        <w:t xml:space="preserve"> ECL.</w:t>
      </w:r>
      <w:r w:rsidRPr="0026660E">
        <w:rPr>
          <w:rStyle w:val="apple-converted-space"/>
          <w:rFonts w:ascii="Times New Roman" w:hAnsi="Times New Roman"/>
          <w:color w:val="000000" w:themeColor="text1"/>
          <w:sz w:val="24"/>
          <w:szCs w:val="24"/>
          <w:shd w:val="clear" w:color="auto" w:fill="FFFFFF"/>
        </w:rPr>
        <w:t>  </w:t>
      </w:r>
      <w:r w:rsidRPr="0026660E">
        <w:rPr>
          <w:rFonts w:ascii="Times New Roman" w:hAnsi="Times New Roman"/>
          <w:color w:val="000000" w:themeColor="text1"/>
          <w:sz w:val="24"/>
          <w:szCs w:val="24"/>
          <w:shd w:val="clear" w:color="auto" w:fill="FFFFFF"/>
          <w:lang w:val="en-US"/>
        </w:rPr>
        <w:t>Leucine minimizes denervation-induced skeletal muscle atrophy of rats through AKT/MTOR signaling pathways. Frontiers in Physiology</w:t>
      </w:r>
      <w:r>
        <w:rPr>
          <w:rFonts w:ascii="Times New Roman" w:hAnsi="Times New Roman"/>
          <w:color w:val="000000" w:themeColor="text1"/>
          <w:sz w:val="24"/>
          <w:szCs w:val="24"/>
          <w:shd w:val="clear" w:color="auto" w:fill="FFFFFF"/>
          <w:lang w:val="en-US"/>
        </w:rPr>
        <w:t xml:space="preserve">. 2015, </w:t>
      </w:r>
      <w:r w:rsidRPr="0026660E">
        <w:rPr>
          <w:rFonts w:ascii="Times New Roman" w:hAnsi="Times New Roman"/>
          <w:color w:val="000000" w:themeColor="text1"/>
          <w:sz w:val="24"/>
          <w:szCs w:val="24"/>
          <w:shd w:val="clear" w:color="auto" w:fill="FFFFFF"/>
          <w:lang w:val="en-US"/>
        </w:rPr>
        <w:t>6</w:t>
      </w:r>
      <w:r>
        <w:rPr>
          <w:rFonts w:ascii="Times New Roman" w:hAnsi="Times New Roman"/>
          <w:color w:val="000000" w:themeColor="text1"/>
          <w:sz w:val="24"/>
          <w:szCs w:val="24"/>
          <w:shd w:val="clear" w:color="auto" w:fill="FFFFFF"/>
          <w:lang w:val="en-US"/>
        </w:rPr>
        <w:t>:</w:t>
      </w:r>
      <w:r w:rsidRPr="0026660E">
        <w:rPr>
          <w:rFonts w:ascii="Times New Roman" w:hAnsi="Times New Roman"/>
          <w:color w:val="000000" w:themeColor="text1"/>
          <w:sz w:val="24"/>
          <w:szCs w:val="24"/>
          <w:shd w:val="clear" w:color="auto" w:fill="FFFFFF"/>
          <w:lang w:val="en-US"/>
        </w:rPr>
        <w:t>1-6</w:t>
      </w:r>
      <w:r>
        <w:rPr>
          <w:rFonts w:ascii="Times New Roman" w:hAnsi="Times New Roman"/>
          <w:color w:val="000000" w:themeColor="text1"/>
          <w:sz w:val="24"/>
          <w:szCs w:val="24"/>
          <w:shd w:val="clear" w:color="auto" w:fill="FFFFFF"/>
          <w:lang w:val="en-US"/>
        </w:rPr>
        <w:t>.</w:t>
      </w:r>
    </w:p>
    <w:p w14:paraId="5C585F63" w14:textId="77777777" w:rsidR="00E56F93" w:rsidRPr="0026660E" w:rsidRDefault="00E56F93" w:rsidP="00E56F93">
      <w:pPr>
        <w:pStyle w:val="PargrafodaLista"/>
        <w:rPr>
          <w:rFonts w:ascii="Times New Roman" w:hAnsi="Times New Roman"/>
          <w:color w:val="000000" w:themeColor="text1"/>
          <w:sz w:val="24"/>
          <w:szCs w:val="24"/>
          <w:lang w:val="en-US"/>
        </w:rPr>
      </w:pPr>
    </w:p>
    <w:p w14:paraId="45503BA5" w14:textId="7104D135" w:rsidR="00E56F93" w:rsidRPr="0026660E" w:rsidRDefault="00E56F93" w:rsidP="00E56F93">
      <w:pPr>
        <w:pStyle w:val="PargrafodaLista"/>
        <w:numPr>
          <w:ilvl w:val="0"/>
          <w:numId w:val="4"/>
        </w:numPr>
        <w:tabs>
          <w:tab w:val="left" w:pos="284"/>
        </w:tabs>
        <w:spacing w:after="0" w:line="360" w:lineRule="auto"/>
        <w:ind w:left="0" w:right="-1" w:firstLine="0"/>
        <w:jc w:val="both"/>
        <w:rPr>
          <w:rFonts w:ascii="Times New Roman" w:hAnsi="Times New Roman"/>
          <w:color w:val="000000" w:themeColor="text1"/>
          <w:sz w:val="24"/>
          <w:szCs w:val="24"/>
        </w:rPr>
      </w:pPr>
      <w:r w:rsidRPr="0026660E">
        <w:rPr>
          <w:rFonts w:ascii="Times New Roman" w:hAnsi="Times New Roman"/>
          <w:color w:val="000000" w:themeColor="text1"/>
          <w:sz w:val="24"/>
          <w:szCs w:val="24"/>
          <w:lang w:val="en-US"/>
        </w:rPr>
        <w:t>C</w:t>
      </w:r>
      <w:r w:rsidR="007467C8" w:rsidRPr="0026660E">
        <w:rPr>
          <w:rFonts w:ascii="Times New Roman" w:hAnsi="Times New Roman"/>
          <w:color w:val="000000" w:themeColor="text1"/>
          <w:sz w:val="24"/>
          <w:szCs w:val="24"/>
          <w:lang w:val="en-US"/>
        </w:rPr>
        <w:t>hen</w:t>
      </w:r>
      <w:r w:rsidRPr="0026660E">
        <w:rPr>
          <w:rFonts w:ascii="Times New Roman" w:hAnsi="Times New Roman"/>
          <w:color w:val="000000" w:themeColor="text1"/>
          <w:sz w:val="24"/>
          <w:szCs w:val="24"/>
          <w:lang w:val="en-US"/>
        </w:rPr>
        <w:t xml:space="preserve"> ZP, L</w:t>
      </w:r>
      <w:r w:rsidR="007467C8" w:rsidRPr="0026660E">
        <w:rPr>
          <w:rFonts w:ascii="Times New Roman" w:hAnsi="Times New Roman"/>
          <w:color w:val="000000" w:themeColor="text1"/>
          <w:sz w:val="24"/>
          <w:szCs w:val="24"/>
          <w:lang w:val="en-US"/>
        </w:rPr>
        <w:t>evy</w:t>
      </w:r>
      <w:r w:rsidRPr="0026660E">
        <w:rPr>
          <w:rFonts w:ascii="Times New Roman" w:hAnsi="Times New Roman"/>
          <w:color w:val="000000" w:themeColor="text1"/>
          <w:sz w:val="24"/>
          <w:szCs w:val="24"/>
          <w:lang w:val="en-US"/>
        </w:rPr>
        <w:t xml:space="preserve"> A, L</w:t>
      </w:r>
      <w:r w:rsidR="007467C8" w:rsidRPr="0026660E">
        <w:rPr>
          <w:rFonts w:ascii="Times New Roman" w:hAnsi="Times New Roman"/>
          <w:color w:val="000000" w:themeColor="text1"/>
          <w:sz w:val="24"/>
          <w:szCs w:val="24"/>
          <w:lang w:val="en-US"/>
        </w:rPr>
        <w:t>ightman</w:t>
      </w:r>
      <w:r w:rsidRPr="0026660E">
        <w:rPr>
          <w:rFonts w:ascii="Times New Roman" w:hAnsi="Times New Roman"/>
          <w:color w:val="000000" w:themeColor="text1"/>
          <w:sz w:val="24"/>
          <w:szCs w:val="24"/>
          <w:lang w:val="en-US"/>
        </w:rPr>
        <w:t xml:space="preserve"> SL. Nucleotides as extracellular signaling molecules. </w:t>
      </w:r>
      <w:r w:rsidRPr="0026660E">
        <w:rPr>
          <w:rFonts w:ascii="Times New Roman" w:hAnsi="Times New Roman"/>
          <w:color w:val="000000" w:themeColor="text1"/>
          <w:sz w:val="24"/>
          <w:szCs w:val="24"/>
        </w:rPr>
        <w:t xml:space="preserve">Journal of </w:t>
      </w:r>
      <w:r w:rsidR="007467C8">
        <w:rPr>
          <w:rFonts w:ascii="Times New Roman" w:hAnsi="Times New Roman"/>
          <w:color w:val="000000" w:themeColor="text1"/>
          <w:sz w:val="24"/>
          <w:szCs w:val="24"/>
        </w:rPr>
        <w:t>N</w:t>
      </w:r>
      <w:r w:rsidRPr="0026660E">
        <w:rPr>
          <w:rFonts w:ascii="Times New Roman" w:hAnsi="Times New Roman"/>
          <w:color w:val="000000" w:themeColor="text1"/>
          <w:sz w:val="24"/>
          <w:szCs w:val="24"/>
        </w:rPr>
        <w:t>euroendocrinology</w:t>
      </w:r>
      <w:r>
        <w:rPr>
          <w:rFonts w:ascii="Times New Roman" w:hAnsi="Times New Roman"/>
          <w:color w:val="000000" w:themeColor="text1"/>
          <w:sz w:val="24"/>
          <w:szCs w:val="24"/>
        </w:rPr>
        <w:t xml:space="preserve">. 1995, </w:t>
      </w:r>
      <w:r w:rsidRPr="0026660E">
        <w:rPr>
          <w:rFonts w:ascii="Times New Roman" w:hAnsi="Times New Roman"/>
          <w:color w:val="000000" w:themeColor="text1"/>
          <w:sz w:val="24"/>
          <w:szCs w:val="24"/>
        </w:rPr>
        <w:t>7</w:t>
      </w:r>
      <w:r>
        <w:rPr>
          <w:rFonts w:ascii="Times New Roman" w:hAnsi="Times New Roman"/>
          <w:color w:val="000000" w:themeColor="text1"/>
          <w:sz w:val="24"/>
          <w:szCs w:val="24"/>
        </w:rPr>
        <w:t>:</w:t>
      </w:r>
      <w:r w:rsidRPr="0026660E">
        <w:rPr>
          <w:rFonts w:ascii="Times New Roman" w:hAnsi="Times New Roman"/>
          <w:color w:val="000000" w:themeColor="text1"/>
          <w:sz w:val="24"/>
          <w:szCs w:val="24"/>
        </w:rPr>
        <w:t xml:space="preserve"> 83-86</w:t>
      </w:r>
      <w:r>
        <w:rPr>
          <w:rFonts w:ascii="Times New Roman" w:hAnsi="Times New Roman"/>
          <w:color w:val="000000" w:themeColor="text1"/>
          <w:sz w:val="24"/>
          <w:szCs w:val="24"/>
        </w:rPr>
        <w:t>.</w:t>
      </w:r>
      <w:r w:rsidRPr="0026660E">
        <w:rPr>
          <w:rFonts w:ascii="Times New Roman" w:hAnsi="Times New Roman"/>
          <w:color w:val="000000" w:themeColor="text1"/>
          <w:sz w:val="24"/>
          <w:szCs w:val="24"/>
        </w:rPr>
        <w:t xml:space="preserve"> </w:t>
      </w:r>
    </w:p>
    <w:p w14:paraId="320D0B40" w14:textId="77777777" w:rsidR="00E56F93" w:rsidRPr="0026660E" w:rsidRDefault="00E56F93" w:rsidP="00E56F93">
      <w:pPr>
        <w:pStyle w:val="PargrafodaLista"/>
        <w:spacing w:after="0" w:line="360" w:lineRule="auto"/>
        <w:ind w:left="862" w:right="-1"/>
        <w:jc w:val="both"/>
        <w:rPr>
          <w:rFonts w:ascii="Times New Roman" w:hAnsi="Times New Roman"/>
          <w:color w:val="000000" w:themeColor="text1"/>
          <w:sz w:val="24"/>
          <w:szCs w:val="24"/>
        </w:rPr>
      </w:pPr>
    </w:p>
    <w:p w14:paraId="397555B7" w14:textId="37485E3B" w:rsidR="00E56F93" w:rsidRDefault="007467C8" w:rsidP="00E56F93">
      <w:pPr>
        <w:pStyle w:val="PargrafodaLista"/>
        <w:numPr>
          <w:ilvl w:val="0"/>
          <w:numId w:val="4"/>
        </w:numPr>
        <w:tabs>
          <w:tab w:val="left" w:pos="284"/>
        </w:tabs>
        <w:spacing w:after="0" w:line="360" w:lineRule="auto"/>
        <w:ind w:left="0" w:right="-1" w:firstLine="0"/>
        <w:jc w:val="both"/>
        <w:rPr>
          <w:rFonts w:ascii="Times New Roman" w:hAnsi="Times New Roman"/>
          <w:color w:val="000000" w:themeColor="text1"/>
          <w:sz w:val="24"/>
          <w:szCs w:val="24"/>
          <w:lang w:val="en-US"/>
        </w:rPr>
      </w:pPr>
      <w:r w:rsidRPr="0026660E">
        <w:rPr>
          <w:rFonts w:ascii="Times New Roman" w:hAnsi="Times New Roman"/>
          <w:color w:val="000000" w:themeColor="text1"/>
          <w:sz w:val="24"/>
          <w:szCs w:val="24"/>
          <w:lang w:val="en-US"/>
        </w:rPr>
        <w:t>Riera J, Pons V, Matinez-Puig D, Chetrit C, Tur J</w:t>
      </w:r>
      <w:r>
        <w:rPr>
          <w:rFonts w:ascii="Times New Roman" w:hAnsi="Times New Roman"/>
          <w:color w:val="000000" w:themeColor="text1"/>
          <w:sz w:val="24"/>
          <w:szCs w:val="24"/>
          <w:lang w:val="en-US"/>
        </w:rPr>
        <w:t>A</w:t>
      </w:r>
      <w:r w:rsidRPr="0026660E">
        <w:rPr>
          <w:rFonts w:ascii="Times New Roman" w:hAnsi="Times New Roman"/>
          <w:color w:val="000000" w:themeColor="text1"/>
          <w:sz w:val="24"/>
          <w:szCs w:val="24"/>
          <w:lang w:val="en-US"/>
        </w:rPr>
        <w:t>, Pons A</w:t>
      </w:r>
      <w:r w:rsidR="00E56F93" w:rsidRPr="0026660E">
        <w:rPr>
          <w:rFonts w:ascii="Times New Roman" w:hAnsi="Times New Roman"/>
          <w:color w:val="000000" w:themeColor="text1"/>
          <w:sz w:val="24"/>
          <w:szCs w:val="24"/>
          <w:lang w:val="en-US"/>
        </w:rPr>
        <w:t>. Dietary nucleotide improves markers of imune response to strenuous exercise under a cold environment. Journal of the international society of sports nutrition</w:t>
      </w:r>
      <w:r w:rsidR="00E56F93">
        <w:rPr>
          <w:rFonts w:ascii="Times New Roman" w:hAnsi="Times New Roman"/>
          <w:color w:val="000000" w:themeColor="text1"/>
          <w:sz w:val="24"/>
          <w:szCs w:val="24"/>
          <w:lang w:val="en-US"/>
        </w:rPr>
        <w:t>. 2010</w:t>
      </w:r>
      <w:r w:rsidR="00E56F93" w:rsidRPr="0026660E">
        <w:rPr>
          <w:rFonts w:ascii="Times New Roman" w:hAnsi="Times New Roman"/>
          <w:color w:val="000000" w:themeColor="text1"/>
          <w:sz w:val="24"/>
          <w:szCs w:val="24"/>
          <w:lang w:val="en-US"/>
        </w:rPr>
        <w:t>,</w:t>
      </w:r>
      <w:r w:rsidR="00E56F93">
        <w:rPr>
          <w:rFonts w:ascii="Times New Roman" w:hAnsi="Times New Roman"/>
          <w:color w:val="000000" w:themeColor="text1"/>
          <w:sz w:val="24"/>
          <w:szCs w:val="24"/>
          <w:lang w:val="en-US"/>
        </w:rPr>
        <w:t xml:space="preserve"> 10:</w:t>
      </w:r>
      <w:r w:rsidR="00E56F93" w:rsidRPr="0026660E">
        <w:rPr>
          <w:rFonts w:ascii="Times New Roman" w:hAnsi="Times New Roman"/>
          <w:color w:val="000000" w:themeColor="text1"/>
          <w:sz w:val="24"/>
          <w:szCs w:val="24"/>
          <w:lang w:val="en-US"/>
        </w:rPr>
        <w:t xml:space="preserve"> 1-8.</w:t>
      </w:r>
    </w:p>
    <w:p w14:paraId="6566218C" w14:textId="77777777" w:rsidR="00E56F93" w:rsidRPr="0026660E" w:rsidRDefault="00E56F93" w:rsidP="00E56F93">
      <w:pPr>
        <w:pStyle w:val="PargrafodaLista"/>
        <w:rPr>
          <w:rFonts w:ascii="Times New Roman" w:hAnsi="Times New Roman"/>
          <w:color w:val="000000" w:themeColor="text1"/>
          <w:sz w:val="24"/>
          <w:szCs w:val="24"/>
          <w:lang w:val="en-US"/>
        </w:rPr>
      </w:pPr>
    </w:p>
    <w:p w14:paraId="23111CAD" w14:textId="5C1F4513" w:rsidR="00E56F93" w:rsidRDefault="00E56F93" w:rsidP="00E56F93">
      <w:pPr>
        <w:pStyle w:val="PargrafodaLista"/>
        <w:numPr>
          <w:ilvl w:val="0"/>
          <w:numId w:val="4"/>
        </w:numPr>
        <w:shd w:val="clear" w:color="auto" w:fill="FFFFFF"/>
        <w:tabs>
          <w:tab w:val="left" w:pos="284"/>
        </w:tabs>
        <w:spacing w:after="0" w:line="360" w:lineRule="auto"/>
        <w:ind w:left="0" w:firstLine="0"/>
        <w:jc w:val="both"/>
        <w:rPr>
          <w:rFonts w:ascii="Times New Roman" w:hAnsi="Times New Roman"/>
          <w:color w:val="000000"/>
          <w:sz w:val="24"/>
          <w:szCs w:val="24"/>
        </w:rPr>
      </w:pPr>
      <w:r w:rsidRPr="0026660E">
        <w:rPr>
          <w:rFonts w:ascii="Times New Roman" w:hAnsi="Times New Roman"/>
          <w:color w:val="000000"/>
          <w:sz w:val="24"/>
          <w:szCs w:val="24"/>
        </w:rPr>
        <w:t>W</w:t>
      </w:r>
      <w:r w:rsidR="007467C8" w:rsidRPr="0026660E">
        <w:rPr>
          <w:rFonts w:ascii="Times New Roman" w:hAnsi="Times New Roman"/>
          <w:color w:val="000000"/>
          <w:sz w:val="24"/>
          <w:szCs w:val="24"/>
        </w:rPr>
        <w:t>ang</w:t>
      </w:r>
      <w:r w:rsidRPr="0026660E">
        <w:rPr>
          <w:rFonts w:ascii="Times New Roman" w:hAnsi="Times New Roman"/>
          <w:color w:val="000000"/>
          <w:sz w:val="24"/>
          <w:szCs w:val="24"/>
        </w:rPr>
        <w:t xml:space="preserve"> F, Z</w:t>
      </w:r>
      <w:r w:rsidR="007467C8" w:rsidRPr="0026660E">
        <w:rPr>
          <w:rFonts w:ascii="Times New Roman" w:hAnsi="Times New Roman"/>
          <w:color w:val="000000"/>
          <w:sz w:val="24"/>
          <w:szCs w:val="24"/>
        </w:rPr>
        <w:t>hang</w:t>
      </w:r>
      <w:r w:rsidRPr="0026660E">
        <w:rPr>
          <w:rFonts w:ascii="Times New Roman" w:hAnsi="Times New Roman"/>
          <w:color w:val="000000"/>
          <w:sz w:val="24"/>
          <w:szCs w:val="24"/>
        </w:rPr>
        <w:t xml:space="preserve"> QB, Z</w:t>
      </w:r>
      <w:r w:rsidR="007467C8" w:rsidRPr="0026660E">
        <w:rPr>
          <w:rFonts w:ascii="Times New Roman" w:hAnsi="Times New Roman"/>
          <w:color w:val="000000"/>
          <w:sz w:val="24"/>
          <w:szCs w:val="24"/>
        </w:rPr>
        <w:t>hou</w:t>
      </w:r>
      <w:r w:rsidRPr="0026660E">
        <w:rPr>
          <w:rFonts w:ascii="Times New Roman" w:hAnsi="Times New Roman"/>
          <w:color w:val="000000"/>
          <w:sz w:val="24"/>
          <w:szCs w:val="24"/>
        </w:rPr>
        <w:t xml:space="preserve"> Y, C</w:t>
      </w:r>
      <w:r w:rsidR="007467C8" w:rsidRPr="0026660E">
        <w:rPr>
          <w:rFonts w:ascii="Times New Roman" w:hAnsi="Times New Roman"/>
          <w:color w:val="000000"/>
          <w:sz w:val="24"/>
          <w:szCs w:val="24"/>
        </w:rPr>
        <w:t>hen</w:t>
      </w:r>
      <w:r w:rsidRPr="0026660E">
        <w:rPr>
          <w:rFonts w:ascii="Times New Roman" w:hAnsi="Times New Roman"/>
          <w:color w:val="000000"/>
          <w:sz w:val="24"/>
          <w:szCs w:val="24"/>
        </w:rPr>
        <w:t xml:space="preserve"> S, H</w:t>
      </w:r>
      <w:r w:rsidR="007467C8" w:rsidRPr="0026660E">
        <w:rPr>
          <w:rFonts w:ascii="Times New Roman" w:hAnsi="Times New Roman"/>
          <w:color w:val="000000"/>
          <w:sz w:val="24"/>
          <w:szCs w:val="24"/>
        </w:rPr>
        <w:t>uang</w:t>
      </w:r>
      <w:r w:rsidRPr="0026660E">
        <w:rPr>
          <w:rFonts w:ascii="Times New Roman" w:hAnsi="Times New Roman"/>
          <w:color w:val="000000"/>
          <w:sz w:val="24"/>
          <w:szCs w:val="24"/>
        </w:rPr>
        <w:t xml:space="preserve"> PP, L</w:t>
      </w:r>
      <w:r w:rsidR="007467C8" w:rsidRPr="0026660E">
        <w:rPr>
          <w:rFonts w:ascii="Times New Roman" w:hAnsi="Times New Roman"/>
          <w:color w:val="000000"/>
          <w:sz w:val="24"/>
          <w:szCs w:val="24"/>
        </w:rPr>
        <w:t>iu</w:t>
      </w:r>
      <w:r w:rsidRPr="0026660E">
        <w:rPr>
          <w:rFonts w:ascii="Times New Roman" w:hAnsi="Times New Roman"/>
          <w:color w:val="000000"/>
          <w:sz w:val="24"/>
          <w:szCs w:val="24"/>
        </w:rPr>
        <w:t xml:space="preserve"> Y, X</w:t>
      </w:r>
      <w:r w:rsidR="007467C8" w:rsidRPr="0026660E">
        <w:rPr>
          <w:rFonts w:ascii="Times New Roman" w:hAnsi="Times New Roman"/>
          <w:color w:val="000000"/>
          <w:sz w:val="24"/>
          <w:szCs w:val="24"/>
        </w:rPr>
        <w:t>u</w:t>
      </w:r>
      <w:r w:rsidRPr="0026660E">
        <w:rPr>
          <w:rFonts w:ascii="Times New Roman" w:hAnsi="Times New Roman"/>
          <w:color w:val="000000"/>
          <w:sz w:val="24"/>
          <w:szCs w:val="24"/>
        </w:rPr>
        <w:t xml:space="preserve"> YH.</w:t>
      </w:r>
      <w:r w:rsidRPr="0026660E">
        <w:rPr>
          <w:rFonts w:ascii="Times New Roman" w:hAnsi="Times New Roman"/>
          <w:color w:val="000000" w:themeColor="text1"/>
          <w:sz w:val="24"/>
          <w:szCs w:val="24"/>
        </w:rPr>
        <w:t xml:space="preserve"> </w:t>
      </w:r>
      <w:hyperlink r:id="rId10" w:history="1">
        <w:r w:rsidRPr="0026660E">
          <w:rPr>
            <w:rStyle w:val="Hyperlink"/>
            <w:rFonts w:ascii="Times New Roman" w:hAnsi="Times New Roman"/>
            <w:color w:val="000000" w:themeColor="text1"/>
            <w:sz w:val="24"/>
            <w:szCs w:val="24"/>
            <w:u w:val="none"/>
          </w:rPr>
          <w:t>The mechanisms and treatments of muscular pathological changes in </w:t>
        </w:r>
        <w:r w:rsidRPr="0026660E">
          <w:rPr>
            <w:rStyle w:val="Hyperlink"/>
            <w:rFonts w:ascii="Times New Roman" w:hAnsi="Times New Roman"/>
            <w:bCs/>
            <w:color w:val="000000" w:themeColor="text1"/>
            <w:sz w:val="24"/>
            <w:szCs w:val="24"/>
            <w:u w:val="none"/>
          </w:rPr>
          <w:t>immobilization</w:t>
        </w:r>
        <w:r w:rsidRPr="0026660E">
          <w:rPr>
            <w:rStyle w:val="Hyperlink"/>
            <w:rFonts w:ascii="Times New Roman" w:hAnsi="Times New Roman"/>
            <w:color w:val="000000" w:themeColor="text1"/>
            <w:sz w:val="24"/>
            <w:szCs w:val="24"/>
            <w:u w:val="none"/>
          </w:rPr>
          <w:t>-induced joint contracture: A literature </w:t>
        </w:r>
        <w:r w:rsidRPr="0026660E">
          <w:rPr>
            <w:rStyle w:val="Hyperlink"/>
            <w:rFonts w:ascii="Times New Roman" w:hAnsi="Times New Roman"/>
            <w:bCs/>
            <w:color w:val="000000" w:themeColor="text1"/>
            <w:sz w:val="24"/>
            <w:szCs w:val="24"/>
            <w:u w:val="none"/>
          </w:rPr>
          <w:t>review</w:t>
        </w:r>
        <w:r w:rsidRPr="0026660E">
          <w:rPr>
            <w:rStyle w:val="Hyperlink"/>
            <w:rFonts w:ascii="Times New Roman" w:hAnsi="Times New Roman"/>
            <w:color w:val="000000" w:themeColor="text1"/>
            <w:sz w:val="24"/>
            <w:szCs w:val="24"/>
            <w:u w:val="none"/>
          </w:rPr>
          <w:t>.</w:t>
        </w:r>
      </w:hyperlink>
      <w:r w:rsidRPr="0026660E">
        <w:rPr>
          <w:rFonts w:ascii="Times New Roman" w:hAnsi="Times New Roman"/>
          <w:color w:val="000000" w:themeColor="text1"/>
          <w:sz w:val="24"/>
          <w:szCs w:val="24"/>
        </w:rPr>
        <w:t xml:space="preserve"> </w:t>
      </w:r>
      <w:r w:rsidRPr="0026660E">
        <w:rPr>
          <w:rStyle w:val="jrnl"/>
          <w:rFonts w:ascii="Times New Roman" w:hAnsi="Times New Roman"/>
          <w:color w:val="000000"/>
          <w:sz w:val="24"/>
          <w:szCs w:val="24"/>
        </w:rPr>
        <w:t>Chin J Traumatol</w:t>
      </w:r>
      <w:r>
        <w:rPr>
          <w:rStyle w:val="jrnl"/>
          <w:rFonts w:ascii="Times New Roman" w:hAnsi="Times New Roman"/>
          <w:color w:val="000000"/>
          <w:sz w:val="24"/>
          <w:szCs w:val="24"/>
        </w:rPr>
        <w:t xml:space="preserve">. 2019, </w:t>
      </w:r>
      <w:r w:rsidRPr="0026660E">
        <w:rPr>
          <w:rFonts w:ascii="Times New Roman" w:hAnsi="Times New Roman"/>
          <w:color w:val="000000"/>
          <w:sz w:val="24"/>
          <w:szCs w:val="24"/>
        </w:rPr>
        <w:t>22</w:t>
      </w:r>
      <w:r>
        <w:rPr>
          <w:rFonts w:ascii="Times New Roman" w:hAnsi="Times New Roman"/>
          <w:color w:val="000000"/>
          <w:sz w:val="24"/>
          <w:szCs w:val="24"/>
        </w:rPr>
        <w:t xml:space="preserve"> (</w:t>
      </w:r>
      <w:r w:rsidRPr="0026660E">
        <w:rPr>
          <w:rFonts w:ascii="Times New Roman" w:hAnsi="Times New Roman"/>
          <w:color w:val="000000"/>
          <w:sz w:val="24"/>
          <w:szCs w:val="24"/>
        </w:rPr>
        <w:t>2</w:t>
      </w:r>
      <w:r>
        <w:rPr>
          <w:rFonts w:ascii="Times New Roman" w:hAnsi="Times New Roman"/>
          <w:color w:val="000000"/>
          <w:sz w:val="24"/>
          <w:szCs w:val="24"/>
        </w:rPr>
        <w:t xml:space="preserve">): </w:t>
      </w:r>
      <w:r w:rsidRPr="0026660E">
        <w:rPr>
          <w:rFonts w:ascii="Times New Roman" w:hAnsi="Times New Roman"/>
          <w:color w:val="000000"/>
          <w:sz w:val="24"/>
          <w:szCs w:val="24"/>
        </w:rPr>
        <w:t>93-98.</w:t>
      </w:r>
    </w:p>
    <w:p w14:paraId="6285F096" w14:textId="77777777" w:rsidR="00E56F93" w:rsidRPr="0026660E" w:rsidRDefault="00E56F93" w:rsidP="00E56F93">
      <w:pPr>
        <w:shd w:val="clear" w:color="auto" w:fill="FFFFFF"/>
        <w:tabs>
          <w:tab w:val="left" w:pos="284"/>
        </w:tabs>
        <w:spacing w:after="0" w:line="360" w:lineRule="auto"/>
        <w:jc w:val="both"/>
        <w:rPr>
          <w:rFonts w:ascii="Times New Roman" w:hAnsi="Times New Roman"/>
          <w:color w:val="000000"/>
          <w:sz w:val="24"/>
          <w:szCs w:val="24"/>
        </w:rPr>
      </w:pPr>
    </w:p>
    <w:p w14:paraId="476B9F3B" w14:textId="399197BA" w:rsidR="00E56F93" w:rsidRDefault="00E56F93" w:rsidP="00E56F93">
      <w:pPr>
        <w:pStyle w:val="Ttulo1"/>
        <w:numPr>
          <w:ilvl w:val="0"/>
          <w:numId w:val="4"/>
        </w:numPr>
        <w:shd w:val="clear" w:color="auto" w:fill="FFFFFF"/>
        <w:tabs>
          <w:tab w:val="left" w:pos="284"/>
        </w:tabs>
        <w:spacing w:before="0" w:beforeAutospacing="0" w:after="0" w:afterAutospacing="0" w:line="360" w:lineRule="auto"/>
        <w:ind w:left="0" w:firstLine="0"/>
        <w:rPr>
          <w:color w:val="000000" w:themeColor="text1"/>
        </w:rPr>
      </w:pPr>
      <w:r w:rsidRPr="003E45FD">
        <w:rPr>
          <w:color w:val="000000" w:themeColor="text1"/>
        </w:rPr>
        <w:t>M</w:t>
      </w:r>
      <w:r w:rsidR="007467C8" w:rsidRPr="003E45FD">
        <w:rPr>
          <w:color w:val="000000" w:themeColor="text1"/>
        </w:rPr>
        <w:t>artín</w:t>
      </w:r>
      <w:r w:rsidRPr="003E45FD">
        <w:rPr>
          <w:color w:val="000000" w:themeColor="text1"/>
        </w:rPr>
        <w:t xml:space="preserve"> AI, P</w:t>
      </w:r>
      <w:r w:rsidR="007467C8" w:rsidRPr="003E45FD">
        <w:rPr>
          <w:color w:val="000000" w:themeColor="text1"/>
        </w:rPr>
        <w:t>riego</w:t>
      </w:r>
      <w:r w:rsidRPr="003E45FD">
        <w:rPr>
          <w:color w:val="000000" w:themeColor="text1"/>
        </w:rPr>
        <w:t xml:space="preserve"> T, L</w:t>
      </w:r>
      <w:r w:rsidR="007467C8" w:rsidRPr="003E45FD">
        <w:rPr>
          <w:color w:val="000000" w:themeColor="text1"/>
        </w:rPr>
        <w:t>ópez</w:t>
      </w:r>
      <w:r w:rsidRPr="003E45FD">
        <w:rPr>
          <w:color w:val="000000" w:themeColor="text1"/>
        </w:rPr>
        <w:t>-C</w:t>
      </w:r>
      <w:r w:rsidR="007467C8" w:rsidRPr="003E45FD">
        <w:rPr>
          <w:color w:val="000000" w:themeColor="text1"/>
        </w:rPr>
        <w:t>alderón</w:t>
      </w:r>
      <w:r w:rsidRPr="003E45FD">
        <w:rPr>
          <w:color w:val="000000" w:themeColor="text1"/>
        </w:rPr>
        <w:t xml:space="preserve"> A. </w:t>
      </w:r>
      <w:hyperlink r:id="rId11" w:history="1">
        <w:r w:rsidRPr="003E45FD">
          <w:rPr>
            <w:rStyle w:val="Hyperlink"/>
            <w:color w:val="000000" w:themeColor="text1"/>
            <w:u w:val="none"/>
          </w:rPr>
          <w:t>Hormones and </w:t>
        </w:r>
        <w:r w:rsidRPr="003E45FD">
          <w:rPr>
            <w:rStyle w:val="Hyperlink"/>
            <w:bCs/>
            <w:color w:val="000000" w:themeColor="text1"/>
            <w:u w:val="none"/>
          </w:rPr>
          <w:t>Muscle</w:t>
        </w:r>
        <w:r w:rsidRPr="003E45FD">
          <w:rPr>
            <w:rStyle w:val="Hyperlink"/>
            <w:color w:val="000000" w:themeColor="text1"/>
            <w:u w:val="none"/>
          </w:rPr>
          <w:t> Atrophy.</w:t>
        </w:r>
      </w:hyperlink>
      <w:r w:rsidRPr="003E45FD">
        <w:rPr>
          <w:color w:val="000000" w:themeColor="text1"/>
        </w:rPr>
        <w:t xml:space="preserve"> </w:t>
      </w:r>
      <w:r w:rsidRPr="003E45FD">
        <w:rPr>
          <w:rStyle w:val="jrnl"/>
          <w:color w:val="000000" w:themeColor="text1"/>
        </w:rPr>
        <w:t>Adv Exp Med Biol</w:t>
      </w:r>
      <w:r>
        <w:rPr>
          <w:rStyle w:val="jrnl"/>
          <w:color w:val="000000" w:themeColor="text1"/>
        </w:rPr>
        <w:t>.</w:t>
      </w:r>
      <w:r w:rsidR="007467C8">
        <w:rPr>
          <w:rStyle w:val="jrnl"/>
          <w:color w:val="000000" w:themeColor="text1"/>
        </w:rPr>
        <w:t xml:space="preserve"> 2017,</w:t>
      </w:r>
      <w:r>
        <w:rPr>
          <w:rStyle w:val="jrnl"/>
          <w:color w:val="000000" w:themeColor="text1"/>
        </w:rPr>
        <w:t xml:space="preserve"> </w:t>
      </w:r>
      <w:r w:rsidRPr="003E45FD">
        <w:rPr>
          <w:color w:val="000000" w:themeColor="text1"/>
        </w:rPr>
        <w:t>108</w:t>
      </w:r>
      <w:r>
        <w:rPr>
          <w:color w:val="000000" w:themeColor="text1"/>
        </w:rPr>
        <w:t xml:space="preserve">: </w:t>
      </w:r>
      <w:r w:rsidRPr="003E45FD">
        <w:rPr>
          <w:color w:val="000000" w:themeColor="text1"/>
        </w:rPr>
        <w:t>207-233</w:t>
      </w:r>
      <w:r>
        <w:rPr>
          <w:color w:val="000000" w:themeColor="text1"/>
        </w:rPr>
        <w:t>.</w:t>
      </w:r>
      <w:r w:rsidRPr="003E45FD">
        <w:rPr>
          <w:color w:val="000000" w:themeColor="text1"/>
        </w:rPr>
        <w:t>.</w:t>
      </w:r>
    </w:p>
    <w:p w14:paraId="06C87420" w14:textId="77777777" w:rsidR="00E56F93" w:rsidRDefault="00E56F93" w:rsidP="00E56F93">
      <w:pPr>
        <w:pStyle w:val="PargrafodaLista"/>
        <w:rPr>
          <w:color w:val="000000" w:themeColor="text1"/>
        </w:rPr>
      </w:pPr>
    </w:p>
    <w:p w14:paraId="531BB35C" w14:textId="008B89D1" w:rsidR="00E56F93" w:rsidRDefault="00E56F93" w:rsidP="00E56F93">
      <w:pPr>
        <w:pStyle w:val="Ttulo1"/>
        <w:numPr>
          <w:ilvl w:val="0"/>
          <w:numId w:val="4"/>
        </w:numPr>
        <w:shd w:val="clear" w:color="auto" w:fill="FFFFFF"/>
        <w:tabs>
          <w:tab w:val="left" w:pos="426"/>
        </w:tabs>
        <w:spacing w:before="0" w:beforeAutospacing="0" w:after="0" w:afterAutospacing="0" w:line="360" w:lineRule="auto"/>
        <w:ind w:left="0" w:firstLine="0"/>
        <w:jc w:val="both"/>
        <w:rPr>
          <w:color w:val="000000" w:themeColor="text1"/>
          <w:lang w:val="en-US"/>
        </w:rPr>
      </w:pPr>
      <w:r w:rsidRPr="003E45FD">
        <w:rPr>
          <w:color w:val="000000" w:themeColor="text1"/>
          <w:lang w:val="en-US"/>
        </w:rPr>
        <w:t>K</w:t>
      </w:r>
      <w:r w:rsidR="007467C8" w:rsidRPr="003E45FD">
        <w:rPr>
          <w:color w:val="000000" w:themeColor="text1"/>
          <w:lang w:val="en-US"/>
        </w:rPr>
        <w:t>asper</w:t>
      </w:r>
      <w:r w:rsidRPr="003E45FD">
        <w:rPr>
          <w:color w:val="000000" w:themeColor="text1"/>
          <w:lang w:val="en-US"/>
        </w:rPr>
        <w:t xml:space="preserve"> CE, T</w:t>
      </w:r>
      <w:r w:rsidR="007467C8" w:rsidRPr="003E45FD">
        <w:rPr>
          <w:color w:val="000000" w:themeColor="text1"/>
          <w:lang w:val="en-US"/>
        </w:rPr>
        <w:t>albot</w:t>
      </w:r>
      <w:r w:rsidRPr="003E45FD">
        <w:rPr>
          <w:color w:val="000000" w:themeColor="text1"/>
          <w:lang w:val="en-US"/>
        </w:rPr>
        <w:t xml:space="preserve"> LA, G</w:t>
      </w:r>
      <w:r w:rsidR="007467C8" w:rsidRPr="003E45FD">
        <w:rPr>
          <w:color w:val="000000" w:themeColor="text1"/>
          <w:lang w:val="en-US"/>
        </w:rPr>
        <w:t>aines</w:t>
      </w:r>
      <w:r w:rsidRPr="003E45FD">
        <w:rPr>
          <w:color w:val="000000" w:themeColor="text1"/>
          <w:lang w:val="en-US"/>
        </w:rPr>
        <w:t xml:space="preserve"> JM. Skeletal muscle damage and recovery. AACN Clin</w:t>
      </w:r>
      <w:r w:rsidR="007467C8">
        <w:rPr>
          <w:color w:val="000000" w:themeColor="text1"/>
          <w:lang w:val="en-US"/>
        </w:rPr>
        <w:t>. 2002,</w:t>
      </w:r>
      <w:r w:rsidRPr="003E45FD">
        <w:rPr>
          <w:color w:val="000000" w:themeColor="text1"/>
          <w:lang w:val="en-US"/>
        </w:rPr>
        <w:t xml:space="preserve"> 13</w:t>
      </w:r>
      <w:r w:rsidR="007467C8">
        <w:rPr>
          <w:color w:val="000000" w:themeColor="text1"/>
          <w:lang w:val="en-US"/>
        </w:rPr>
        <w:t xml:space="preserve"> (2):</w:t>
      </w:r>
      <w:r w:rsidRPr="003E45FD">
        <w:rPr>
          <w:color w:val="000000" w:themeColor="text1"/>
          <w:lang w:val="en-US"/>
        </w:rPr>
        <w:t xml:space="preserve"> 37- 47.</w:t>
      </w:r>
    </w:p>
    <w:p w14:paraId="68BCB20D" w14:textId="77777777" w:rsidR="00E56F93" w:rsidRDefault="00E56F93" w:rsidP="00E56F93">
      <w:pPr>
        <w:pStyle w:val="Ttulo1"/>
        <w:shd w:val="clear" w:color="auto" w:fill="FFFFFF"/>
        <w:tabs>
          <w:tab w:val="left" w:pos="426"/>
        </w:tabs>
        <w:spacing w:before="0" w:beforeAutospacing="0" w:after="0" w:afterAutospacing="0" w:line="360" w:lineRule="auto"/>
        <w:jc w:val="both"/>
        <w:rPr>
          <w:color w:val="000000" w:themeColor="text1"/>
          <w:lang w:val="en-US"/>
        </w:rPr>
      </w:pPr>
    </w:p>
    <w:p w14:paraId="2A079090" w14:textId="097C4870" w:rsidR="00E56F93" w:rsidRDefault="007467C8" w:rsidP="00E56F93">
      <w:pPr>
        <w:pStyle w:val="PargrafodaLista"/>
        <w:numPr>
          <w:ilvl w:val="0"/>
          <w:numId w:val="4"/>
        </w:numPr>
        <w:tabs>
          <w:tab w:val="left" w:pos="426"/>
        </w:tabs>
        <w:spacing w:after="0" w:line="360" w:lineRule="auto"/>
        <w:ind w:left="0" w:right="-1" w:firstLine="0"/>
        <w:jc w:val="both"/>
        <w:rPr>
          <w:rFonts w:ascii="Times New Roman" w:hAnsi="Times New Roman"/>
          <w:color w:val="000000" w:themeColor="text1"/>
          <w:sz w:val="24"/>
          <w:szCs w:val="24"/>
          <w:lang w:val="en-US"/>
        </w:rPr>
      </w:pPr>
      <w:r w:rsidRPr="0026660E">
        <w:rPr>
          <w:rFonts w:ascii="Times New Roman" w:hAnsi="Times New Roman"/>
          <w:color w:val="000000" w:themeColor="text1"/>
          <w:sz w:val="24"/>
          <w:szCs w:val="24"/>
          <w:lang w:val="en-US"/>
        </w:rPr>
        <w:t xml:space="preserve">Tanaka T, Kariya Y, Hoshino Y. </w:t>
      </w:r>
      <w:r w:rsidR="00E56F93" w:rsidRPr="0026660E">
        <w:rPr>
          <w:rFonts w:ascii="Times New Roman" w:hAnsi="Times New Roman"/>
          <w:color w:val="000000" w:themeColor="text1"/>
          <w:sz w:val="24"/>
          <w:szCs w:val="24"/>
          <w:lang w:val="en-US"/>
        </w:rPr>
        <w:t>Histochemical study on the change in muscle fibers in relation to the effects of aging on recovery from muscular atrophy caused by disuse in rats. J Orthop Sci</w:t>
      </w:r>
      <w:r w:rsidR="00E56F93">
        <w:rPr>
          <w:rFonts w:ascii="Times New Roman" w:hAnsi="Times New Roman"/>
          <w:color w:val="000000" w:themeColor="text1"/>
          <w:sz w:val="24"/>
          <w:szCs w:val="24"/>
          <w:lang w:val="en-US"/>
        </w:rPr>
        <w:t>. 2004</w:t>
      </w:r>
      <w:r w:rsidR="00E56F93" w:rsidRPr="0026660E">
        <w:rPr>
          <w:rFonts w:ascii="Times New Roman" w:hAnsi="Times New Roman"/>
          <w:color w:val="000000" w:themeColor="text1"/>
          <w:sz w:val="24"/>
          <w:szCs w:val="24"/>
          <w:lang w:val="en-US"/>
        </w:rPr>
        <w:t>, 9</w:t>
      </w:r>
      <w:r w:rsidR="00E56F93">
        <w:rPr>
          <w:rFonts w:ascii="Times New Roman" w:hAnsi="Times New Roman"/>
          <w:color w:val="000000" w:themeColor="text1"/>
          <w:sz w:val="24"/>
          <w:szCs w:val="24"/>
          <w:lang w:val="en-US"/>
        </w:rPr>
        <w:t xml:space="preserve">: </w:t>
      </w:r>
      <w:r w:rsidR="00E56F93" w:rsidRPr="0026660E">
        <w:rPr>
          <w:rFonts w:ascii="Times New Roman" w:hAnsi="Times New Roman"/>
          <w:color w:val="000000" w:themeColor="text1"/>
          <w:sz w:val="24"/>
          <w:szCs w:val="24"/>
          <w:lang w:val="en-US"/>
        </w:rPr>
        <w:t>76-85.</w:t>
      </w:r>
    </w:p>
    <w:p w14:paraId="7F41B71B" w14:textId="77777777" w:rsidR="00E56F93" w:rsidRPr="0026660E" w:rsidRDefault="00E56F93" w:rsidP="00E56F93">
      <w:pPr>
        <w:pStyle w:val="PargrafodaLista"/>
        <w:rPr>
          <w:rFonts w:ascii="Times New Roman" w:hAnsi="Times New Roman"/>
          <w:color w:val="000000" w:themeColor="text1"/>
          <w:sz w:val="24"/>
          <w:szCs w:val="24"/>
          <w:lang w:val="en-US"/>
        </w:rPr>
      </w:pPr>
    </w:p>
    <w:p w14:paraId="171A7C00" w14:textId="354BFD73" w:rsidR="00E56F93" w:rsidRDefault="007D38DF" w:rsidP="00E56F93">
      <w:pPr>
        <w:pStyle w:val="PargrafodaLista"/>
        <w:numPr>
          <w:ilvl w:val="0"/>
          <w:numId w:val="4"/>
        </w:numPr>
        <w:tabs>
          <w:tab w:val="left" w:pos="426"/>
        </w:tabs>
        <w:spacing w:after="0" w:line="360" w:lineRule="auto"/>
        <w:ind w:left="0" w:right="-1" w:firstLine="0"/>
        <w:jc w:val="both"/>
        <w:rPr>
          <w:rFonts w:ascii="Times New Roman" w:eastAsia="Times New Roman" w:hAnsi="Times New Roman"/>
          <w:color w:val="020202"/>
          <w:sz w:val="24"/>
          <w:szCs w:val="24"/>
          <w:lang w:val="en-US" w:eastAsia="pt-BR"/>
        </w:rPr>
      </w:pPr>
      <w:hyperlink r:id="rId12" w:history="1">
        <w:r w:rsidR="007467C8" w:rsidRPr="0026660E">
          <w:rPr>
            <w:rFonts w:ascii="Times New Roman" w:eastAsia="Times New Roman" w:hAnsi="Times New Roman"/>
            <w:bCs/>
            <w:color w:val="020202"/>
            <w:sz w:val="24"/>
            <w:szCs w:val="24"/>
            <w:lang w:val="en-US" w:eastAsia="pt-BR"/>
          </w:rPr>
          <w:t>Rudrappa</w:t>
        </w:r>
      </w:hyperlink>
      <w:r w:rsidR="007467C8" w:rsidRPr="0026660E">
        <w:rPr>
          <w:rFonts w:ascii="Times New Roman" w:eastAsia="Times New Roman" w:hAnsi="Times New Roman"/>
          <w:bCs/>
          <w:color w:val="020202"/>
          <w:sz w:val="24"/>
          <w:szCs w:val="24"/>
          <w:lang w:val="en-US" w:eastAsia="pt-BR"/>
        </w:rPr>
        <w:t xml:space="preserve"> S</w:t>
      </w:r>
      <w:r w:rsidR="007467C8">
        <w:rPr>
          <w:rFonts w:ascii="Times New Roman" w:eastAsia="Times New Roman" w:hAnsi="Times New Roman"/>
          <w:bCs/>
          <w:color w:val="020202"/>
          <w:sz w:val="24"/>
          <w:szCs w:val="24"/>
          <w:lang w:val="en-US" w:eastAsia="pt-BR"/>
        </w:rPr>
        <w:t>S</w:t>
      </w:r>
      <w:r w:rsidR="007467C8" w:rsidRPr="0026660E">
        <w:rPr>
          <w:rFonts w:ascii="Times New Roman" w:eastAsia="Times New Roman" w:hAnsi="Times New Roman"/>
          <w:bCs/>
          <w:color w:val="020202"/>
          <w:sz w:val="24"/>
          <w:szCs w:val="24"/>
          <w:lang w:val="en-US" w:eastAsia="pt-BR"/>
        </w:rPr>
        <w:t>, Wilkinson D</w:t>
      </w:r>
      <w:r w:rsidR="007467C8">
        <w:rPr>
          <w:rFonts w:ascii="Times New Roman" w:eastAsia="Times New Roman" w:hAnsi="Times New Roman"/>
          <w:bCs/>
          <w:color w:val="020202"/>
          <w:sz w:val="24"/>
          <w:szCs w:val="24"/>
          <w:lang w:val="en-US" w:eastAsia="pt-BR"/>
        </w:rPr>
        <w:t>J</w:t>
      </w:r>
      <w:r w:rsidR="007467C8" w:rsidRPr="0026660E">
        <w:rPr>
          <w:rFonts w:ascii="Times New Roman" w:eastAsia="Times New Roman" w:hAnsi="Times New Roman"/>
          <w:bCs/>
          <w:color w:val="020202"/>
          <w:sz w:val="24"/>
          <w:szCs w:val="24"/>
          <w:lang w:val="en-US" w:eastAsia="pt-BR"/>
        </w:rPr>
        <w:t>, Greenhaff P</w:t>
      </w:r>
      <w:r w:rsidR="007467C8">
        <w:rPr>
          <w:rFonts w:ascii="Times New Roman" w:eastAsia="Times New Roman" w:hAnsi="Times New Roman"/>
          <w:bCs/>
          <w:color w:val="020202"/>
          <w:sz w:val="24"/>
          <w:szCs w:val="24"/>
          <w:lang w:val="en-US" w:eastAsia="pt-BR"/>
        </w:rPr>
        <w:t>L</w:t>
      </w:r>
      <w:r w:rsidR="007467C8" w:rsidRPr="0026660E">
        <w:rPr>
          <w:rFonts w:ascii="Times New Roman" w:eastAsia="Times New Roman" w:hAnsi="Times New Roman"/>
          <w:bCs/>
          <w:color w:val="020202"/>
          <w:sz w:val="24"/>
          <w:szCs w:val="24"/>
          <w:lang w:val="en-US" w:eastAsia="pt-BR"/>
        </w:rPr>
        <w:t>, Smith K, </w:t>
      </w:r>
      <w:hyperlink r:id="rId13" w:history="1">
        <w:r w:rsidR="007467C8" w:rsidRPr="0026660E">
          <w:rPr>
            <w:rFonts w:ascii="Times New Roman" w:eastAsia="Times New Roman" w:hAnsi="Times New Roman"/>
            <w:bCs/>
            <w:color w:val="020202"/>
            <w:sz w:val="24"/>
            <w:szCs w:val="24"/>
            <w:lang w:val="en-US" w:eastAsia="pt-BR"/>
          </w:rPr>
          <w:t>Iskandar I</w:t>
        </w:r>
      </w:hyperlink>
      <w:r w:rsidR="007467C8" w:rsidRPr="0026660E">
        <w:rPr>
          <w:rFonts w:ascii="Times New Roman" w:eastAsia="Times New Roman" w:hAnsi="Times New Roman"/>
          <w:bCs/>
          <w:color w:val="020202"/>
          <w:sz w:val="24"/>
          <w:szCs w:val="24"/>
          <w:lang w:val="en-US" w:eastAsia="pt-BR"/>
        </w:rPr>
        <w:t>,</w:t>
      </w:r>
      <w:hyperlink r:id="rId14" w:history="1">
        <w:r w:rsidR="007467C8" w:rsidRPr="0026660E">
          <w:rPr>
            <w:rFonts w:ascii="Times New Roman" w:eastAsia="Times New Roman" w:hAnsi="Times New Roman"/>
            <w:bCs/>
            <w:color w:val="020202"/>
            <w:sz w:val="24"/>
            <w:szCs w:val="24"/>
            <w:lang w:val="en-US" w:eastAsia="pt-BR"/>
          </w:rPr>
          <w:t xml:space="preserve"> Atherton</w:t>
        </w:r>
      </w:hyperlink>
      <w:r w:rsidR="007467C8" w:rsidRPr="0026660E">
        <w:rPr>
          <w:rFonts w:ascii="Times New Roman" w:eastAsia="Times New Roman" w:hAnsi="Times New Roman"/>
          <w:bCs/>
          <w:color w:val="020202"/>
          <w:sz w:val="24"/>
          <w:szCs w:val="24"/>
          <w:vertAlign w:val="superscript"/>
          <w:lang w:val="en-US" w:eastAsia="pt-BR"/>
        </w:rPr>
        <w:t xml:space="preserve"> </w:t>
      </w:r>
      <w:r w:rsidR="007467C8" w:rsidRPr="0026660E">
        <w:rPr>
          <w:rFonts w:ascii="Times New Roman" w:eastAsia="Times New Roman" w:hAnsi="Times New Roman"/>
          <w:bCs/>
          <w:color w:val="020202"/>
          <w:sz w:val="24"/>
          <w:szCs w:val="24"/>
          <w:lang w:val="en-US" w:eastAsia="pt-BR"/>
        </w:rPr>
        <w:t>P</w:t>
      </w:r>
      <w:r w:rsidR="007467C8">
        <w:rPr>
          <w:rFonts w:ascii="Times New Roman" w:eastAsia="Times New Roman" w:hAnsi="Times New Roman"/>
          <w:bCs/>
          <w:color w:val="020202"/>
          <w:sz w:val="24"/>
          <w:szCs w:val="24"/>
          <w:lang w:val="en-US" w:eastAsia="pt-BR"/>
        </w:rPr>
        <w:t>J</w:t>
      </w:r>
      <w:r w:rsidR="007467C8" w:rsidRPr="0026660E">
        <w:rPr>
          <w:rFonts w:ascii="Times New Roman" w:eastAsia="Times New Roman" w:hAnsi="Times New Roman"/>
          <w:bCs/>
          <w:color w:val="020202"/>
          <w:sz w:val="24"/>
          <w:szCs w:val="24"/>
          <w:lang w:val="en-US" w:eastAsia="pt-BR"/>
        </w:rPr>
        <w:t>.</w:t>
      </w:r>
      <w:r w:rsidR="00E56F93" w:rsidRPr="0026660E">
        <w:rPr>
          <w:rFonts w:ascii="Times New Roman" w:eastAsia="Times New Roman" w:hAnsi="Times New Roman"/>
          <w:bCs/>
          <w:color w:val="020202"/>
          <w:sz w:val="24"/>
          <w:szCs w:val="24"/>
          <w:lang w:val="en-US" w:eastAsia="pt-BR"/>
        </w:rPr>
        <w:t xml:space="preserve"> </w:t>
      </w:r>
      <w:r w:rsidR="00E56F93" w:rsidRPr="0026660E">
        <w:rPr>
          <w:rFonts w:ascii="Times New Roman" w:eastAsia="Times New Roman" w:hAnsi="Times New Roman"/>
          <w:bCs/>
          <w:color w:val="020202"/>
          <w:kern w:val="36"/>
          <w:sz w:val="24"/>
          <w:szCs w:val="24"/>
          <w:lang w:val="en-US" w:eastAsia="pt-BR"/>
        </w:rPr>
        <w:t>Human Skeletal Muscle Disuse Atrophy: Effects on Muscle Protein Synthesis, Breakdown, and Insulin Resistance - A Qualitative Review</w:t>
      </w:r>
      <w:r w:rsidR="00E56F93" w:rsidRPr="0026660E">
        <w:rPr>
          <w:rFonts w:ascii="Times New Roman" w:eastAsia="Times New Roman" w:hAnsi="Times New Roman"/>
          <w:color w:val="020202"/>
          <w:sz w:val="24"/>
          <w:szCs w:val="24"/>
          <w:lang w:val="en-US" w:eastAsia="pt-BR"/>
        </w:rPr>
        <w:t>. Front. Physiol</w:t>
      </w:r>
      <w:r w:rsidR="00E56F93">
        <w:rPr>
          <w:rFonts w:ascii="Times New Roman" w:eastAsia="Times New Roman" w:hAnsi="Times New Roman"/>
          <w:color w:val="020202"/>
          <w:sz w:val="24"/>
          <w:szCs w:val="24"/>
          <w:lang w:val="en-US" w:eastAsia="pt-BR"/>
        </w:rPr>
        <w:t xml:space="preserve">. 2016, </w:t>
      </w:r>
      <w:r w:rsidR="00E56F93" w:rsidRPr="0026660E">
        <w:rPr>
          <w:rFonts w:ascii="Times New Roman" w:eastAsia="Times New Roman" w:hAnsi="Times New Roman"/>
          <w:color w:val="020202"/>
          <w:sz w:val="24"/>
          <w:szCs w:val="24"/>
          <w:lang w:val="en-US" w:eastAsia="pt-BR"/>
        </w:rPr>
        <w:t>25</w:t>
      </w:r>
      <w:r w:rsidR="00E56F93">
        <w:rPr>
          <w:rFonts w:ascii="Times New Roman" w:eastAsia="Times New Roman" w:hAnsi="Times New Roman"/>
          <w:color w:val="020202"/>
          <w:sz w:val="24"/>
          <w:szCs w:val="24"/>
          <w:lang w:val="en-US" w:eastAsia="pt-BR"/>
        </w:rPr>
        <w:t xml:space="preserve"> (</w:t>
      </w:r>
      <w:r w:rsidR="00E56F93" w:rsidRPr="0026660E">
        <w:rPr>
          <w:rFonts w:ascii="Times New Roman" w:eastAsia="Times New Roman" w:hAnsi="Times New Roman"/>
          <w:color w:val="020202"/>
          <w:sz w:val="24"/>
          <w:szCs w:val="24"/>
          <w:lang w:val="en-US" w:eastAsia="pt-BR"/>
        </w:rPr>
        <w:t>7</w:t>
      </w:r>
      <w:r w:rsidR="00E56F93">
        <w:rPr>
          <w:rFonts w:ascii="Times New Roman" w:eastAsia="Times New Roman" w:hAnsi="Times New Roman"/>
          <w:color w:val="020202"/>
          <w:sz w:val="24"/>
          <w:szCs w:val="24"/>
          <w:lang w:val="en-US" w:eastAsia="pt-BR"/>
        </w:rPr>
        <w:t xml:space="preserve">): </w:t>
      </w:r>
      <w:r w:rsidR="00E56F93" w:rsidRPr="0026660E">
        <w:rPr>
          <w:rFonts w:ascii="Times New Roman" w:eastAsia="Times New Roman" w:hAnsi="Times New Roman"/>
          <w:color w:val="020202"/>
          <w:sz w:val="24"/>
          <w:szCs w:val="24"/>
          <w:lang w:val="en-US" w:eastAsia="pt-BR"/>
        </w:rPr>
        <w:t>1-10.</w:t>
      </w:r>
    </w:p>
    <w:p w14:paraId="6E13C2C5" w14:textId="77777777" w:rsidR="00E56F93" w:rsidRPr="0026660E" w:rsidRDefault="00E56F93" w:rsidP="00E56F93">
      <w:pPr>
        <w:pStyle w:val="PargrafodaLista"/>
        <w:rPr>
          <w:rFonts w:ascii="Times New Roman" w:eastAsia="Times New Roman" w:hAnsi="Times New Roman"/>
          <w:color w:val="020202"/>
          <w:sz w:val="24"/>
          <w:szCs w:val="24"/>
          <w:lang w:val="en-US" w:eastAsia="pt-BR"/>
        </w:rPr>
      </w:pPr>
    </w:p>
    <w:p w14:paraId="0723F74E" w14:textId="19DEED97" w:rsidR="00E56F93" w:rsidRDefault="007467C8" w:rsidP="00E56F93">
      <w:pPr>
        <w:pStyle w:val="PargrafodaLista"/>
        <w:numPr>
          <w:ilvl w:val="0"/>
          <w:numId w:val="4"/>
        </w:numPr>
        <w:tabs>
          <w:tab w:val="left" w:pos="426"/>
        </w:tabs>
        <w:spacing w:after="0" w:line="360" w:lineRule="auto"/>
        <w:ind w:left="0" w:right="-1" w:firstLine="0"/>
        <w:jc w:val="both"/>
        <w:rPr>
          <w:rFonts w:ascii="Times New Roman" w:hAnsi="Times New Roman"/>
          <w:color w:val="000000" w:themeColor="text1"/>
          <w:sz w:val="24"/>
          <w:szCs w:val="24"/>
          <w:lang w:val="en-US"/>
        </w:rPr>
      </w:pPr>
      <w:r w:rsidRPr="0026660E">
        <w:rPr>
          <w:rFonts w:ascii="Times New Roman" w:hAnsi="Times New Roman"/>
          <w:color w:val="000000" w:themeColor="text1"/>
          <w:sz w:val="24"/>
          <w:szCs w:val="24"/>
          <w:lang w:val="en-US"/>
        </w:rPr>
        <w:lastRenderedPageBreak/>
        <w:t>Hilder T</w:t>
      </w:r>
      <w:r>
        <w:rPr>
          <w:rFonts w:ascii="Times New Roman" w:hAnsi="Times New Roman"/>
          <w:color w:val="000000" w:themeColor="text1"/>
          <w:sz w:val="24"/>
          <w:szCs w:val="24"/>
          <w:lang w:val="en-US"/>
        </w:rPr>
        <w:t>L</w:t>
      </w:r>
      <w:r w:rsidRPr="0026660E">
        <w:rPr>
          <w:rFonts w:ascii="Times New Roman" w:hAnsi="Times New Roman"/>
          <w:color w:val="000000" w:themeColor="text1"/>
          <w:sz w:val="24"/>
          <w:szCs w:val="24"/>
          <w:lang w:val="en-US"/>
        </w:rPr>
        <w:t>, Tou J</w:t>
      </w:r>
      <w:r>
        <w:rPr>
          <w:rFonts w:ascii="Times New Roman" w:hAnsi="Times New Roman"/>
          <w:color w:val="000000" w:themeColor="text1"/>
          <w:sz w:val="24"/>
          <w:szCs w:val="24"/>
          <w:lang w:val="en-US"/>
        </w:rPr>
        <w:t>C</w:t>
      </w:r>
      <w:r w:rsidRPr="0026660E">
        <w:rPr>
          <w:rFonts w:ascii="Times New Roman" w:hAnsi="Times New Roman"/>
          <w:color w:val="000000" w:themeColor="text1"/>
          <w:sz w:val="24"/>
          <w:szCs w:val="24"/>
          <w:lang w:val="en-US"/>
        </w:rPr>
        <w:t>, Grindeland R</w:t>
      </w:r>
      <w:r>
        <w:rPr>
          <w:rFonts w:ascii="Times New Roman" w:hAnsi="Times New Roman"/>
          <w:color w:val="000000" w:themeColor="text1"/>
          <w:sz w:val="24"/>
          <w:szCs w:val="24"/>
          <w:lang w:val="en-US"/>
        </w:rPr>
        <w:t>E</w:t>
      </w:r>
      <w:r w:rsidRPr="0026660E">
        <w:rPr>
          <w:rFonts w:ascii="Times New Roman" w:hAnsi="Times New Roman"/>
          <w:color w:val="000000" w:themeColor="text1"/>
          <w:sz w:val="24"/>
          <w:szCs w:val="24"/>
          <w:lang w:val="en-US"/>
        </w:rPr>
        <w:t>, Wade C</w:t>
      </w:r>
      <w:r>
        <w:rPr>
          <w:rFonts w:ascii="Times New Roman" w:hAnsi="Times New Roman"/>
          <w:color w:val="000000" w:themeColor="text1"/>
          <w:sz w:val="24"/>
          <w:szCs w:val="24"/>
          <w:lang w:val="en-US"/>
        </w:rPr>
        <w:t>E</w:t>
      </w:r>
      <w:r w:rsidRPr="0026660E">
        <w:rPr>
          <w:rFonts w:ascii="Times New Roman" w:hAnsi="Times New Roman"/>
          <w:color w:val="000000" w:themeColor="text1"/>
          <w:sz w:val="24"/>
          <w:szCs w:val="24"/>
          <w:lang w:val="en-US"/>
        </w:rPr>
        <w:t>, Graves L</w:t>
      </w:r>
      <w:r>
        <w:rPr>
          <w:rFonts w:ascii="Times New Roman" w:hAnsi="Times New Roman"/>
          <w:color w:val="000000" w:themeColor="text1"/>
          <w:sz w:val="24"/>
          <w:szCs w:val="24"/>
          <w:lang w:val="en-US"/>
        </w:rPr>
        <w:t>M</w:t>
      </w:r>
      <w:r w:rsidR="00E56F93" w:rsidRPr="0026660E">
        <w:rPr>
          <w:rFonts w:ascii="Times New Roman" w:hAnsi="Times New Roman"/>
          <w:color w:val="000000" w:themeColor="text1"/>
          <w:sz w:val="24"/>
          <w:szCs w:val="24"/>
          <w:lang w:val="en-US"/>
        </w:rPr>
        <w:t>. Phosphorylation of insulin receptor substrate-1 serine 307 correlates with JNK activity in atrophic skeletal muscle. FEBS Lett</w:t>
      </w:r>
      <w:r w:rsidR="00E56F93">
        <w:rPr>
          <w:rFonts w:ascii="Times New Roman" w:hAnsi="Times New Roman"/>
          <w:color w:val="000000" w:themeColor="text1"/>
          <w:sz w:val="24"/>
          <w:szCs w:val="24"/>
          <w:lang w:val="en-US"/>
        </w:rPr>
        <w:t>. 2003,</w:t>
      </w:r>
      <w:r w:rsidR="00E56F93" w:rsidRPr="0026660E">
        <w:rPr>
          <w:rFonts w:ascii="Times New Roman" w:hAnsi="Times New Roman"/>
          <w:color w:val="000000" w:themeColor="text1"/>
          <w:sz w:val="24"/>
          <w:szCs w:val="24"/>
          <w:lang w:val="en-US"/>
        </w:rPr>
        <w:t xml:space="preserve"> 553</w:t>
      </w:r>
      <w:r w:rsidR="00E56F93">
        <w:rPr>
          <w:rFonts w:ascii="Times New Roman" w:hAnsi="Times New Roman"/>
          <w:color w:val="000000" w:themeColor="text1"/>
          <w:sz w:val="24"/>
          <w:szCs w:val="24"/>
          <w:lang w:val="en-US"/>
        </w:rPr>
        <w:t xml:space="preserve"> (</w:t>
      </w:r>
      <w:r w:rsidR="00E56F93" w:rsidRPr="0026660E">
        <w:rPr>
          <w:rFonts w:ascii="Times New Roman" w:hAnsi="Times New Roman"/>
          <w:color w:val="000000" w:themeColor="text1"/>
          <w:sz w:val="24"/>
          <w:szCs w:val="24"/>
          <w:lang w:val="en-US"/>
        </w:rPr>
        <w:t>1-2</w:t>
      </w:r>
      <w:r w:rsidR="00E56F93">
        <w:rPr>
          <w:rFonts w:ascii="Times New Roman" w:hAnsi="Times New Roman"/>
          <w:color w:val="000000" w:themeColor="text1"/>
          <w:sz w:val="24"/>
          <w:szCs w:val="24"/>
          <w:lang w:val="en-US"/>
        </w:rPr>
        <w:t>):</w:t>
      </w:r>
      <w:r w:rsidR="00E56F93" w:rsidRPr="0026660E">
        <w:rPr>
          <w:rFonts w:ascii="Times New Roman" w:hAnsi="Times New Roman"/>
          <w:color w:val="000000" w:themeColor="text1"/>
          <w:sz w:val="24"/>
          <w:szCs w:val="24"/>
          <w:lang w:val="en-US"/>
        </w:rPr>
        <w:t xml:space="preserve"> 63-67. </w:t>
      </w:r>
    </w:p>
    <w:p w14:paraId="09D328DB" w14:textId="77777777" w:rsidR="00E56F93" w:rsidRPr="0026660E" w:rsidRDefault="00E56F93" w:rsidP="00E56F93">
      <w:pPr>
        <w:pStyle w:val="PargrafodaLista"/>
        <w:tabs>
          <w:tab w:val="left" w:pos="426"/>
        </w:tabs>
        <w:ind w:left="0"/>
        <w:rPr>
          <w:rFonts w:ascii="Times New Roman" w:hAnsi="Times New Roman"/>
          <w:color w:val="000000" w:themeColor="text1"/>
          <w:sz w:val="24"/>
          <w:szCs w:val="24"/>
          <w:lang w:val="en-US"/>
        </w:rPr>
      </w:pPr>
    </w:p>
    <w:p w14:paraId="04D311E9" w14:textId="1B8F016A" w:rsidR="00E56F93" w:rsidRDefault="007467C8" w:rsidP="00E56F93">
      <w:pPr>
        <w:pStyle w:val="PargrafodaLista"/>
        <w:numPr>
          <w:ilvl w:val="0"/>
          <w:numId w:val="4"/>
        </w:numPr>
        <w:tabs>
          <w:tab w:val="left" w:pos="426"/>
        </w:tabs>
        <w:spacing w:after="0" w:line="360" w:lineRule="auto"/>
        <w:ind w:left="0" w:right="-1" w:firstLine="0"/>
        <w:jc w:val="both"/>
        <w:rPr>
          <w:rFonts w:ascii="Times New Roman" w:hAnsi="Times New Roman"/>
          <w:color w:val="000000" w:themeColor="text1"/>
          <w:sz w:val="24"/>
          <w:szCs w:val="24"/>
        </w:rPr>
      </w:pPr>
      <w:r w:rsidRPr="0026660E">
        <w:rPr>
          <w:rFonts w:ascii="Times New Roman" w:hAnsi="Times New Roman"/>
          <w:color w:val="000000" w:themeColor="text1"/>
          <w:sz w:val="24"/>
          <w:szCs w:val="24"/>
        </w:rPr>
        <w:t>Rossi P, Xavier E</w:t>
      </w:r>
      <w:r>
        <w:rPr>
          <w:rFonts w:ascii="Times New Roman" w:hAnsi="Times New Roman"/>
          <w:color w:val="000000" w:themeColor="text1"/>
          <w:sz w:val="24"/>
          <w:szCs w:val="24"/>
        </w:rPr>
        <w:t>G</w:t>
      </w:r>
      <w:r w:rsidRPr="0026660E">
        <w:rPr>
          <w:rFonts w:ascii="Times New Roman" w:hAnsi="Times New Roman"/>
          <w:color w:val="000000" w:themeColor="text1"/>
          <w:sz w:val="24"/>
          <w:szCs w:val="24"/>
        </w:rPr>
        <w:t>, Rutz F</w:t>
      </w:r>
      <w:r w:rsidR="00E56F93" w:rsidRPr="0026660E">
        <w:rPr>
          <w:rFonts w:ascii="Times New Roman" w:hAnsi="Times New Roman"/>
          <w:color w:val="000000" w:themeColor="text1"/>
          <w:sz w:val="24"/>
          <w:szCs w:val="24"/>
        </w:rPr>
        <w:t>. Nucleotídeos na nutrição animal. R. Bras. Agrociências</w:t>
      </w:r>
      <w:r w:rsidR="00E56F93">
        <w:rPr>
          <w:rFonts w:ascii="Times New Roman" w:hAnsi="Times New Roman"/>
          <w:color w:val="000000" w:themeColor="text1"/>
          <w:sz w:val="24"/>
          <w:szCs w:val="24"/>
        </w:rPr>
        <w:t xml:space="preserve">. 2007, </w:t>
      </w:r>
      <w:r w:rsidR="00E56F93" w:rsidRPr="0026660E">
        <w:rPr>
          <w:rFonts w:ascii="Times New Roman" w:hAnsi="Times New Roman"/>
          <w:color w:val="000000" w:themeColor="text1"/>
          <w:sz w:val="24"/>
          <w:szCs w:val="24"/>
        </w:rPr>
        <w:t>13</w:t>
      </w:r>
      <w:r w:rsidR="00E56F93">
        <w:rPr>
          <w:rFonts w:ascii="Times New Roman" w:hAnsi="Times New Roman"/>
          <w:color w:val="000000" w:themeColor="text1"/>
          <w:sz w:val="24"/>
          <w:szCs w:val="24"/>
        </w:rPr>
        <w:t xml:space="preserve"> (</w:t>
      </w:r>
      <w:r w:rsidR="00E56F93" w:rsidRPr="0026660E">
        <w:rPr>
          <w:rFonts w:ascii="Times New Roman" w:hAnsi="Times New Roman"/>
          <w:color w:val="000000" w:themeColor="text1"/>
          <w:sz w:val="24"/>
          <w:szCs w:val="24"/>
        </w:rPr>
        <w:t>1</w:t>
      </w:r>
      <w:r w:rsidR="00E56F93">
        <w:rPr>
          <w:rFonts w:ascii="Times New Roman" w:hAnsi="Times New Roman"/>
          <w:color w:val="000000" w:themeColor="text1"/>
          <w:sz w:val="24"/>
          <w:szCs w:val="24"/>
        </w:rPr>
        <w:t>):</w:t>
      </w:r>
      <w:r w:rsidR="00E56F93" w:rsidRPr="0026660E">
        <w:rPr>
          <w:rFonts w:ascii="Times New Roman" w:hAnsi="Times New Roman"/>
          <w:color w:val="000000" w:themeColor="text1"/>
          <w:sz w:val="24"/>
          <w:szCs w:val="24"/>
        </w:rPr>
        <w:t xml:space="preserve"> 5-12.</w:t>
      </w:r>
    </w:p>
    <w:p w14:paraId="3062BB89" w14:textId="77777777" w:rsidR="00E56F93" w:rsidRPr="0026660E" w:rsidRDefault="00E56F93" w:rsidP="00E56F93">
      <w:pPr>
        <w:pStyle w:val="PargrafodaLista"/>
        <w:rPr>
          <w:rFonts w:ascii="Times New Roman" w:hAnsi="Times New Roman"/>
          <w:color w:val="000000" w:themeColor="text1"/>
          <w:sz w:val="24"/>
          <w:szCs w:val="24"/>
        </w:rPr>
      </w:pPr>
    </w:p>
    <w:p w14:paraId="56C150D5" w14:textId="2C13040E" w:rsidR="00E56F93" w:rsidRDefault="007467C8" w:rsidP="00E56F93">
      <w:pPr>
        <w:pStyle w:val="PargrafodaLista"/>
        <w:numPr>
          <w:ilvl w:val="0"/>
          <w:numId w:val="4"/>
        </w:numPr>
        <w:tabs>
          <w:tab w:val="left" w:pos="284"/>
          <w:tab w:val="left" w:pos="426"/>
        </w:tabs>
        <w:spacing w:after="0" w:line="360" w:lineRule="auto"/>
        <w:ind w:left="0" w:right="-1" w:firstLine="0"/>
        <w:jc w:val="both"/>
        <w:rPr>
          <w:rFonts w:ascii="Times New Roman" w:hAnsi="Times New Roman"/>
          <w:color w:val="000000" w:themeColor="text1"/>
          <w:sz w:val="24"/>
          <w:szCs w:val="24"/>
          <w:lang w:val="en-US"/>
        </w:rPr>
      </w:pPr>
      <w:r w:rsidRPr="0026660E">
        <w:rPr>
          <w:rFonts w:ascii="Times New Roman" w:hAnsi="Times New Roman"/>
          <w:color w:val="000000" w:themeColor="text1"/>
          <w:sz w:val="24"/>
          <w:szCs w:val="24"/>
          <w:lang w:val="en-US"/>
        </w:rPr>
        <w:t>Fanzani A, Conraads Vm, Penna F, Martinet W</w:t>
      </w:r>
      <w:r w:rsidR="00E56F93" w:rsidRPr="0026660E">
        <w:rPr>
          <w:rFonts w:ascii="Times New Roman" w:hAnsi="Times New Roman"/>
          <w:color w:val="000000" w:themeColor="text1"/>
          <w:sz w:val="24"/>
          <w:szCs w:val="24"/>
          <w:lang w:val="en-US"/>
        </w:rPr>
        <w:t>. Molecular and cellular mechanism of skeletal muscle atrophy: an update. J Cachexia Sarcopenia Muscle</w:t>
      </w:r>
      <w:r w:rsidR="00E56F93">
        <w:rPr>
          <w:rFonts w:ascii="Times New Roman" w:hAnsi="Times New Roman"/>
          <w:color w:val="000000" w:themeColor="text1"/>
          <w:sz w:val="24"/>
          <w:szCs w:val="24"/>
          <w:lang w:val="en-US"/>
        </w:rPr>
        <w:t>. 2012</w:t>
      </w:r>
      <w:r w:rsidR="00E56F93" w:rsidRPr="0026660E">
        <w:rPr>
          <w:rFonts w:ascii="Times New Roman" w:hAnsi="Times New Roman"/>
          <w:color w:val="000000" w:themeColor="text1"/>
          <w:sz w:val="24"/>
          <w:szCs w:val="24"/>
          <w:lang w:val="en-US"/>
        </w:rPr>
        <w:t>, 3</w:t>
      </w:r>
      <w:r w:rsidR="00E56F93">
        <w:rPr>
          <w:rFonts w:ascii="Times New Roman" w:hAnsi="Times New Roman"/>
          <w:color w:val="000000" w:themeColor="text1"/>
          <w:sz w:val="24"/>
          <w:szCs w:val="24"/>
          <w:lang w:val="en-US"/>
        </w:rPr>
        <w:t xml:space="preserve">: </w:t>
      </w:r>
      <w:r w:rsidR="00E56F93" w:rsidRPr="0026660E">
        <w:rPr>
          <w:rFonts w:ascii="Times New Roman" w:hAnsi="Times New Roman"/>
          <w:color w:val="000000" w:themeColor="text1"/>
          <w:sz w:val="24"/>
          <w:szCs w:val="24"/>
          <w:lang w:val="en-US"/>
        </w:rPr>
        <w:t xml:space="preserve">163-179. </w:t>
      </w:r>
    </w:p>
    <w:p w14:paraId="5146E1F4" w14:textId="77777777" w:rsidR="00E56F93" w:rsidRPr="0026660E" w:rsidRDefault="00E56F93" w:rsidP="00E56F93">
      <w:pPr>
        <w:pStyle w:val="PargrafodaLista"/>
        <w:rPr>
          <w:rFonts w:ascii="Times New Roman" w:hAnsi="Times New Roman"/>
          <w:color w:val="000000" w:themeColor="text1"/>
          <w:sz w:val="24"/>
          <w:szCs w:val="24"/>
          <w:lang w:val="en-US"/>
        </w:rPr>
      </w:pPr>
    </w:p>
    <w:p w14:paraId="27574108" w14:textId="7A003AAB" w:rsidR="00E56F93" w:rsidRDefault="007D38DF" w:rsidP="00E56F93">
      <w:pPr>
        <w:pStyle w:val="PargrafodaLista"/>
        <w:numPr>
          <w:ilvl w:val="0"/>
          <w:numId w:val="4"/>
        </w:numPr>
        <w:shd w:val="clear" w:color="auto" w:fill="FFFFFF"/>
        <w:tabs>
          <w:tab w:val="left" w:pos="426"/>
        </w:tabs>
        <w:spacing w:after="0" w:line="360" w:lineRule="auto"/>
        <w:ind w:left="0" w:firstLine="0"/>
        <w:jc w:val="both"/>
        <w:rPr>
          <w:rFonts w:ascii="Times New Roman" w:eastAsia="Times New Roman" w:hAnsi="Times New Roman"/>
          <w:color w:val="000000" w:themeColor="text1"/>
          <w:sz w:val="24"/>
          <w:szCs w:val="24"/>
          <w:lang w:eastAsia="pt-BR"/>
        </w:rPr>
      </w:pPr>
      <w:hyperlink r:id="rId15" w:history="1">
        <w:r w:rsidR="00E31391">
          <w:rPr>
            <w:rFonts w:ascii="Times New Roman" w:eastAsia="Times New Roman" w:hAnsi="Times New Roman"/>
            <w:color w:val="000000" w:themeColor="text1"/>
            <w:sz w:val="24"/>
            <w:szCs w:val="24"/>
            <w:lang w:eastAsia="pt-BR"/>
          </w:rPr>
          <w:t>P</w:t>
        </w:r>
      </w:hyperlink>
      <w:r w:rsidR="00E31391" w:rsidRPr="0026660E">
        <w:rPr>
          <w:rFonts w:ascii="Times New Roman" w:eastAsia="Times New Roman" w:hAnsi="Times New Roman"/>
          <w:color w:val="000000" w:themeColor="text1"/>
          <w:sz w:val="24"/>
          <w:szCs w:val="24"/>
          <w:lang w:eastAsia="pt-BR"/>
        </w:rPr>
        <w:t>, </w:t>
      </w:r>
      <w:hyperlink r:id="rId16" w:history="1">
        <w:r w:rsidR="00E31391" w:rsidRPr="0026660E">
          <w:rPr>
            <w:rFonts w:ascii="Times New Roman" w:eastAsia="Times New Roman" w:hAnsi="Times New Roman"/>
            <w:color w:val="000000" w:themeColor="text1"/>
            <w:sz w:val="24"/>
            <w:szCs w:val="24"/>
            <w:lang w:eastAsia="pt-BR"/>
          </w:rPr>
          <w:t>Wang D</w:t>
        </w:r>
        <w:r w:rsidR="00E31391">
          <w:rPr>
            <w:rFonts w:ascii="Times New Roman" w:eastAsia="Times New Roman" w:hAnsi="Times New Roman"/>
            <w:color w:val="000000" w:themeColor="text1"/>
            <w:sz w:val="24"/>
            <w:szCs w:val="24"/>
            <w:lang w:eastAsia="pt-BR"/>
          </w:rPr>
          <w:t>Z</w:t>
        </w:r>
      </w:hyperlink>
      <w:r w:rsidR="00E56F93" w:rsidRPr="0026660E">
        <w:rPr>
          <w:rFonts w:ascii="Times New Roman" w:eastAsia="Times New Roman" w:hAnsi="Times New Roman"/>
          <w:color w:val="000000" w:themeColor="text1"/>
          <w:sz w:val="24"/>
          <w:szCs w:val="24"/>
          <w:lang w:eastAsia="pt-BR"/>
        </w:rPr>
        <w:t>.</w:t>
      </w:r>
      <w:r w:rsidR="00E56F93" w:rsidRPr="0026660E">
        <w:rPr>
          <w:rFonts w:ascii="Times New Roman" w:eastAsia="Times New Roman" w:hAnsi="Times New Roman"/>
          <w:bCs/>
          <w:color w:val="000000" w:themeColor="text1"/>
          <w:kern w:val="36"/>
          <w:sz w:val="24"/>
          <w:szCs w:val="24"/>
          <w:lang w:eastAsia="pt-BR"/>
        </w:rPr>
        <w:t xml:space="preserve"> Regulation of Skeletal Muscle by microRNAs. </w:t>
      </w:r>
      <w:hyperlink r:id="rId17" w:tooltip="Comprehensive Physiology." w:history="1">
        <w:r w:rsidR="00E56F93" w:rsidRPr="0026660E">
          <w:rPr>
            <w:rFonts w:ascii="Times New Roman" w:eastAsia="Times New Roman" w:hAnsi="Times New Roman"/>
            <w:color w:val="000000" w:themeColor="text1"/>
            <w:sz w:val="24"/>
            <w:szCs w:val="24"/>
            <w:lang w:eastAsia="pt-BR"/>
          </w:rPr>
          <w:t>Compr Physiol</w:t>
        </w:r>
        <w:r w:rsidR="00E31391">
          <w:rPr>
            <w:rFonts w:ascii="Times New Roman" w:eastAsia="Times New Roman" w:hAnsi="Times New Roman"/>
            <w:color w:val="000000" w:themeColor="text1"/>
            <w:sz w:val="24"/>
            <w:szCs w:val="24"/>
            <w:lang w:eastAsia="pt-BR"/>
          </w:rPr>
          <w:t>. 2016</w:t>
        </w:r>
        <w:r w:rsidR="00E56F93" w:rsidRPr="0026660E">
          <w:rPr>
            <w:rFonts w:ascii="Times New Roman" w:eastAsia="Times New Roman" w:hAnsi="Times New Roman"/>
            <w:color w:val="000000" w:themeColor="text1"/>
            <w:sz w:val="24"/>
            <w:szCs w:val="24"/>
            <w:lang w:eastAsia="pt-BR"/>
          </w:rPr>
          <w:t xml:space="preserve">, </w:t>
        </w:r>
      </w:hyperlink>
      <w:r w:rsidR="00E56F93" w:rsidRPr="0026660E">
        <w:rPr>
          <w:rFonts w:ascii="Times New Roman" w:eastAsia="Times New Roman" w:hAnsi="Times New Roman"/>
          <w:color w:val="000000" w:themeColor="text1"/>
          <w:sz w:val="24"/>
          <w:szCs w:val="24"/>
          <w:lang w:eastAsia="pt-BR"/>
        </w:rPr>
        <w:t>13</w:t>
      </w:r>
      <w:r w:rsidR="00E31391">
        <w:rPr>
          <w:rFonts w:ascii="Times New Roman" w:eastAsia="Times New Roman" w:hAnsi="Times New Roman"/>
          <w:color w:val="000000" w:themeColor="text1"/>
          <w:sz w:val="24"/>
          <w:szCs w:val="24"/>
          <w:lang w:eastAsia="pt-BR"/>
        </w:rPr>
        <w:t xml:space="preserve"> (</w:t>
      </w:r>
      <w:r w:rsidR="00E56F93" w:rsidRPr="0026660E">
        <w:rPr>
          <w:rFonts w:ascii="Times New Roman" w:eastAsia="Times New Roman" w:hAnsi="Times New Roman"/>
          <w:color w:val="000000" w:themeColor="text1"/>
          <w:sz w:val="24"/>
          <w:szCs w:val="24"/>
          <w:lang w:eastAsia="pt-BR"/>
        </w:rPr>
        <w:t>6</w:t>
      </w:r>
      <w:r w:rsidR="00E31391">
        <w:rPr>
          <w:rFonts w:ascii="Times New Roman" w:eastAsia="Times New Roman" w:hAnsi="Times New Roman"/>
          <w:color w:val="000000" w:themeColor="text1"/>
          <w:sz w:val="24"/>
          <w:szCs w:val="24"/>
          <w:lang w:eastAsia="pt-BR"/>
        </w:rPr>
        <w:t>):</w:t>
      </w:r>
      <w:r w:rsidR="00E56F93" w:rsidRPr="0026660E">
        <w:rPr>
          <w:rFonts w:ascii="Times New Roman" w:eastAsia="Times New Roman" w:hAnsi="Times New Roman"/>
          <w:color w:val="000000" w:themeColor="text1"/>
          <w:sz w:val="24"/>
          <w:szCs w:val="24"/>
          <w:lang w:eastAsia="pt-BR"/>
        </w:rPr>
        <w:t xml:space="preserve"> 279-294.</w:t>
      </w:r>
    </w:p>
    <w:p w14:paraId="59669F41" w14:textId="77777777" w:rsidR="00E56F93" w:rsidRPr="0026660E" w:rsidRDefault="00E56F93" w:rsidP="00E56F93">
      <w:pPr>
        <w:pStyle w:val="PargrafodaLista"/>
        <w:tabs>
          <w:tab w:val="left" w:pos="284"/>
        </w:tabs>
        <w:ind w:left="0"/>
        <w:rPr>
          <w:rFonts w:ascii="Times New Roman" w:eastAsia="Times New Roman" w:hAnsi="Times New Roman"/>
          <w:color w:val="000000" w:themeColor="text1"/>
          <w:sz w:val="24"/>
          <w:szCs w:val="24"/>
          <w:lang w:eastAsia="pt-BR"/>
        </w:rPr>
      </w:pPr>
    </w:p>
    <w:p w14:paraId="50F8682A" w14:textId="457206B3" w:rsidR="00E56F93" w:rsidRDefault="007D38DF" w:rsidP="00E56F93">
      <w:pPr>
        <w:pStyle w:val="PargrafodaLista"/>
        <w:numPr>
          <w:ilvl w:val="0"/>
          <w:numId w:val="4"/>
        </w:numPr>
        <w:shd w:val="clear" w:color="auto" w:fill="FFFFFF"/>
        <w:tabs>
          <w:tab w:val="left" w:pos="284"/>
          <w:tab w:val="left" w:pos="426"/>
        </w:tabs>
        <w:spacing w:line="360" w:lineRule="auto"/>
        <w:ind w:left="0" w:right="-1" w:firstLine="0"/>
        <w:jc w:val="both"/>
        <w:rPr>
          <w:rFonts w:ascii="Times New Roman" w:hAnsi="Times New Roman"/>
          <w:color w:val="000000" w:themeColor="text1"/>
          <w:sz w:val="24"/>
          <w:szCs w:val="24"/>
          <w:lang w:val="en-US"/>
        </w:rPr>
      </w:pPr>
      <w:hyperlink r:id="rId18" w:history="1">
        <w:r w:rsidR="00241D76" w:rsidRPr="0026660E">
          <w:rPr>
            <w:rStyle w:val="Hyperlink"/>
            <w:rFonts w:ascii="Times New Roman" w:hAnsi="Times New Roman"/>
            <w:color w:val="000000" w:themeColor="text1"/>
            <w:sz w:val="24"/>
            <w:szCs w:val="24"/>
            <w:u w:val="none"/>
            <w:lang w:val="en-US"/>
          </w:rPr>
          <w:t>Newton A</w:t>
        </w:r>
        <w:r w:rsidR="00241D76">
          <w:rPr>
            <w:rStyle w:val="Hyperlink"/>
            <w:rFonts w:ascii="Times New Roman" w:hAnsi="Times New Roman"/>
            <w:color w:val="000000" w:themeColor="text1"/>
            <w:sz w:val="24"/>
            <w:szCs w:val="24"/>
            <w:u w:val="none"/>
            <w:lang w:val="en-US"/>
          </w:rPr>
          <w:t>C</w:t>
        </w:r>
      </w:hyperlink>
      <w:r w:rsidR="00241D76" w:rsidRPr="0026660E">
        <w:rPr>
          <w:rFonts w:ascii="Times New Roman" w:hAnsi="Times New Roman"/>
          <w:color w:val="000000" w:themeColor="text1"/>
          <w:sz w:val="24"/>
          <w:szCs w:val="24"/>
          <w:lang w:val="en-US"/>
        </w:rPr>
        <w:t>,</w:t>
      </w:r>
      <w:r w:rsidR="00241D76" w:rsidRPr="0026660E">
        <w:rPr>
          <w:rStyle w:val="apple-converted-space"/>
          <w:rFonts w:ascii="Times New Roman" w:hAnsi="Times New Roman"/>
          <w:color w:val="000000" w:themeColor="text1"/>
          <w:sz w:val="24"/>
          <w:szCs w:val="24"/>
          <w:lang w:val="en-US"/>
        </w:rPr>
        <w:t> </w:t>
      </w:r>
      <w:hyperlink r:id="rId19" w:history="1">
        <w:r w:rsidR="00241D76" w:rsidRPr="0026660E">
          <w:rPr>
            <w:rStyle w:val="Hyperlink"/>
            <w:rFonts w:ascii="Times New Roman" w:hAnsi="Times New Roman"/>
            <w:color w:val="000000" w:themeColor="text1"/>
            <w:sz w:val="24"/>
            <w:szCs w:val="24"/>
            <w:u w:val="none"/>
            <w:lang w:val="en-US"/>
          </w:rPr>
          <w:t>Bootman M</w:t>
        </w:r>
        <w:r w:rsidR="00241D76">
          <w:rPr>
            <w:rStyle w:val="Hyperlink"/>
            <w:rFonts w:ascii="Times New Roman" w:hAnsi="Times New Roman"/>
            <w:color w:val="000000" w:themeColor="text1"/>
            <w:sz w:val="24"/>
            <w:szCs w:val="24"/>
            <w:u w:val="none"/>
            <w:lang w:val="en-US"/>
          </w:rPr>
          <w:t>D</w:t>
        </w:r>
      </w:hyperlink>
      <w:r w:rsidR="00241D76" w:rsidRPr="0026660E">
        <w:rPr>
          <w:rFonts w:ascii="Times New Roman" w:hAnsi="Times New Roman"/>
          <w:color w:val="000000" w:themeColor="text1"/>
          <w:sz w:val="24"/>
          <w:szCs w:val="24"/>
          <w:lang w:val="en-US"/>
        </w:rPr>
        <w:t>,</w:t>
      </w:r>
      <w:r w:rsidR="00241D76" w:rsidRPr="0026660E">
        <w:rPr>
          <w:rStyle w:val="apple-converted-space"/>
          <w:rFonts w:ascii="Times New Roman" w:hAnsi="Times New Roman"/>
          <w:color w:val="000000" w:themeColor="text1"/>
          <w:sz w:val="24"/>
          <w:szCs w:val="24"/>
          <w:lang w:val="en-US"/>
        </w:rPr>
        <w:t> </w:t>
      </w:r>
      <w:hyperlink r:id="rId20" w:history="1">
        <w:r w:rsidR="00241D76" w:rsidRPr="0026660E">
          <w:rPr>
            <w:rStyle w:val="Hyperlink"/>
            <w:rFonts w:ascii="Times New Roman" w:hAnsi="Times New Roman"/>
            <w:color w:val="000000" w:themeColor="text1"/>
            <w:sz w:val="24"/>
            <w:szCs w:val="24"/>
            <w:u w:val="none"/>
            <w:lang w:val="en-US"/>
          </w:rPr>
          <w:t>Scott J</w:t>
        </w:r>
        <w:r w:rsidR="00241D76">
          <w:rPr>
            <w:rStyle w:val="Hyperlink"/>
            <w:rFonts w:ascii="Times New Roman" w:hAnsi="Times New Roman"/>
            <w:color w:val="000000" w:themeColor="text1"/>
            <w:sz w:val="24"/>
            <w:szCs w:val="24"/>
            <w:u w:val="none"/>
            <w:lang w:val="en-US"/>
          </w:rPr>
          <w:t>D</w:t>
        </w:r>
      </w:hyperlink>
      <w:r w:rsidR="00E56F93" w:rsidRPr="0026660E">
        <w:rPr>
          <w:rFonts w:ascii="Times New Roman" w:hAnsi="Times New Roman"/>
          <w:color w:val="000000" w:themeColor="text1"/>
          <w:sz w:val="24"/>
          <w:szCs w:val="24"/>
          <w:lang w:val="en-US"/>
        </w:rPr>
        <w:t xml:space="preserve">. Second Messengers. </w:t>
      </w:r>
      <w:hyperlink r:id="rId21" w:tooltip="Cold Spring Harbor perspectives in biology." w:history="1">
        <w:r w:rsidR="00E56F93" w:rsidRPr="0026660E">
          <w:rPr>
            <w:rStyle w:val="Hyperlink"/>
            <w:rFonts w:ascii="Times New Roman" w:hAnsi="Times New Roman"/>
            <w:color w:val="000000" w:themeColor="text1"/>
            <w:sz w:val="24"/>
            <w:szCs w:val="24"/>
            <w:u w:val="none"/>
            <w:lang w:val="en-US"/>
          </w:rPr>
          <w:t>Cold Spring Harb Perspective Biol</w:t>
        </w:r>
        <w:r w:rsidR="00E56F93">
          <w:rPr>
            <w:rStyle w:val="Hyperlink"/>
            <w:rFonts w:ascii="Times New Roman" w:hAnsi="Times New Roman"/>
            <w:color w:val="000000" w:themeColor="text1"/>
            <w:sz w:val="24"/>
            <w:szCs w:val="24"/>
            <w:u w:val="none"/>
            <w:lang w:val="en-US"/>
          </w:rPr>
          <w:t>. 2016</w:t>
        </w:r>
        <w:r w:rsidR="00E56F93" w:rsidRPr="0026660E">
          <w:rPr>
            <w:rStyle w:val="Hyperlink"/>
            <w:rFonts w:ascii="Times New Roman" w:hAnsi="Times New Roman"/>
            <w:color w:val="000000" w:themeColor="text1"/>
            <w:sz w:val="24"/>
            <w:szCs w:val="24"/>
            <w:u w:val="none"/>
            <w:lang w:val="en-US"/>
          </w:rPr>
          <w:t>, 8</w:t>
        </w:r>
        <w:r w:rsidR="00E56F93">
          <w:rPr>
            <w:rStyle w:val="Hyperlink"/>
            <w:rFonts w:ascii="Times New Roman" w:hAnsi="Times New Roman"/>
            <w:color w:val="000000" w:themeColor="text1"/>
            <w:sz w:val="24"/>
            <w:szCs w:val="24"/>
            <w:u w:val="none"/>
            <w:lang w:val="en-US"/>
          </w:rPr>
          <w:t xml:space="preserve"> (</w:t>
        </w:r>
        <w:r w:rsidR="00E56F93" w:rsidRPr="0026660E">
          <w:rPr>
            <w:rStyle w:val="Hyperlink"/>
            <w:rFonts w:ascii="Times New Roman" w:hAnsi="Times New Roman"/>
            <w:color w:val="000000" w:themeColor="text1"/>
            <w:sz w:val="24"/>
            <w:szCs w:val="24"/>
            <w:u w:val="none"/>
            <w:lang w:val="en-US"/>
          </w:rPr>
          <w:t>8</w:t>
        </w:r>
        <w:r w:rsidR="00E56F93">
          <w:rPr>
            <w:rStyle w:val="Hyperlink"/>
            <w:rFonts w:ascii="Times New Roman" w:hAnsi="Times New Roman"/>
            <w:color w:val="000000" w:themeColor="text1"/>
            <w:sz w:val="24"/>
            <w:szCs w:val="24"/>
            <w:u w:val="none"/>
            <w:lang w:val="en-US"/>
          </w:rPr>
          <w:t>): 1-14</w:t>
        </w:r>
      </w:hyperlink>
      <w:r w:rsidR="00E56F93" w:rsidRPr="0026660E">
        <w:rPr>
          <w:rFonts w:ascii="Times New Roman" w:hAnsi="Times New Roman"/>
          <w:color w:val="000000" w:themeColor="text1"/>
          <w:sz w:val="24"/>
          <w:szCs w:val="24"/>
          <w:lang w:val="en-US"/>
        </w:rPr>
        <w:t>.</w:t>
      </w:r>
    </w:p>
    <w:p w14:paraId="64C0EE25" w14:textId="77777777" w:rsidR="00E56F93" w:rsidRPr="0026660E" w:rsidRDefault="00E56F93" w:rsidP="00E56F93">
      <w:pPr>
        <w:pStyle w:val="PargrafodaLista"/>
        <w:rPr>
          <w:rFonts w:ascii="Times New Roman" w:hAnsi="Times New Roman"/>
          <w:color w:val="000000" w:themeColor="text1"/>
          <w:sz w:val="24"/>
          <w:szCs w:val="24"/>
          <w:lang w:val="en-US"/>
        </w:rPr>
      </w:pPr>
    </w:p>
    <w:p w14:paraId="587CE7F1" w14:textId="17A8E9DE" w:rsidR="00E56F93" w:rsidRPr="0026660E" w:rsidRDefault="007D38DF" w:rsidP="00E56F93">
      <w:pPr>
        <w:pStyle w:val="PargrafodaLista"/>
        <w:numPr>
          <w:ilvl w:val="0"/>
          <w:numId w:val="4"/>
        </w:numPr>
        <w:shd w:val="clear" w:color="auto" w:fill="FFFFFF"/>
        <w:tabs>
          <w:tab w:val="left" w:pos="426"/>
        </w:tabs>
        <w:spacing w:before="120" w:after="120" w:line="360" w:lineRule="auto"/>
        <w:ind w:left="0" w:firstLine="0"/>
        <w:jc w:val="both"/>
        <w:outlineLvl w:val="0"/>
        <w:rPr>
          <w:rFonts w:ascii="Times New Roman" w:eastAsia="Times New Roman" w:hAnsi="Times New Roman"/>
          <w:color w:val="000000" w:themeColor="text1"/>
          <w:sz w:val="24"/>
          <w:szCs w:val="24"/>
          <w:lang w:eastAsia="pt-BR"/>
        </w:rPr>
      </w:pPr>
      <w:hyperlink r:id="rId22" w:history="1">
        <w:r w:rsidR="00E56F93" w:rsidRPr="0026660E">
          <w:rPr>
            <w:rFonts w:ascii="Times New Roman" w:eastAsia="Times New Roman" w:hAnsi="Times New Roman"/>
            <w:color w:val="000000" w:themeColor="text1"/>
            <w:sz w:val="24"/>
            <w:szCs w:val="24"/>
            <w:lang w:eastAsia="pt-BR"/>
          </w:rPr>
          <w:t>Ø</w:t>
        </w:r>
        <w:r w:rsidR="00241D76" w:rsidRPr="0026660E">
          <w:rPr>
            <w:rFonts w:ascii="Times New Roman" w:eastAsia="Times New Roman" w:hAnsi="Times New Roman"/>
            <w:color w:val="000000" w:themeColor="text1"/>
            <w:sz w:val="24"/>
            <w:szCs w:val="24"/>
            <w:lang w:eastAsia="pt-BR"/>
          </w:rPr>
          <w:t>rtenblad</w:t>
        </w:r>
        <w:r w:rsidR="00E56F93" w:rsidRPr="0026660E">
          <w:rPr>
            <w:rFonts w:ascii="Times New Roman" w:eastAsia="Times New Roman" w:hAnsi="Times New Roman"/>
            <w:color w:val="000000" w:themeColor="text1"/>
            <w:sz w:val="24"/>
            <w:szCs w:val="24"/>
            <w:lang w:eastAsia="pt-BR"/>
          </w:rPr>
          <w:t xml:space="preserve"> N</w:t>
        </w:r>
      </w:hyperlink>
      <w:r w:rsidR="00E56F93" w:rsidRPr="0026660E">
        <w:rPr>
          <w:rFonts w:ascii="Times New Roman" w:eastAsia="Times New Roman" w:hAnsi="Times New Roman"/>
          <w:color w:val="000000" w:themeColor="text1"/>
          <w:sz w:val="24"/>
          <w:szCs w:val="24"/>
          <w:lang w:eastAsia="pt-BR"/>
        </w:rPr>
        <w:t>, </w:t>
      </w:r>
      <w:hyperlink r:id="rId23" w:history="1">
        <w:r w:rsidR="00E56F93" w:rsidRPr="0026660E">
          <w:rPr>
            <w:rFonts w:ascii="Times New Roman" w:eastAsia="Times New Roman" w:hAnsi="Times New Roman"/>
            <w:color w:val="000000" w:themeColor="text1"/>
            <w:sz w:val="24"/>
            <w:szCs w:val="24"/>
            <w:lang w:eastAsia="pt-BR"/>
          </w:rPr>
          <w:t>N</w:t>
        </w:r>
        <w:r w:rsidR="00241D76" w:rsidRPr="0026660E">
          <w:rPr>
            <w:rFonts w:ascii="Times New Roman" w:eastAsia="Times New Roman" w:hAnsi="Times New Roman"/>
            <w:color w:val="000000" w:themeColor="text1"/>
            <w:sz w:val="24"/>
            <w:szCs w:val="24"/>
            <w:lang w:eastAsia="pt-BR"/>
          </w:rPr>
          <w:t>ielsen</w:t>
        </w:r>
        <w:r w:rsidR="00E56F93" w:rsidRPr="0026660E">
          <w:rPr>
            <w:rFonts w:ascii="Times New Roman" w:eastAsia="Times New Roman" w:hAnsi="Times New Roman"/>
            <w:color w:val="000000" w:themeColor="text1"/>
            <w:sz w:val="24"/>
            <w:szCs w:val="24"/>
            <w:lang w:eastAsia="pt-BR"/>
          </w:rPr>
          <w:t xml:space="preserve"> J</w:t>
        </w:r>
      </w:hyperlink>
      <w:r w:rsidR="00E56F93" w:rsidRPr="0026660E">
        <w:rPr>
          <w:rFonts w:ascii="Times New Roman" w:eastAsia="Times New Roman" w:hAnsi="Times New Roman"/>
          <w:color w:val="000000" w:themeColor="text1"/>
          <w:sz w:val="24"/>
          <w:szCs w:val="24"/>
          <w:lang w:eastAsia="pt-BR"/>
        </w:rPr>
        <w:t xml:space="preserve">. </w:t>
      </w:r>
      <w:r w:rsidR="00E56F93" w:rsidRPr="0026660E">
        <w:rPr>
          <w:rFonts w:ascii="Times New Roman" w:eastAsia="Times New Roman" w:hAnsi="Times New Roman"/>
          <w:bCs/>
          <w:color w:val="000000" w:themeColor="text1"/>
          <w:kern w:val="36"/>
          <w:sz w:val="24"/>
          <w:szCs w:val="24"/>
          <w:lang w:eastAsia="pt-BR"/>
        </w:rPr>
        <w:t>Muscle glycogen and cell function--Location, location, location.</w:t>
      </w:r>
      <w:r w:rsidR="00E56F93" w:rsidRPr="0026660E">
        <w:rPr>
          <w:rFonts w:ascii="Times New Roman" w:eastAsia="Times New Roman" w:hAnsi="Times New Roman"/>
          <w:color w:val="000000" w:themeColor="text1"/>
          <w:sz w:val="24"/>
          <w:szCs w:val="24"/>
          <w:lang w:eastAsia="pt-BR"/>
        </w:rPr>
        <w:t xml:space="preserve"> </w:t>
      </w:r>
      <w:r w:rsidR="00E56F93">
        <w:rPr>
          <w:rFonts w:ascii="Times New Roman" w:eastAsia="Times New Roman" w:hAnsi="Times New Roman"/>
          <w:color w:val="000000" w:themeColor="text1"/>
          <w:sz w:val="24"/>
          <w:szCs w:val="24"/>
          <w:lang w:eastAsia="pt-BR"/>
        </w:rPr>
        <w:t xml:space="preserve">2015, </w:t>
      </w:r>
      <w:r w:rsidR="00E56F93" w:rsidRPr="0026660E">
        <w:rPr>
          <w:rFonts w:ascii="Times New Roman" w:eastAsia="Times New Roman" w:hAnsi="Times New Roman"/>
          <w:color w:val="000000" w:themeColor="text1"/>
          <w:sz w:val="24"/>
          <w:szCs w:val="24"/>
          <w:lang w:eastAsia="pt-BR"/>
        </w:rPr>
        <w:t>25</w:t>
      </w:r>
      <w:r w:rsidR="00E56F93">
        <w:rPr>
          <w:rFonts w:ascii="Times New Roman" w:eastAsia="Times New Roman" w:hAnsi="Times New Roman"/>
          <w:color w:val="000000" w:themeColor="text1"/>
          <w:sz w:val="24"/>
          <w:szCs w:val="24"/>
          <w:lang w:eastAsia="pt-BR"/>
        </w:rPr>
        <w:t xml:space="preserve"> (</w:t>
      </w:r>
      <w:r w:rsidR="00E56F93" w:rsidRPr="0026660E">
        <w:rPr>
          <w:rFonts w:ascii="Times New Roman" w:eastAsia="Times New Roman" w:hAnsi="Times New Roman"/>
          <w:color w:val="000000" w:themeColor="text1"/>
          <w:sz w:val="24"/>
          <w:szCs w:val="24"/>
          <w:lang w:eastAsia="pt-BR"/>
        </w:rPr>
        <w:t>Suppl 4</w:t>
      </w:r>
      <w:r w:rsidR="00E56F93">
        <w:rPr>
          <w:rFonts w:ascii="Times New Roman" w:eastAsia="Times New Roman" w:hAnsi="Times New Roman"/>
          <w:color w:val="000000" w:themeColor="text1"/>
          <w:sz w:val="24"/>
          <w:szCs w:val="24"/>
          <w:lang w:eastAsia="pt-BR"/>
        </w:rPr>
        <w:t>): 3</w:t>
      </w:r>
      <w:r w:rsidR="00E56F93" w:rsidRPr="0026660E">
        <w:rPr>
          <w:rFonts w:ascii="Times New Roman" w:eastAsia="Times New Roman" w:hAnsi="Times New Roman"/>
          <w:color w:val="000000" w:themeColor="text1"/>
          <w:sz w:val="24"/>
          <w:szCs w:val="24"/>
          <w:lang w:eastAsia="pt-BR"/>
        </w:rPr>
        <w:t>4-40.</w:t>
      </w:r>
    </w:p>
    <w:p w14:paraId="03331037" w14:textId="77777777" w:rsidR="005E0A55" w:rsidRPr="009F6463" w:rsidRDefault="005E0A55" w:rsidP="009F6463">
      <w:pPr>
        <w:spacing w:after="0" w:line="360" w:lineRule="auto"/>
        <w:jc w:val="both"/>
        <w:rPr>
          <w:rFonts w:ascii="Times New Roman" w:hAnsi="Times New Roman"/>
          <w:b/>
          <w:color w:val="000000" w:themeColor="text1"/>
          <w:sz w:val="24"/>
          <w:szCs w:val="24"/>
        </w:rPr>
      </w:pPr>
    </w:p>
    <w:sectPr w:rsidR="005E0A55" w:rsidRPr="009F6463" w:rsidSect="009F646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2EEA"/>
    <w:multiLevelType w:val="hybridMultilevel"/>
    <w:tmpl w:val="10A2862A"/>
    <w:lvl w:ilvl="0" w:tplc="66100390">
      <w:start w:val="1"/>
      <w:numFmt w:val="decimal"/>
      <w:lvlText w:val="%1."/>
      <w:lvlJc w:val="left"/>
      <w:pPr>
        <w:ind w:left="360" w:hanging="360"/>
      </w:pPr>
      <w:rPr>
        <w:rFonts w:hint="default"/>
        <w:i w:val="0"/>
        <w:iCs w:val="0"/>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 w15:restartNumberingAfterBreak="0">
    <w:nsid w:val="35CF0BD7"/>
    <w:multiLevelType w:val="hybridMultilevel"/>
    <w:tmpl w:val="BD6EB2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5B17704"/>
    <w:multiLevelType w:val="hybridMultilevel"/>
    <w:tmpl w:val="FCD05D82"/>
    <w:lvl w:ilvl="0" w:tplc="D12E6AE2">
      <w:start w:val="3"/>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 w15:restartNumberingAfterBreak="0">
    <w:nsid w:val="6AA80BFF"/>
    <w:multiLevelType w:val="hybridMultilevel"/>
    <w:tmpl w:val="D69E0AEC"/>
    <w:lvl w:ilvl="0" w:tplc="08F05DB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6" w:nlCheck="1" w:checkStyle="1"/>
  <w:activeWritingStyle w:appName="MSWord" w:lang="es-E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CE"/>
    <w:rsid w:val="00005BA0"/>
    <w:rsid w:val="00016FCE"/>
    <w:rsid w:val="00027327"/>
    <w:rsid w:val="00032414"/>
    <w:rsid w:val="0004228C"/>
    <w:rsid w:val="000478BD"/>
    <w:rsid w:val="00054F23"/>
    <w:rsid w:val="000707F7"/>
    <w:rsid w:val="00070C3E"/>
    <w:rsid w:val="00075767"/>
    <w:rsid w:val="00077F52"/>
    <w:rsid w:val="00085736"/>
    <w:rsid w:val="00087EB6"/>
    <w:rsid w:val="0009195D"/>
    <w:rsid w:val="00092BEC"/>
    <w:rsid w:val="00095885"/>
    <w:rsid w:val="000A550B"/>
    <w:rsid w:val="000B172B"/>
    <w:rsid w:val="000D6ECF"/>
    <w:rsid w:val="000D795F"/>
    <w:rsid w:val="000E48F4"/>
    <w:rsid w:val="000F0E76"/>
    <w:rsid w:val="00105EDF"/>
    <w:rsid w:val="00111BBB"/>
    <w:rsid w:val="00113795"/>
    <w:rsid w:val="00114ED3"/>
    <w:rsid w:val="00123CD2"/>
    <w:rsid w:val="00124901"/>
    <w:rsid w:val="00136281"/>
    <w:rsid w:val="00143CB3"/>
    <w:rsid w:val="001443A3"/>
    <w:rsid w:val="00145D28"/>
    <w:rsid w:val="00151618"/>
    <w:rsid w:val="00162EDD"/>
    <w:rsid w:val="001630F3"/>
    <w:rsid w:val="00164131"/>
    <w:rsid w:val="001658CC"/>
    <w:rsid w:val="0017315D"/>
    <w:rsid w:val="001751CD"/>
    <w:rsid w:val="001770BD"/>
    <w:rsid w:val="00184E33"/>
    <w:rsid w:val="00187B4E"/>
    <w:rsid w:val="0019103B"/>
    <w:rsid w:val="00195F67"/>
    <w:rsid w:val="001A09E1"/>
    <w:rsid w:val="001A1008"/>
    <w:rsid w:val="001A19C9"/>
    <w:rsid w:val="001A1CF3"/>
    <w:rsid w:val="001B08CE"/>
    <w:rsid w:val="001B337E"/>
    <w:rsid w:val="001D2E6D"/>
    <w:rsid w:val="001D46DA"/>
    <w:rsid w:val="001D519E"/>
    <w:rsid w:val="001F400D"/>
    <w:rsid w:val="00203D77"/>
    <w:rsid w:val="0022003F"/>
    <w:rsid w:val="00222D85"/>
    <w:rsid w:val="00241D76"/>
    <w:rsid w:val="002467E1"/>
    <w:rsid w:val="002509B7"/>
    <w:rsid w:val="002623D4"/>
    <w:rsid w:val="00265DBE"/>
    <w:rsid w:val="00265F19"/>
    <w:rsid w:val="0028313B"/>
    <w:rsid w:val="00284762"/>
    <w:rsid w:val="00286B44"/>
    <w:rsid w:val="00290362"/>
    <w:rsid w:val="0029198F"/>
    <w:rsid w:val="00296B27"/>
    <w:rsid w:val="002A0BD0"/>
    <w:rsid w:val="002A3718"/>
    <w:rsid w:val="002A7F1B"/>
    <w:rsid w:val="002B3B7A"/>
    <w:rsid w:val="002D4D46"/>
    <w:rsid w:val="002F1C74"/>
    <w:rsid w:val="002F4872"/>
    <w:rsid w:val="002F4A40"/>
    <w:rsid w:val="002F6720"/>
    <w:rsid w:val="00306EEC"/>
    <w:rsid w:val="00307B8E"/>
    <w:rsid w:val="0032122F"/>
    <w:rsid w:val="00331418"/>
    <w:rsid w:val="00331B3E"/>
    <w:rsid w:val="0035720B"/>
    <w:rsid w:val="00363573"/>
    <w:rsid w:val="00371081"/>
    <w:rsid w:val="003736F3"/>
    <w:rsid w:val="00374728"/>
    <w:rsid w:val="00381CD9"/>
    <w:rsid w:val="003A4295"/>
    <w:rsid w:val="003A48BB"/>
    <w:rsid w:val="003A718E"/>
    <w:rsid w:val="003B2D53"/>
    <w:rsid w:val="003C16F0"/>
    <w:rsid w:val="003E402A"/>
    <w:rsid w:val="003E45FD"/>
    <w:rsid w:val="003E7E7E"/>
    <w:rsid w:val="003F5C35"/>
    <w:rsid w:val="00416088"/>
    <w:rsid w:val="0042132B"/>
    <w:rsid w:val="0044669B"/>
    <w:rsid w:val="004512C6"/>
    <w:rsid w:val="004671C4"/>
    <w:rsid w:val="00471202"/>
    <w:rsid w:val="004760AC"/>
    <w:rsid w:val="004761BE"/>
    <w:rsid w:val="00477449"/>
    <w:rsid w:val="00481E37"/>
    <w:rsid w:val="00486AEF"/>
    <w:rsid w:val="00487078"/>
    <w:rsid w:val="004A251F"/>
    <w:rsid w:val="004A370E"/>
    <w:rsid w:val="004C6914"/>
    <w:rsid w:val="004D5ED0"/>
    <w:rsid w:val="004E0C5E"/>
    <w:rsid w:val="004E7853"/>
    <w:rsid w:val="004F47B3"/>
    <w:rsid w:val="004F4921"/>
    <w:rsid w:val="0050064A"/>
    <w:rsid w:val="00512A55"/>
    <w:rsid w:val="00513CCE"/>
    <w:rsid w:val="00531C0F"/>
    <w:rsid w:val="00534524"/>
    <w:rsid w:val="0053652C"/>
    <w:rsid w:val="005453E2"/>
    <w:rsid w:val="00546DD3"/>
    <w:rsid w:val="00547BBA"/>
    <w:rsid w:val="00551E03"/>
    <w:rsid w:val="00562ADA"/>
    <w:rsid w:val="005666E8"/>
    <w:rsid w:val="00575053"/>
    <w:rsid w:val="00576AD1"/>
    <w:rsid w:val="00581689"/>
    <w:rsid w:val="00594FEA"/>
    <w:rsid w:val="00597BDB"/>
    <w:rsid w:val="005B1E57"/>
    <w:rsid w:val="005B2603"/>
    <w:rsid w:val="005B2963"/>
    <w:rsid w:val="005C6B76"/>
    <w:rsid w:val="005D253B"/>
    <w:rsid w:val="005D47E2"/>
    <w:rsid w:val="005D4B60"/>
    <w:rsid w:val="005D7824"/>
    <w:rsid w:val="005D7F96"/>
    <w:rsid w:val="005E0A55"/>
    <w:rsid w:val="005E12DA"/>
    <w:rsid w:val="005E30B5"/>
    <w:rsid w:val="005F031E"/>
    <w:rsid w:val="00602440"/>
    <w:rsid w:val="006103ED"/>
    <w:rsid w:val="00611F3B"/>
    <w:rsid w:val="006208A0"/>
    <w:rsid w:val="0062134E"/>
    <w:rsid w:val="00626956"/>
    <w:rsid w:val="00642F6B"/>
    <w:rsid w:val="006452BC"/>
    <w:rsid w:val="00671679"/>
    <w:rsid w:val="006808EE"/>
    <w:rsid w:val="0068686D"/>
    <w:rsid w:val="00686B9D"/>
    <w:rsid w:val="00692A22"/>
    <w:rsid w:val="0069629F"/>
    <w:rsid w:val="006D09D5"/>
    <w:rsid w:val="006D174C"/>
    <w:rsid w:val="006E096F"/>
    <w:rsid w:val="006E184C"/>
    <w:rsid w:val="006E31F4"/>
    <w:rsid w:val="006F1B72"/>
    <w:rsid w:val="0070130D"/>
    <w:rsid w:val="007020FC"/>
    <w:rsid w:val="00711EA1"/>
    <w:rsid w:val="00723D52"/>
    <w:rsid w:val="00724455"/>
    <w:rsid w:val="00724717"/>
    <w:rsid w:val="00725005"/>
    <w:rsid w:val="00734842"/>
    <w:rsid w:val="007467C8"/>
    <w:rsid w:val="00746AFC"/>
    <w:rsid w:val="007470A3"/>
    <w:rsid w:val="00753294"/>
    <w:rsid w:val="007A5A90"/>
    <w:rsid w:val="007B2207"/>
    <w:rsid w:val="007B2AB5"/>
    <w:rsid w:val="007B4EEB"/>
    <w:rsid w:val="007C612E"/>
    <w:rsid w:val="007C6DEF"/>
    <w:rsid w:val="007D2298"/>
    <w:rsid w:val="007D4ACB"/>
    <w:rsid w:val="007E3824"/>
    <w:rsid w:val="007E613F"/>
    <w:rsid w:val="007F0DE2"/>
    <w:rsid w:val="007F3219"/>
    <w:rsid w:val="007F504A"/>
    <w:rsid w:val="00813B34"/>
    <w:rsid w:val="00820547"/>
    <w:rsid w:val="00821CF2"/>
    <w:rsid w:val="00827DE0"/>
    <w:rsid w:val="0084049B"/>
    <w:rsid w:val="0084123B"/>
    <w:rsid w:val="00842288"/>
    <w:rsid w:val="00845554"/>
    <w:rsid w:val="00847ACE"/>
    <w:rsid w:val="00853486"/>
    <w:rsid w:val="008549AC"/>
    <w:rsid w:val="0085708F"/>
    <w:rsid w:val="00861FC2"/>
    <w:rsid w:val="00864BFC"/>
    <w:rsid w:val="00866F47"/>
    <w:rsid w:val="00875BF8"/>
    <w:rsid w:val="008803D9"/>
    <w:rsid w:val="00880CFD"/>
    <w:rsid w:val="008820EF"/>
    <w:rsid w:val="00883A89"/>
    <w:rsid w:val="008840D3"/>
    <w:rsid w:val="00892D93"/>
    <w:rsid w:val="00892EC7"/>
    <w:rsid w:val="008A2374"/>
    <w:rsid w:val="008B097A"/>
    <w:rsid w:val="008B3933"/>
    <w:rsid w:val="008B5AD4"/>
    <w:rsid w:val="008C245C"/>
    <w:rsid w:val="008D1F47"/>
    <w:rsid w:val="008D42AD"/>
    <w:rsid w:val="008D532A"/>
    <w:rsid w:val="008E1D4C"/>
    <w:rsid w:val="008E4DF3"/>
    <w:rsid w:val="008E7C5C"/>
    <w:rsid w:val="008F6B38"/>
    <w:rsid w:val="00900B6D"/>
    <w:rsid w:val="009048EB"/>
    <w:rsid w:val="00907280"/>
    <w:rsid w:val="009127D1"/>
    <w:rsid w:val="009315A7"/>
    <w:rsid w:val="009369F5"/>
    <w:rsid w:val="00936E7E"/>
    <w:rsid w:val="009370EE"/>
    <w:rsid w:val="00937CB4"/>
    <w:rsid w:val="009507E5"/>
    <w:rsid w:val="00963798"/>
    <w:rsid w:val="00966618"/>
    <w:rsid w:val="009844A5"/>
    <w:rsid w:val="00994051"/>
    <w:rsid w:val="009C1D25"/>
    <w:rsid w:val="009E60C7"/>
    <w:rsid w:val="009E6CA7"/>
    <w:rsid w:val="009F08A4"/>
    <w:rsid w:val="009F6463"/>
    <w:rsid w:val="009F7EEA"/>
    <w:rsid w:val="00A026C0"/>
    <w:rsid w:val="00A06862"/>
    <w:rsid w:val="00A2197C"/>
    <w:rsid w:val="00A234F7"/>
    <w:rsid w:val="00A23913"/>
    <w:rsid w:val="00A4035E"/>
    <w:rsid w:val="00A407B6"/>
    <w:rsid w:val="00A420D8"/>
    <w:rsid w:val="00A431D5"/>
    <w:rsid w:val="00A45B70"/>
    <w:rsid w:val="00A54331"/>
    <w:rsid w:val="00A55D3E"/>
    <w:rsid w:val="00A70B13"/>
    <w:rsid w:val="00A80655"/>
    <w:rsid w:val="00A80F7D"/>
    <w:rsid w:val="00A91475"/>
    <w:rsid w:val="00A94BFB"/>
    <w:rsid w:val="00AA5A2A"/>
    <w:rsid w:val="00AA73D1"/>
    <w:rsid w:val="00AB6837"/>
    <w:rsid w:val="00AD06DD"/>
    <w:rsid w:val="00AD2A2B"/>
    <w:rsid w:val="00AD4FB2"/>
    <w:rsid w:val="00AD5358"/>
    <w:rsid w:val="00AD5413"/>
    <w:rsid w:val="00AE0330"/>
    <w:rsid w:val="00AF16D7"/>
    <w:rsid w:val="00AF191F"/>
    <w:rsid w:val="00AF72F2"/>
    <w:rsid w:val="00B04B85"/>
    <w:rsid w:val="00B14F01"/>
    <w:rsid w:val="00B277E1"/>
    <w:rsid w:val="00B50E9D"/>
    <w:rsid w:val="00B54C9D"/>
    <w:rsid w:val="00B552A7"/>
    <w:rsid w:val="00B66A97"/>
    <w:rsid w:val="00B671EA"/>
    <w:rsid w:val="00B70C46"/>
    <w:rsid w:val="00B72092"/>
    <w:rsid w:val="00B73084"/>
    <w:rsid w:val="00B97A7D"/>
    <w:rsid w:val="00BA1875"/>
    <w:rsid w:val="00BB2E5D"/>
    <w:rsid w:val="00BB3259"/>
    <w:rsid w:val="00BD2BD2"/>
    <w:rsid w:val="00BE20C2"/>
    <w:rsid w:val="00BE3D6A"/>
    <w:rsid w:val="00C035DF"/>
    <w:rsid w:val="00C03896"/>
    <w:rsid w:val="00C10BE0"/>
    <w:rsid w:val="00C12CBD"/>
    <w:rsid w:val="00C16468"/>
    <w:rsid w:val="00C211D6"/>
    <w:rsid w:val="00C2154A"/>
    <w:rsid w:val="00C360CC"/>
    <w:rsid w:val="00C36263"/>
    <w:rsid w:val="00C44903"/>
    <w:rsid w:val="00C60AAF"/>
    <w:rsid w:val="00C640B9"/>
    <w:rsid w:val="00C6733C"/>
    <w:rsid w:val="00C702F0"/>
    <w:rsid w:val="00C734B9"/>
    <w:rsid w:val="00C77F12"/>
    <w:rsid w:val="00C87A39"/>
    <w:rsid w:val="00CB288E"/>
    <w:rsid w:val="00CC26DC"/>
    <w:rsid w:val="00CD1B29"/>
    <w:rsid w:val="00CD5AAE"/>
    <w:rsid w:val="00CD641A"/>
    <w:rsid w:val="00CF14F4"/>
    <w:rsid w:val="00CF71CC"/>
    <w:rsid w:val="00D10520"/>
    <w:rsid w:val="00D11023"/>
    <w:rsid w:val="00D1364D"/>
    <w:rsid w:val="00D17D4F"/>
    <w:rsid w:val="00D23846"/>
    <w:rsid w:val="00D24D65"/>
    <w:rsid w:val="00D303EC"/>
    <w:rsid w:val="00D323E6"/>
    <w:rsid w:val="00D42BCB"/>
    <w:rsid w:val="00D43090"/>
    <w:rsid w:val="00D452C3"/>
    <w:rsid w:val="00D46491"/>
    <w:rsid w:val="00D560AD"/>
    <w:rsid w:val="00D61C2B"/>
    <w:rsid w:val="00D66C2E"/>
    <w:rsid w:val="00D709DA"/>
    <w:rsid w:val="00D818DE"/>
    <w:rsid w:val="00D81C05"/>
    <w:rsid w:val="00D82A9C"/>
    <w:rsid w:val="00DA1578"/>
    <w:rsid w:val="00DA6CCB"/>
    <w:rsid w:val="00DC29D0"/>
    <w:rsid w:val="00DD28D1"/>
    <w:rsid w:val="00DD54AC"/>
    <w:rsid w:val="00DE1D8F"/>
    <w:rsid w:val="00DE364E"/>
    <w:rsid w:val="00DE4014"/>
    <w:rsid w:val="00DF5C50"/>
    <w:rsid w:val="00E03C35"/>
    <w:rsid w:val="00E04381"/>
    <w:rsid w:val="00E06757"/>
    <w:rsid w:val="00E13CB5"/>
    <w:rsid w:val="00E165ED"/>
    <w:rsid w:val="00E26E07"/>
    <w:rsid w:val="00E31391"/>
    <w:rsid w:val="00E415C9"/>
    <w:rsid w:val="00E5129B"/>
    <w:rsid w:val="00E56F93"/>
    <w:rsid w:val="00E649AD"/>
    <w:rsid w:val="00E673AD"/>
    <w:rsid w:val="00E7786A"/>
    <w:rsid w:val="00E77882"/>
    <w:rsid w:val="00E80C69"/>
    <w:rsid w:val="00E81B67"/>
    <w:rsid w:val="00EB2053"/>
    <w:rsid w:val="00EB3354"/>
    <w:rsid w:val="00EB42CC"/>
    <w:rsid w:val="00EC2A1A"/>
    <w:rsid w:val="00EC2B79"/>
    <w:rsid w:val="00EE64F9"/>
    <w:rsid w:val="00F003D8"/>
    <w:rsid w:val="00F03CE7"/>
    <w:rsid w:val="00F061AD"/>
    <w:rsid w:val="00F23758"/>
    <w:rsid w:val="00F2733E"/>
    <w:rsid w:val="00F43998"/>
    <w:rsid w:val="00F477B0"/>
    <w:rsid w:val="00F51EEE"/>
    <w:rsid w:val="00F538AF"/>
    <w:rsid w:val="00F56BAE"/>
    <w:rsid w:val="00F61A42"/>
    <w:rsid w:val="00F65DA3"/>
    <w:rsid w:val="00F66215"/>
    <w:rsid w:val="00F671F2"/>
    <w:rsid w:val="00F75360"/>
    <w:rsid w:val="00F84DD4"/>
    <w:rsid w:val="00F86BCC"/>
    <w:rsid w:val="00F878B9"/>
    <w:rsid w:val="00F949C0"/>
    <w:rsid w:val="00FA3FFC"/>
    <w:rsid w:val="00FB0313"/>
    <w:rsid w:val="00FB2D6A"/>
    <w:rsid w:val="00FC2FE1"/>
    <w:rsid w:val="00FC6940"/>
    <w:rsid w:val="00FD743E"/>
    <w:rsid w:val="00FE1757"/>
    <w:rsid w:val="00FF09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5A24"/>
  <w15:docId w15:val="{AF8F38B3-4A10-4E85-939C-9F66EE0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1C74"/>
    <w:pPr>
      <w:spacing w:after="200" w:line="276" w:lineRule="auto"/>
    </w:pPr>
    <w:rPr>
      <w:rFonts w:ascii="Calibri" w:eastAsia="Calibri" w:hAnsi="Calibri" w:cs="Times New Roman"/>
    </w:rPr>
  </w:style>
  <w:style w:type="paragraph" w:styleId="Ttulo3">
    <w:name w:val="heading 3"/>
    <w:basedOn w:val="Normal"/>
    <w:link w:val="Ttulo3Char"/>
    <w:uiPriority w:val="9"/>
    <w:qFormat/>
    <w:rsid w:val="00861FC2"/>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2F1C74"/>
    <w:rPr>
      <w:color w:val="0000FF"/>
      <w:u w:val="single"/>
    </w:rPr>
  </w:style>
  <w:style w:type="paragraph" w:styleId="PargrafodaLista">
    <w:name w:val="List Paragraph"/>
    <w:basedOn w:val="Normal"/>
    <w:uiPriority w:val="34"/>
    <w:qFormat/>
    <w:rsid w:val="002F1C74"/>
    <w:pPr>
      <w:ind w:left="720"/>
      <w:contextualSpacing/>
    </w:pPr>
  </w:style>
  <w:style w:type="paragraph" w:customStyle="1" w:styleId="Default">
    <w:name w:val="Default"/>
    <w:rsid w:val="002F1C74"/>
    <w:pPr>
      <w:autoSpaceDE w:val="0"/>
      <w:autoSpaceDN w:val="0"/>
      <w:adjustRightInd w:val="0"/>
      <w:spacing w:after="0" w:line="240" w:lineRule="auto"/>
    </w:pPr>
    <w:rPr>
      <w:rFonts w:ascii="Times New Roman" w:hAnsi="Times New Roman" w:cs="Times New Roman"/>
      <w:color w:val="000000"/>
      <w:sz w:val="24"/>
      <w:szCs w:val="24"/>
    </w:rPr>
  </w:style>
  <w:style w:type="character" w:styleId="Nmerodelinha">
    <w:name w:val="line number"/>
    <w:basedOn w:val="Fontepargpadro"/>
    <w:uiPriority w:val="99"/>
    <w:semiHidden/>
    <w:unhideWhenUsed/>
    <w:rsid w:val="00847ACE"/>
  </w:style>
  <w:style w:type="paragraph" w:styleId="Recuodecorpodetexto">
    <w:name w:val="Body Text Indent"/>
    <w:basedOn w:val="Normal"/>
    <w:link w:val="RecuodecorpodetextoChar"/>
    <w:uiPriority w:val="99"/>
    <w:rsid w:val="00847ACE"/>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uiPriority w:val="99"/>
    <w:rsid w:val="00847ACE"/>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847ACE"/>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semiHidden/>
    <w:rsid w:val="00847ACE"/>
    <w:rPr>
      <w:rFonts w:ascii="Times New Roman" w:eastAsia="Times New Roman" w:hAnsi="Times New Roman" w:cs="Times New Roman"/>
      <w:sz w:val="16"/>
      <w:szCs w:val="16"/>
      <w:lang w:eastAsia="pt-BR"/>
    </w:rPr>
  </w:style>
  <w:style w:type="paragraph" w:styleId="Corpodetexto2">
    <w:name w:val="Body Text 2"/>
    <w:basedOn w:val="Normal"/>
    <w:link w:val="Corpodetexto2Char"/>
    <w:rsid w:val="00847ACE"/>
    <w:pPr>
      <w:spacing w:after="120" w:line="480" w:lineRule="auto"/>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rsid w:val="00847ACE"/>
    <w:rPr>
      <w:rFonts w:ascii="Times New Roman" w:eastAsia="Times New Roman" w:hAnsi="Times New Roman" w:cs="Times New Roman"/>
      <w:sz w:val="24"/>
      <w:szCs w:val="20"/>
      <w:lang w:eastAsia="pt-BR"/>
    </w:rPr>
  </w:style>
  <w:style w:type="table" w:styleId="Tabelacomgrade">
    <w:name w:val="Table Grid"/>
    <w:basedOn w:val="Tabelanormal"/>
    <w:uiPriority w:val="39"/>
    <w:rsid w:val="00847A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003D8"/>
  </w:style>
  <w:style w:type="character" w:styleId="Refdecomentrio">
    <w:name w:val="annotation reference"/>
    <w:basedOn w:val="Fontepargpadro"/>
    <w:uiPriority w:val="99"/>
    <w:semiHidden/>
    <w:unhideWhenUsed/>
    <w:rsid w:val="006808EE"/>
    <w:rPr>
      <w:sz w:val="16"/>
      <w:szCs w:val="16"/>
    </w:rPr>
  </w:style>
  <w:style w:type="paragraph" w:styleId="Textodecomentrio">
    <w:name w:val="annotation text"/>
    <w:basedOn w:val="Normal"/>
    <w:link w:val="TextodecomentrioChar"/>
    <w:uiPriority w:val="99"/>
    <w:semiHidden/>
    <w:unhideWhenUsed/>
    <w:rsid w:val="006808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08EE"/>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808EE"/>
    <w:rPr>
      <w:b/>
      <w:bCs/>
    </w:rPr>
  </w:style>
  <w:style w:type="character" w:customStyle="1" w:styleId="AssuntodocomentrioChar">
    <w:name w:val="Assunto do comentário Char"/>
    <w:basedOn w:val="TextodecomentrioChar"/>
    <w:link w:val="Assuntodocomentrio"/>
    <w:uiPriority w:val="99"/>
    <w:semiHidden/>
    <w:rsid w:val="006808EE"/>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808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08EE"/>
    <w:rPr>
      <w:rFonts w:ascii="Segoe UI" w:eastAsia="Calibri" w:hAnsi="Segoe UI" w:cs="Segoe UI"/>
      <w:sz w:val="18"/>
      <w:szCs w:val="18"/>
    </w:rPr>
  </w:style>
  <w:style w:type="character" w:customStyle="1" w:styleId="MenoPendente1">
    <w:name w:val="Menção Pendente1"/>
    <w:basedOn w:val="Fontepargpadro"/>
    <w:uiPriority w:val="99"/>
    <w:semiHidden/>
    <w:unhideWhenUsed/>
    <w:rsid w:val="00B70C46"/>
    <w:rPr>
      <w:color w:val="605E5C"/>
      <w:shd w:val="clear" w:color="auto" w:fill="E1DFDD"/>
    </w:rPr>
  </w:style>
  <w:style w:type="character" w:customStyle="1" w:styleId="Ttulo3Char">
    <w:name w:val="Título 3 Char"/>
    <w:basedOn w:val="Fontepargpadro"/>
    <w:link w:val="Ttulo3"/>
    <w:uiPriority w:val="9"/>
    <w:rsid w:val="00861FC2"/>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861FC2"/>
    <w:rPr>
      <w:i/>
      <w:iCs/>
    </w:rPr>
  </w:style>
  <w:style w:type="paragraph" w:customStyle="1" w:styleId="Ttulo1">
    <w:name w:val="Título1"/>
    <w:basedOn w:val="Normal"/>
    <w:rsid w:val="00C10BE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sc">
    <w:name w:val="desc"/>
    <w:basedOn w:val="Normal"/>
    <w:rsid w:val="00C10BE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tails">
    <w:name w:val="details"/>
    <w:basedOn w:val="Normal"/>
    <w:rsid w:val="00C10BE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jrnl">
    <w:name w:val="jrnl"/>
    <w:basedOn w:val="Fontepargpadro"/>
    <w:rsid w:val="00C10BE0"/>
  </w:style>
  <w:style w:type="paragraph" w:styleId="Pr-formataoHTML">
    <w:name w:val="HTML Preformatted"/>
    <w:basedOn w:val="Normal"/>
    <w:link w:val="Pr-formataoHTMLChar"/>
    <w:uiPriority w:val="99"/>
    <w:unhideWhenUsed/>
    <w:rsid w:val="00DE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E364E"/>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0896">
      <w:bodyDiv w:val="1"/>
      <w:marLeft w:val="0"/>
      <w:marRight w:val="0"/>
      <w:marTop w:val="0"/>
      <w:marBottom w:val="0"/>
      <w:divBdr>
        <w:top w:val="none" w:sz="0" w:space="0" w:color="auto"/>
        <w:left w:val="none" w:sz="0" w:space="0" w:color="auto"/>
        <w:bottom w:val="none" w:sz="0" w:space="0" w:color="auto"/>
        <w:right w:val="none" w:sz="0" w:space="0" w:color="auto"/>
      </w:divBdr>
    </w:div>
    <w:div w:id="457988836">
      <w:bodyDiv w:val="1"/>
      <w:marLeft w:val="0"/>
      <w:marRight w:val="0"/>
      <w:marTop w:val="0"/>
      <w:marBottom w:val="0"/>
      <w:divBdr>
        <w:top w:val="none" w:sz="0" w:space="0" w:color="auto"/>
        <w:left w:val="none" w:sz="0" w:space="0" w:color="auto"/>
        <w:bottom w:val="none" w:sz="0" w:space="0" w:color="auto"/>
        <w:right w:val="none" w:sz="0" w:space="0" w:color="auto"/>
      </w:divBdr>
      <w:divsChild>
        <w:div w:id="381443090">
          <w:marLeft w:val="0"/>
          <w:marRight w:val="0"/>
          <w:marTop w:val="0"/>
          <w:marBottom w:val="0"/>
          <w:divBdr>
            <w:top w:val="none" w:sz="0" w:space="0" w:color="auto"/>
            <w:left w:val="none" w:sz="0" w:space="0" w:color="auto"/>
            <w:bottom w:val="none" w:sz="0" w:space="0" w:color="auto"/>
            <w:right w:val="none" w:sz="0" w:space="0" w:color="auto"/>
          </w:divBdr>
          <w:divsChild>
            <w:div w:id="694773481">
              <w:marLeft w:val="0"/>
              <w:marRight w:val="60"/>
              <w:marTop w:val="0"/>
              <w:marBottom w:val="0"/>
              <w:divBdr>
                <w:top w:val="none" w:sz="0" w:space="0" w:color="auto"/>
                <w:left w:val="none" w:sz="0" w:space="0" w:color="auto"/>
                <w:bottom w:val="none" w:sz="0" w:space="0" w:color="auto"/>
                <w:right w:val="none" w:sz="0" w:space="0" w:color="auto"/>
              </w:divBdr>
              <w:divsChild>
                <w:div w:id="1270623206">
                  <w:marLeft w:val="0"/>
                  <w:marRight w:val="0"/>
                  <w:marTop w:val="0"/>
                  <w:marBottom w:val="120"/>
                  <w:divBdr>
                    <w:top w:val="single" w:sz="6" w:space="0" w:color="C0C0C0"/>
                    <w:left w:val="single" w:sz="6" w:space="0" w:color="D9D9D9"/>
                    <w:bottom w:val="single" w:sz="6" w:space="0" w:color="D9D9D9"/>
                    <w:right w:val="single" w:sz="6" w:space="0" w:color="D9D9D9"/>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6737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1806">
          <w:marLeft w:val="0"/>
          <w:marRight w:val="0"/>
          <w:marTop w:val="0"/>
          <w:marBottom w:val="0"/>
          <w:divBdr>
            <w:top w:val="none" w:sz="0" w:space="0" w:color="auto"/>
            <w:left w:val="none" w:sz="0" w:space="0" w:color="auto"/>
            <w:bottom w:val="none" w:sz="0" w:space="0" w:color="auto"/>
            <w:right w:val="none" w:sz="0" w:space="0" w:color="auto"/>
          </w:divBdr>
          <w:divsChild>
            <w:div w:id="1273048441">
              <w:marLeft w:val="60"/>
              <w:marRight w:val="0"/>
              <w:marTop w:val="0"/>
              <w:marBottom w:val="0"/>
              <w:divBdr>
                <w:top w:val="none" w:sz="0" w:space="0" w:color="auto"/>
                <w:left w:val="none" w:sz="0" w:space="0" w:color="auto"/>
                <w:bottom w:val="none" w:sz="0" w:space="0" w:color="auto"/>
                <w:right w:val="none" w:sz="0" w:space="0" w:color="auto"/>
              </w:divBdr>
              <w:divsChild>
                <w:div w:id="1686205180">
                  <w:marLeft w:val="0"/>
                  <w:marRight w:val="0"/>
                  <w:marTop w:val="0"/>
                  <w:marBottom w:val="0"/>
                  <w:divBdr>
                    <w:top w:val="none" w:sz="0" w:space="0" w:color="auto"/>
                    <w:left w:val="none" w:sz="0" w:space="0" w:color="auto"/>
                    <w:bottom w:val="none" w:sz="0" w:space="0" w:color="auto"/>
                    <w:right w:val="none" w:sz="0" w:space="0" w:color="auto"/>
                  </w:divBdr>
                  <w:divsChild>
                    <w:div w:id="1109934144">
                      <w:marLeft w:val="0"/>
                      <w:marRight w:val="0"/>
                      <w:marTop w:val="0"/>
                      <w:marBottom w:val="120"/>
                      <w:divBdr>
                        <w:top w:val="single" w:sz="6" w:space="0" w:color="F5F5F5"/>
                        <w:left w:val="single" w:sz="6" w:space="0" w:color="F5F5F5"/>
                        <w:bottom w:val="single" w:sz="6" w:space="0" w:color="F5F5F5"/>
                        <w:right w:val="single" w:sz="6" w:space="0" w:color="F5F5F5"/>
                      </w:divBdr>
                      <w:divsChild>
                        <w:div w:id="1646739032">
                          <w:marLeft w:val="0"/>
                          <w:marRight w:val="0"/>
                          <w:marTop w:val="0"/>
                          <w:marBottom w:val="0"/>
                          <w:divBdr>
                            <w:top w:val="none" w:sz="0" w:space="0" w:color="auto"/>
                            <w:left w:val="none" w:sz="0" w:space="0" w:color="auto"/>
                            <w:bottom w:val="none" w:sz="0" w:space="0" w:color="auto"/>
                            <w:right w:val="none" w:sz="0" w:space="0" w:color="auto"/>
                          </w:divBdr>
                          <w:divsChild>
                            <w:div w:id="8157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67848">
      <w:bodyDiv w:val="1"/>
      <w:marLeft w:val="0"/>
      <w:marRight w:val="0"/>
      <w:marTop w:val="0"/>
      <w:marBottom w:val="0"/>
      <w:divBdr>
        <w:top w:val="none" w:sz="0" w:space="0" w:color="auto"/>
        <w:left w:val="none" w:sz="0" w:space="0" w:color="auto"/>
        <w:bottom w:val="none" w:sz="0" w:space="0" w:color="auto"/>
        <w:right w:val="none" w:sz="0" w:space="0" w:color="auto"/>
      </w:divBdr>
    </w:div>
    <w:div w:id="1384988865">
      <w:bodyDiv w:val="1"/>
      <w:marLeft w:val="0"/>
      <w:marRight w:val="0"/>
      <w:marTop w:val="0"/>
      <w:marBottom w:val="0"/>
      <w:divBdr>
        <w:top w:val="none" w:sz="0" w:space="0" w:color="auto"/>
        <w:left w:val="none" w:sz="0" w:space="0" w:color="auto"/>
        <w:bottom w:val="none" w:sz="0" w:space="0" w:color="auto"/>
        <w:right w:val="none" w:sz="0" w:space="0" w:color="auto"/>
      </w:divBdr>
      <w:divsChild>
        <w:div w:id="2068064502">
          <w:marLeft w:val="0"/>
          <w:marRight w:val="0"/>
          <w:marTop w:val="0"/>
          <w:marBottom w:val="0"/>
          <w:divBdr>
            <w:top w:val="none" w:sz="0" w:space="0" w:color="auto"/>
            <w:left w:val="none" w:sz="0" w:space="0" w:color="auto"/>
            <w:bottom w:val="none" w:sz="0" w:space="0" w:color="auto"/>
            <w:right w:val="none" w:sz="0" w:space="0" w:color="auto"/>
          </w:divBdr>
        </w:div>
        <w:div w:id="1779788723">
          <w:marLeft w:val="0"/>
          <w:marRight w:val="0"/>
          <w:marTop w:val="0"/>
          <w:marBottom w:val="0"/>
          <w:divBdr>
            <w:top w:val="none" w:sz="0" w:space="0" w:color="auto"/>
            <w:left w:val="none" w:sz="0" w:space="0" w:color="auto"/>
            <w:bottom w:val="none" w:sz="0" w:space="0" w:color="auto"/>
            <w:right w:val="none" w:sz="0" w:space="0" w:color="auto"/>
          </w:divBdr>
        </w:div>
        <w:div w:id="1781291897">
          <w:marLeft w:val="0"/>
          <w:marRight w:val="0"/>
          <w:marTop w:val="0"/>
          <w:marBottom w:val="0"/>
          <w:divBdr>
            <w:top w:val="none" w:sz="0" w:space="0" w:color="auto"/>
            <w:left w:val="none" w:sz="0" w:space="0" w:color="auto"/>
            <w:bottom w:val="none" w:sz="0" w:space="0" w:color="auto"/>
            <w:right w:val="none" w:sz="0" w:space="0" w:color="auto"/>
          </w:divBdr>
        </w:div>
      </w:divsChild>
    </w:div>
    <w:div w:id="1400863405">
      <w:bodyDiv w:val="1"/>
      <w:marLeft w:val="0"/>
      <w:marRight w:val="0"/>
      <w:marTop w:val="0"/>
      <w:marBottom w:val="0"/>
      <w:divBdr>
        <w:top w:val="none" w:sz="0" w:space="0" w:color="auto"/>
        <w:left w:val="none" w:sz="0" w:space="0" w:color="auto"/>
        <w:bottom w:val="none" w:sz="0" w:space="0" w:color="auto"/>
        <w:right w:val="none" w:sz="0" w:space="0" w:color="auto"/>
      </w:divBdr>
      <w:divsChild>
        <w:div w:id="990593865">
          <w:marLeft w:val="0"/>
          <w:marRight w:val="0"/>
          <w:marTop w:val="34"/>
          <w:marBottom w:val="34"/>
          <w:divBdr>
            <w:top w:val="none" w:sz="0" w:space="0" w:color="auto"/>
            <w:left w:val="none" w:sz="0" w:space="0" w:color="auto"/>
            <w:bottom w:val="none" w:sz="0" w:space="0" w:color="auto"/>
            <w:right w:val="none" w:sz="0" w:space="0" w:color="auto"/>
          </w:divBdr>
        </w:div>
      </w:divsChild>
    </w:div>
    <w:div w:id="1672949111">
      <w:bodyDiv w:val="1"/>
      <w:marLeft w:val="0"/>
      <w:marRight w:val="0"/>
      <w:marTop w:val="0"/>
      <w:marBottom w:val="0"/>
      <w:divBdr>
        <w:top w:val="none" w:sz="0" w:space="0" w:color="auto"/>
        <w:left w:val="none" w:sz="0" w:space="0" w:color="auto"/>
        <w:bottom w:val="none" w:sz="0" w:space="0" w:color="auto"/>
        <w:right w:val="none" w:sz="0" w:space="0" w:color="auto"/>
      </w:divBdr>
      <w:divsChild>
        <w:div w:id="1261794331">
          <w:marLeft w:val="0"/>
          <w:marRight w:val="0"/>
          <w:marTop w:val="0"/>
          <w:marBottom w:val="0"/>
          <w:divBdr>
            <w:top w:val="none" w:sz="0" w:space="0" w:color="auto"/>
            <w:left w:val="none" w:sz="0" w:space="0" w:color="auto"/>
            <w:bottom w:val="none" w:sz="0" w:space="0" w:color="auto"/>
            <w:right w:val="none" w:sz="0" w:space="0" w:color="auto"/>
          </w:divBdr>
          <w:divsChild>
            <w:div w:id="799766672">
              <w:marLeft w:val="0"/>
              <w:marRight w:val="0"/>
              <w:marTop w:val="0"/>
              <w:marBottom w:val="0"/>
              <w:divBdr>
                <w:top w:val="none" w:sz="0" w:space="0" w:color="auto"/>
                <w:left w:val="none" w:sz="0" w:space="0" w:color="auto"/>
                <w:bottom w:val="none" w:sz="0" w:space="0" w:color="auto"/>
                <w:right w:val="none" w:sz="0" w:space="0" w:color="auto"/>
              </w:divBdr>
              <w:divsChild>
                <w:div w:id="20393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15132">
      <w:bodyDiv w:val="1"/>
      <w:marLeft w:val="0"/>
      <w:marRight w:val="0"/>
      <w:marTop w:val="0"/>
      <w:marBottom w:val="0"/>
      <w:divBdr>
        <w:top w:val="none" w:sz="0" w:space="0" w:color="auto"/>
        <w:left w:val="none" w:sz="0" w:space="0" w:color="auto"/>
        <w:bottom w:val="none" w:sz="0" w:space="0" w:color="auto"/>
        <w:right w:val="none" w:sz="0" w:space="0" w:color="auto"/>
      </w:divBdr>
      <w:divsChild>
        <w:div w:id="201868212">
          <w:marLeft w:val="0"/>
          <w:marRight w:val="0"/>
          <w:marTop w:val="34"/>
          <w:marBottom w:val="34"/>
          <w:divBdr>
            <w:top w:val="none" w:sz="0" w:space="0" w:color="auto"/>
            <w:left w:val="none" w:sz="0" w:space="0" w:color="auto"/>
            <w:bottom w:val="none" w:sz="0" w:space="0" w:color="auto"/>
            <w:right w:val="none" w:sz="0" w:space="0" w:color="auto"/>
          </w:divBdr>
        </w:div>
      </w:divsChild>
    </w:div>
    <w:div w:id="21271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rontiersin.org/people/u/351009" TargetMode="External"/><Relationship Id="rId18" Type="http://schemas.openxmlformats.org/officeDocument/2006/relationships/hyperlink" Target="https://www.ncbi.nlm.nih.gov/pubmed/?term=Newton%20AC%5BAuthor%5D&amp;cauthor=true&amp;cauthor_uid=27481708" TargetMode="External"/><Relationship Id="rId3" Type="http://schemas.openxmlformats.org/officeDocument/2006/relationships/styles" Target="styles.xml"/><Relationship Id="rId21" Type="http://schemas.openxmlformats.org/officeDocument/2006/relationships/hyperlink" Target="https://www.ncbi.nlm.nih.gov/pubmed/27481708" TargetMode="External"/><Relationship Id="rId7" Type="http://schemas.openxmlformats.org/officeDocument/2006/relationships/chart" Target="charts/chart1.xml"/><Relationship Id="rId12" Type="http://schemas.openxmlformats.org/officeDocument/2006/relationships/hyperlink" Target="http://frontiersin.org/people/u/230792" TargetMode="External"/><Relationship Id="rId17" Type="http://schemas.openxmlformats.org/officeDocument/2006/relationships/hyperlink" Target="https://www.ncbi.nlm.nih.gov/pubmed/273478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Wang%20DZ%5BAuthor%5D&amp;cauthor=true&amp;cauthor_uid=27347893" TargetMode="External"/><Relationship Id="rId20" Type="http://schemas.openxmlformats.org/officeDocument/2006/relationships/hyperlink" Target="https://www.ncbi.nlm.nih.gov/pubmed/?term=Scott%20JD%5BAuthor%5D&amp;cauthor=true&amp;cauthor_uid=2748170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cbi.nlm.nih.gov/pubmed/303902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Diniz%20GP%5BAuthor%5D&amp;cauthor=true&amp;cauthor_uid=27347893" TargetMode="External"/><Relationship Id="rId23" Type="http://schemas.openxmlformats.org/officeDocument/2006/relationships/hyperlink" Target="https://www.ncbi.nlm.nih.gov/pubmed/?term=Nielsen%20J%5BAuthor%5D&amp;cauthor=true&amp;cauthor_uid=26589115" TargetMode="External"/><Relationship Id="rId10" Type="http://schemas.openxmlformats.org/officeDocument/2006/relationships/hyperlink" Target="https://www.ncbi.nlm.nih.gov/pubmed/30928194" TargetMode="External"/><Relationship Id="rId19" Type="http://schemas.openxmlformats.org/officeDocument/2006/relationships/hyperlink" Target="https://www.ncbi.nlm.nih.gov/pubmed/?term=Bootman%20MD%5BAuthor%5D&amp;cauthor=true&amp;cauthor_uid=2748170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frontiersin.org/people/u/35956" TargetMode="External"/><Relationship Id="rId22" Type="http://schemas.openxmlformats.org/officeDocument/2006/relationships/hyperlink" Target="https://www.ncbi.nlm.nih.gov/pubmed/?term=%C3%98rtenblad%20N%5BAuthor%5D&amp;cauthor=true&amp;cauthor_uid=26589115"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Heron\&#193;REA%20DE%20SEC&#199;&#195;O%20TRANSVERS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Heron\GLICOGENIO%20MUSCULAR%20DISSERTA&#199;&#195;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errBars>
            <c:errBarType val="both"/>
            <c:errValType val="cust"/>
            <c:noEndCap val="0"/>
            <c:plus>
              <c:numRef>
                <c:f>Plan1!$D$20:$D$23</c:f>
                <c:numCache>
                  <c:formatCode>General</c:formatCode>
                  <c:ptCount val="4"/>
                  <c:pt idx="0">
                    <c:v>357</c:v>
                  </c:pt>
                  <c:pt idx="1">
                    <c:v>181</c:v>
                  </c:pt>
                  <c:pt idx="2">
                    <c:v>162</c:v>
                  </c:pt>
                  <c:pt idx="3">
                    <c:v>186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Plan1!$A$20:$A$23</c:f>
              <c:strCache>
                <c:ptCount val="4"/>
                <c:pt idx="0">
                  <c:v>C</c:v>
                </c:pt>
                <c:pt idx="1">
                  <c:v>I</c:v>
                </c:pt>
                <c:pt idx="2">
                  <c:v>T</c:v>
                </c:pt>
                <c:pt idx="3">
                  <c:v>IT</c:v>
                </c:pt>
              </c:strCache>
            </c:strRef>
          </c:cat>
          <c:val>
            <c:numRef>
              <c:f>Plan1!$B$20:$B$23</c:f>
              <c:numCache>
                <c:formatCode>General</c:formatCode>
                <c:ptCount val="4"/>
                <c:pt idx="0">
                  <c:v>2551</c:v>
                </c:pt>
                <c:pt idx="1">
                  <c:v>867.39</c:v>
                </c:pt>
                <c:pt idx="2">
                  <c:v>2808</c:v>
                </c:pt>
                <c:pt idx="3">
                  <c:v>1637</c:v>
                </c:pt>
              </c:numCache>
            </c:numRef>
          </c:val>
          <c:extLst>
            <c:ext xmlns:c16="http://schemas.microsoft.com/office/drawing/2014/chart" uri="{C3380CC4-5D6E-409C-BE32-E72D297353CC}">
              <c16:uniqueId val="{00000000-C390-46CA-BC86-E3DB449A9192}"/>
            </c:ext>
          </c:extLst>
        </c:ser>
        <c:dLbls>
          <c:showLegendKey val="0"/>
          <c:showVal val="0"/>
          <c:showCatName val="0"/>
          <c:showSerName val="0"/>
          <c:showPercent val="0"/>
          <c:showBubbleSize val="0"/>
        </c:dLbls>
        <c:gapWidth val="219"/>
        <c:overlap val="-27"/>
        <c:axId val="1739092528"/>
        <c:axId val="1739097424"/>
      </c:barChart>
      <c:catAx>
        <c:axId val="173909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1739097424"/>
        <c:crosses val="autoZero"/>
        <c:auto val="1"/>
        <c:lblAlgn val="ctr"/>
        <c:lblOffset val="100"/>
        <c:noMultiLvlLbl val="0"/>
      </c:catAx>
      <c:valAx>
        <c:axId val="1739097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pt-BR" sz="1000" b="1">
                    <a:solidFill>
                      <a:schemeClr val="tx1"/>
                    </a:solidFill>
                    <a:latin typeface="Arial" panose="020B0604020202020204" pitchFamily="34" charset="0"/>
                    <a:cs typeface="Arial" panose="020B0604020202020204" pitchFamily="34" charset="0"/>
                  </a:rPr>
                  <a:t>AST</a:t>
                </a:r>
                <a:r>
                  <a:rPr lang="pt-BR" sz="1000" b="1" baseline="0">
                    <a:solidFill>
                      <a:schemeClr val="tx1"/>
                    </a:solidFill>
                    <a:latin typeface="Arial" panose="020B0604020202020204" pitchFamily="34" charset="0"/>
                    <a:cs typeface="Arial" panose="020B0604020202020204" pitchFamily="34" charset="0"/>
                  </a:rPr>
                  <a:t> ( µm</a:t>
                </a:r>
                <a:r>
                  <a:rPr lang="pt-BR" sz="1000" b="1" baseline="30000">
                    <a:solidFill>
                      <a:schemeClr val="tx1"/>
                    </a:solidFill>
                    <a:latin typeface="Arial" panose="020B0604020202020204" pitchFamily="34" charset="0"/>
                    <a:cs typeface="Arial" panose="020B0604020202020204" pitchFamily="34" charset="0"/>
                  </a:rPr>
                  <a:t>2</a:t>
                </a:r>
                <a:r>
                  <a:rPr lang="pt-BR" sz="1000" b="1" baseline="0">
                    <a:solidFill>
                      <a:schemeClr val="tx1"/>
                    </a:solidFill>
                    <a:latin typeface="Arial" panose="020B0604020202020204" pitchFamily="34" charset="0"/>
                    <a:cs typeface="Arial" panose="020B0604020202020204" pitchFamily="34" charset="0"/>
                  </a:rPr>
                  <a:t>)</a:t>
                </a:r>
                <a:endParaRPr lang="pt-BR" sz="1000" b="1">
                  <a:solidFill>
                    <a:schemeClr val="tx1"/>
                  </a:solidFill>
                  <a:latin typeface="Arial" panose="020B0604020202020204" pitchFamily="34" charset="0"/>
                  <a:cs typeface="Arial" panose="020B0604020202020204" pitchFamily="34" charset="0"/>
                </a:endParaRPr>
              </a:p>
            </c:rich>
          </c:tx>
          <c:layout>
            <c:manualLayout>
              <c:xMode val="edge"/>
              <c:yMode val="edge"/>
              <c:x val="2.2222222222222233E-2"/>
              <c:y val="0.3060221638961798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1739092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43555973659465"/>
          <c:y val="4.2873478091637864E-2"/>
          <c:w val="0.84969426152398952"/>
          <c:h val="0.85359358931835749"/>
        </c:manualLayout>
      </c:layout>
      <c:barChart>
        <c:barDir val="col"/>
        <c:grouping val="clustered"/>
        <c:varyColors val="0"/>
        <c:ser>
          <c:idx val="0"/>
          <c:order val="0"/>
          <c:spPr>
            <a:solidFill>
              <a:schemeClr val="tx1"/>
            </a:solidFill>
            <a:ln>
              <a:noFill/>
            </a:ln>
            <a:effectLst/>
          </c:spPr>
          <c:invertIfNegative val="0"/>
          <c:errBars>
            <c:errBarType val="both"/>
            <c:errValType val="cust"/>
            <c:noEndCap val="0"/>
            <c:plus>
              <c:numRef>
                <c:f>Plan1!$D$1:$D$14</c:f>
                <c:numCache>
                  <c:formatCode>General</c:formatCode>
                  <c:ptCount val="14"/>
                  <c:pt idx="0">
                    <c:v>6.0000000000000032E-2</c:v>
                  </c:pt>
                  <c:pt idx="1">
                    <c:v>2.0000000000000011E-2</c:v>
                  </c:pt>
                  <c:pt idx="2">
                    <c:v>0.13</c:v>
                  </c:pt>
                  <c:pt idx="3">
                    <c:v>0.05</c:v>
                  </c:pt>
                  <c:pt idx="5">
                    <c:v>8.0000000000000043E-2</c:v>
                  </c:pt>
                  <c:pt idx="6">
                    <c:v>3.0000000000000002E-2</c:v>
                  </c:pt>
                  <c:pt idx="7">
                    <c:v>0.15000000000000011</c:v>
                  </c:pt>
                  <c:pt idx="8">
                    <c:v>8.0000000000000043E-2</c:v>
                  </c:pt>
                  <c:pt idx="10">
                    <c:v>6.0000000000000032E-2</c:v>
                  </c:pt>
                  <c:pt idx="11">
                    <c:v>2.0000000000000011E-2</c:v>
                  </c:pt>
                  <c:pt idx="12">
                    <c:v>4.0000000000000022E-2</c:v>
                  </c:pt>
                  <c:pt idx="13">
                    <c:v>4.0000000000000022E-2</c:v>
                  </c:pt>
                </c:numCache>
              </c:numRef>
            </c:plus>
            <c:minus>
              <c:numRef>
                <c:f>Plan1!$D$1:$D$14</c:f>
                <c:numCache>
                  <c:formatCode>General</c:formatCode>
                  <c:ptCount val="14"/>
                  <c:pt idx="0">
                    <c:v>6.0000000000000032E-2</c:v>
                  </c:pt>
                  <c:pt idx="1">
                    <c:v>2.0000000000000011E-2</c:v>
                  </c:pt>
                  <c:pt idx="2">
                    <c:v>0.13</c:v>
                  </c:pt>
                  <c:pt idx="3">
                    <c:v>0.05</c:v>
                  </c:pt>
                  <c:pt idx="5">
                    <c:v>8.0000000000000043E-2</c:v>
                  </c:pt>
                  <c:pt idx="6">
                    <c:v>3.0000000000000002E-2</c:v>
                  </c:pt>
                  <c:pt idx="7">
                    <c:v>0.15000000000000011</c:v>
                  </c:pt>
                  <c:pt idx="8">
                    <c:v>8.0000000000000043E-2</c:v>
                  </c:pt>
                  <c:pt idx="10">
                    <c:v>6.0000000000000032E-2</c:v>
                  </c:pt>
                  <c:pt idx="11">
                    <c:v>2.0000000000000011E-2</c:v>
                  </c:pt>
                  <c:pt idx="12">
                    <c:v>4.0000000000000022E-2</c:v>
                  </c:pt>
                  <c:pt idx="13">
                    <c:v>4.0000000000000022E-2</c:v>
                  </c:pt>
                </c:numCache>
              </c:numRef>
            </c:minus>
            <c:spPr>
              <a:noFill/>
              <a:ln w="9525" cap="flat" cmpd="sng" algn="ctr">
                <a:solidFill>
                  <a:schemeClr val="tx1">
                    <a:lumMod val="65000"/>
                    <a:lumOff val="35000"/>
                  </a:schemeClr>
                </a:solidFill>
                <a:round/>
              </a:ln>
              <a:effectLst/>
            </c:spPr>
          </c:errBars>
          <c:cat>
            <c:strRef>
              <c:f>Plan1!$A$1:$A$14</c:f>
              <c:strCache>
                <c:ptCount val="14"/>
                <c:pt idx="0">
                  <c:v>CS</c:v>
                </c:pt>
                <c:pt idx="1">
                  <c:v>IS</c:v>
                </c:pt>
                <c:pt idx="2">
                  <c:v>TS</c:v>
                </c:pt>
                <c:pt idx="3">
                  <c:v>ITS</c:v>
                </c:pt>
                <c:pt idx="5">
                  <c:v>CG</c:v>
                </c:pt>
                <c:pt idx="6">
                  <c:v>IG</c:v>
                </c:pt>
                <c:pt idx="7">
                  <c:v>TG</c:v>
                </c:pt>
                <c:pt idx="8">
                  <c:v>ITG</c:v>
                </c:pt>
                <c:pt idx="10">
                  <c:v>CGV</c:v>
                </c:pt>
                <c:pt idx="11">
                  <c:v>IGV</c:v>
                </c:pt>
                <c:pt idx="12">
                  <c:v>TGV</c:v>
                </c:pt>
                <c:pt idx="13">
                  <c:v>ITGV</c:v>
                </c:pt>
              </c:strCache>
            </c:strRef>
          </c:cat>
          <c:val>
            <c:numRef>
              <c:f>Plan1!$B$1:$B$14</c:f>
              <c:numCache>
                <c:formatCode>General</c:formatCode>
                <c:ptCount val="14"/>
                <c:pt idx="0">
                  <c:v>0.38000000000000023</c:v>
                </c:pt>
                <c:pt idx="1">
                  <c:v>0.25</c:v>
                </c:pt>
                <c:pt idx="2">
                  <c:v>0.61000000000000043</c:v>
                </c:pt>
                <c:pt idx="3">
                  <c:v>0.42000000000000021</c:v>
                </c:pt>
                <c:pt idx="5">
                  <c:v>0.44</c:v>
                </c:pt>
                <c:pt idx="6">
                  <c:v>0.25</c:v>
                </c:pt>
                <c:pt idx="7">
                  <c:v>0.65000000000000058</c:v>
                </c:pt>
                <c:pt idx="8">
                  <c:v>0.42000000000000021</c:v>
                </c:pt>
                <c:pt idx="10">
                  <c:v>0.39000000000000024</c:v>
                </c:pt>
                <c:pt idx="11">
                  <c:v>0.2400000000000001</c:v>
                </c:pt>
                <c:pt idx="12">
                  <c:v>0.51</c:v>
                </c:pt>
                <c:pt idx="13">
                  <c:v>0.3500000000000002</c:v>
                </c:pt>
              </c:numCache>
            </c:numRef>
          </c:val>
          <c:extLst>
            <c:ext xmlns:c16="http://schemas.microsoft.com/office/drawing/2014/chart" uri="{C3380CC4-5D6E-409C-BE32-E72D297353CC}">
              <c16:uniqueId val="{00000000-632B-4F31-BBBB-96C18BE29486}"/>
            </c:ext>
          </c:extLst>
        </c:ser>
        <c:dLbls>
          <c:showLegendKey val="0"/>
          <c:showVal val="0"/>
          <c:showCatName val="0"/>
          <c:showSerName val="0"/>
          <c:showPercent val="0"/>
          <c:showBubbleSize val="0"/>
        </c:dLbls>
        <c:gapWidth val="219"/>
        <c:overlap val="-27"/>
        <c:axId val="1739095792"/>
        <c:axId val="1739099056"/>
      </c:barChart>
      <c:catAx>
        <c:axId val="173909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1739099056"/>
        <c:crosses val="autoZero"/>
        <c:auto val="1"/>
        <c:lblAlgn val="ctr"/>
        <c:lblOffset val="100"/>
        <c:noMultiLvlLbl val="0"/>
      </c:catAx>
      <c:valAx>
        <c:axId val="1739099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sz="1000" b="0">
                    <a:solidFill>
                      <a:sysClr val="windowText" lastClr="000000"/>
                    </a:solidFill>
                    <a:latin typeface="Arial" panose="020B0604020202020204" pitchFamily="34" charset="0"/>
                    <a:cs typeface="Arial" panose="020B0604020202020204" pitchFamily="34" charset="0"/>
                  </a:rPr>
                  <a:t>Glicogênio</a:t>
                </a:r>
                <a:r>
                  <a:rPr lang="pt-BR" sz="1000" b="0" baseline="0">
                    <a:solidFill>
                      <a:sysClr val="windowText" lastClr="000000"/>
                    </a:solidFill>
                    <a:latin typeface="Arial" panose="020B0604020202020204" pitchFamily="34" charset="0"/>
                    <a:cs typeface="Arial" panose="020B0604020202020204" pitchFamily="34" charset="0"/>
                  </a:rPr>
                  <a:t>(mg/100mg)</a:t>
                </a:r>
                <a:endParaRPr lang="pt-BR" sz="1000" b="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
              <c:y val="8.036616161616159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1739095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0.43812</cdr:x>
      <cdr:y>0.53508</cdr:y>
    </cdr:from>
    <cdr:to>
      <cdr:x>0.49437</cdr:x>
      <cdr:y>0.62536</cdr:y>
    </cdr:to>
    <cdr:sp macro="" textlink="">
      <cdr:nvSpPr>
        <cdr:cNvPr id="2" name="CaixaDeTexto 1"/>
        <cdr:cNvSpPr txBox="1"/>
      </cdr:nvSpPr>
      <cdr:spPr>
        <a:xfrm xmlns:a="http://schemas.openxmlformats.org/drawingml/2006/main">
          <a:off x="1856740" y="1399536"/>
          <a:ext cx="238387" cy="2361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0.82481</cdr:x>
      <cdr:y>0.30573</cdr:y>
    </cdr:from>
    <cdr:to>
      <cdr:x>0.92684</cdr:x>
      <cdr:y>0.3916</cdr:y>
    </cdr:to>
    <cdr:sp macro="" textlink="">
      <cdr:nvSpPr>
        <cdr:cNvPr id="3" name="CaixaDeTexto 1"/>
        <cdr:cNvSpPr txBox="1"/>
      </cdr:nvSpPr>
      <cdr:spPr>
        <a:xfrm xmlns:a="http://schemas.openxmlformats.org/drawingml/2006/main">
          <a:off x="3495551" y="799657"/>
          <a:ext cx="432393" cy="2245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solidFill>
                <a:schemeClr val="tx1"/>
              </a:solidFill>
              <a:latin typeface="Arial" panose="020B0604020202020204" pitchFamily="34" charset="0"/>
              <a:cs typeface="Arial" panose="020B0604020202020204" pitchFamily="34"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0.19336</cdr:x>
      <cdr:y>0.54235</cdr:y>
    </cdr:from>
    <cdr:to>
      <cdr:x>0.23296</cdr:x>
      <cdr:y>0.60983</cdr:y>
    </cdr:to>
    <cdr:sp macro="" textlink="">
      <cdr:nvSpPr>
        <cdr:cNvPr id="2" name="CaixaDeTexto 1"/>
        <cdr:cNvSpPr txBox="1"/>
      </cdr:nvSpPr>
      <cdr:spPr>
        <a:xfrm xmlns:a="http://schemas.openxmlformats.org/drawingml/2006/main">
          <a:off x="850133" y="1091039"/>
          <a:ext cx="174111" cy="1357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0.48094</cdr:x>
      <cdr:y>0.54512</cdr:y>
    </cdr:from>
    <cdr:to>
      <cdr:x>0.54264</cdr:x>
      <cdr:y>0.60226</cdr:y>
    </cdr:to>
    <cdr:sp macro="" textlink="">
      <cdr:nvSpPr>
        <cdr:cNvPr id="3" name="CaixaDeTexto 1"/>
        <cdr:cNvSpPr txBox="1"/>
      </cdr:nvSpPr>
      <cdr:spPr>
        <a:xfrm xmlns:a="http://schemas.openxmlformats.org/drawingml/2006/main">
          <a:off x="2274616" y="1577054"/>
          <a:ext cx="291809" cy="1653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 *</a:t>
          </a:r>
        </a:p>
      </cdr:txBody>
    </cdr:sp>
  </cdr:relSizeAnchor>
  <cdr:relSizeAnchor xmlns:cdr="http://schemas.openxmlformats.org/drawingml/2006/chartDrawing">
    <cdr:from>
      <cdr:x>0.79577</cdr:x>
      <cdr:y>0.54726</cdr:y>
    </cdr:from>
    <cdr:to>
      <cdr:x>0.83537</cdr:x>
      <cdr:y>0.61474</cdr:y>
    </cdr:to>
    <cdr:sp macro="" textlink="">
      <cdr:nvSpPr>
        <cdr:cNvPr id="4" name="CaixaDeTexto 1"/>
        <cdr:cNvSpPr txBox="1"/>
      </cdr:nvSpPr>
      <cdr:spPr>
        <a:xfrm xmlns:a="http://schemas.openxmlformats.org/drawingml/2006/main">
          <a:off x="3498801" y="1100910"/>
          <a:ext cx="174111" cy="1357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0.24204</cdr:x>
      <cdr:y>0.1028</cdr:y>
    </cdr:from>
    <cdr:to>
      <cdr:x>0.34161</cdr:x>
      <cdr:y>0.17027</cdr:y>
    </cdr:to>
    <cdr:sp macro="" textlink="">
      <cdr:nvSpPr>
        <cdr:cNvPr id="5" name="CaixaDeTexto 1"/>
        <cdr:cNvSpPr txBox="1"/>
      </cdr:nvSpPr>
      <cdr:spPr>
        <a:xfrm xmlns:a="http://schemas.openxmlformats.org/drawingml/2006/main">
          <a:off x="1307011" y="339382"/>
          <a:ext cx="537691" cy="2227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 #</a:t>
          </a:r>
        </a:p>
      </cdr:txBody>
    </cdr:sp>
  </cdr:relSizeAnchor>
  <cdr:relSizeAnchor xmlns:cdr="http://schemas.openxmlformats.org/drawingml/2006/chartDrawing">
    <cdr:from>
      <cdr:x>0.52105</cdr:x>
      <cdr:y>0.01497</cdr:y>
    </cdr:from>
    <cdr:to>
      <cdr:x>0.63703</cdr:x>
      <cdr:y>0.08244</cdr:y>
    </cdr:to>
    <cdr:sp macro="" textlink="">
      <cdr:nvSpPr>
        <cdr:cNvPr id="6" name="CaixaDeTexto 1"/>
        <cdr:cNvSpPr txBox="1"/>
      </cdr:nvSpPr>
      <cdr:spPr>
        <a:xfrm xmlns:a="http://schemas.openxmlformats.org/drawingml/2006/main">
          <a:off x="2290918" y="30124"/>
          <a:ext cx="509934" cy="1357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  *, #</a:t>
          </a:r>
        </a:p>
      </cdr:txBody>
    </cdr:sp>
  </cdr:relSizeAnchor>
  <cdr:relSizeAnchor xmlns:cdr="http://schemas.openxmlformats.org/drawingml/2006/chartDrawing">
    <cdr:from>
      <cdr:x>0.84527</cdr:x>
      <cdr:y>0.24747</cdr:y>
    </cdr:from>
    <cdr:to>
      <cdr:x>0.9435</cdr:x>
      <cdr:y>0.31495</cdr:y>
    </cdr:to>
    <cdr:sp macro="" textlink="">
      <cdr:nvSpPr>
        <cdr:cNvPr id="7" name="CaixaDeTexto 1"/>
        <cdr:cNvSpPr txBox="1"/>
      </cdr:nvSpPr>
      <cdr:spPr>
        <a:xfrm xmlns:a="http://schemas.openxmlformats.org/drawingml/2006/main">
          <a:off x="3716439" y="497839"/>
          <a:ext cx="431891" cy="1357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 #</a:t>
          </a:r>
        </a:p>
      </cdr:txBody>
    </cdr:sp>
  </cdr:relSizeAnchor>
  <cdr:relSizeAnchor xmlns:cdr="http://schemas.openxmlformats.org/drawingml/2006/chartDrawing">
    <cdr:from>
      <cdr:x>0.31136</cdr:x>
      <cdr:y>0.33461</cdr:y>
    </cdr:from>
    <cdr:to>
      <cdr:x>0.38397</cdr:x>
      <cdr:y>0.40209</cdr:y>
    </cdr:to>
    <cdr:sp macro="" textlink="">
      <cdr:nvSpPr>
        <cdr:cNvPr id="8" name="CaixaDeTexto 1"/>
        <cdr:cNvSpPr txBox="1"/>
      </cdr:nvSpPr>
      <cdr:spPr>
        <a:xfrm xmlns:a="http://schemas.openxmlformats.org/drawingml/2006/main">
          <a:off x="1368969" y="673132"/>
          <a:ext cx="319247" cy="1357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0.61095</cdr:x>
      <cdr:y>0.30001</cdr:y>
    </cdr:from>
    <cdr:to>
      <cdr:x>0.68356</cdr:x>
      <cdr:y>0.36749</cdr:y>
    </cdr:to>
    <cdr:sp macro="" textlink="">
      <cdr:nvSpPr>
        <cdr:cNvPr id="9" name="CaixaDeTexto 1"/>
        <cdr:cNvSpPr txBox="1"/>
      </cdr:nvSpPr>
      <cdr:spPr>
        <a:xfrm xmlns:a="http://schemas.openxmlformats.org/drawingml/2006/main">
          <a:off x="2686195" y="603519"/>
          <a:ext cx="319248" cy="1357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0.91327</cdr:x>
      <cdr:y>0.41713</cdr:y>
    </cdr:from>
    <cdr:to>
      <cdr:x>0.9956</cdr:x>
      <cdr:y>0.48617</cdr:y>
    </cdr:to>
    <cdr:sp macro="" textlink="">
      <cdr:nvSpPr>
        <cdr:cNvPr id="10" name="CaixaDeTexto 1"/>
        <cdr:cNvSpPr txBox="1"/>
      </cdr:nvSpPr>
      <cdr:spPr>
        <a:xfrm xmlns:a="http://schemas.openxmlformats.org/drawingml/2006/main">
          <a:off x="4015408" y="839140"/>
          <a:ext cx="361986" cy="1388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Arial" panose="020B0604020202020204" pitchFamily="34" charset="0"/>
              <a:cs typeface="Arial" panose="020B0604020202020204" pitchFamily="34" charset="0"/>
            </a:rPr>
            <a:t>#</a:t>
          </a: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2007A-1A63-40A9-ADE1-A6DC9B72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4210</Words>
  <Characters>22739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Heron</dc:creator>
  <cp:lastModifiedBy>Carlos Alberto</cp:lastModifiedBy>
  <cp:revision>3</cp:revision>
  <cp:lastPrinted>2019-08-05T15:04:00Z</cp:lastPrinted>
  <dcterms:created xsi:type="dcterms:W3CDTF">2019-10-31T14:58:00Z</dcterms:created>
  <dcterms:modified xsi:type="dcterms:W3CDTF">2019-10-31T15:01:00Z</dcterms:modified>
</cp:coreProperties>
</file>